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E8522F" w:rsidP="00AB03A9">
      <w:pPr>
        <w:jc w:val="center"/>
        <w:rPr>
          <w:rFonts w:ascii="宋体" w:eastAsia="宋体" w:hAnsi="宋体" w:cs="Times New Roman"/>
          <w:color w:val="FF0000"/>
          <w:sz w:val="52"/>
          <w:szCs w:val="52"/>
        </w:rPr>
      </w:pPr>
      <w:r w:rsidRPr="00E8522F">
        <w:rPr>
          <w:rFonts w:ascii="宋体" w:eastAsia="宋体" w:hAnsi="宋体" w:cs="Times New Roman"/>
          <w:color w:val="FF0000"/>
          <w:sz w:val="52"/>
          <w:szCs w:val="52"/>
        </w:rPr>
        <w:t>中心机房运维外包服务</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E8522F">
        <w:rPr>
          <w:rFonts w:ascii="宋体" w:eastAsia="宋体" w:hAnsi="宋体" w:cs="Times New Roman" w:hint="eastAsia"/>
          <w:color w:val="FF0000"/>
          <w:sz w:val="30"/>
          <w:szCs w:val="24"/>
        </w:rPr>
        <w:t>SZUCG20170167FW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6A695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8522F">
        <w:rPr>
          <w:rFonts w:ascii="宋体" w:eastAsia="宋体" w:hAnsi="宋体" w:cs="Times New Roman"/>
          <w:sz w:val="32"/>
          <w:szCs w:val="24"/>
        </w:rPr>
        <w:t>SZUCG20170167FW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8522F" w:rsidRPr="00E8522F">
        <w:rPr>
          <w:rFonts w:ascii="宋体" w:eastAsia="宋体" w:hAnsi="宋体" w:cs="Times New Roman" w:hint="eastAsia"/>
          <w:sz w:val="32"/>
          <w:szCs w:val="24"/>
        </w:rPr>
        <w:t>中心机房运维外包服务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6A695D" w:rsidP="008732C7">
            <w:pPr>
              <w:jc w:val="center"/>
              <w:rPr>
                <w:rFonts w:ascii="宋体" w:eastAsia="宋体" w:hAnsi="宋体" w:cs="Times New Roman"/>
                <w:szCs w:val="21"/>
              </w:rPr>
            </w:pPr>
            <w:r>
              <w:rPr>
                <w:rFonts w:ascii="宋体" w:eastAsia="宋体" w:hAnsi="宋体" w:cs="Times New Roman"/>
                <w:szCs w:val="21"/>
              </w:rPr>
              <w:t>2</w:t>
            </w:r>
            <w:r w:rsidR="008732C7">
              <w:rPr>
                <w:rFonts w:ascii="宋体" w:eastAsia="宋体" w:hAnsi="宋体" w:cs="Times New Roman"/>
                <w:szCs w:val="21"/>
              </w:rPr>
              <w:t>0</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EB3F07" w:rsidP="0005721D">
            <w:pPr>
              <w:jc w:val="center"/>
              <w:rPr>
                <w:rFonts w:ascii="宋体" w:eastAsia="宋体" w:hAnsi="Times New Roman" w:cs="Times New Roman"/>
                <w:szCs w:val="21"/>
              </w:rPr>
            </w:pPr>
            <w:r>
              <w:rPr>
                <w:rFonts w:ascii="宋体" w:eastAsia="宋体" w:hAnsi="宋体" w:cs="Times New Roman"/>
                <w:szCs w:val="21"/>
              </w:rPr>
              <w:t>42</w:t>
            </w:r>
          </w:p>
        </w:tc>
      </w:tr>
      <w:tr w:rsidR="00AB03A9" w:rsidTr="0005721D">
        <w:trPr>
          <w:trHeight w:val="63"/>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822" w:type="dxa"/>
          </w:tcPr>
          <w:p w:rsidR="00AB03A9" w:rsidRDefault="00F67A2C" w:rsidP="008732C7">
            <w:pPr>
              <w:jc w:val="center"/>
              <w:rPr>
                <w:rFonts w:ascii="宋体" w:eastAsia="宋体" w:hAnsi="宋体" w:cs="Times New Roman"/>
                <w:szCs w:val="21"/>
              </w:rPr>
            </w:pPr>
            <w:r w:rsidRPr="00710A4E">
              <w:rPr>
                <w:rFonts w:ascii="宋体" w:eastAsia="宋体" w:hAnsi="宋体" w:cs="Times New Roman"/>
                <w:color w:val="000000" w:themeColor="text1"/>
                <w:szCs w:val="21"/>
              </w:rPr>
              <w:t>1</w:t>
            </w:r>
            <w:r w:rsidR="00EB3F07">
              <w:rPr>
                <w:rFonts w:ascii="宋体" w:eastAsia="宋体" w:hAnsi="宋体" w:cs="Times New Roman"/>
                <w:color w:val="000000" w:themeColor="text1"/>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05721D" w:rsidRPr="0005721D" w:rsidRDefault="00AB03A9" w:rsidP="0005721D">
            <w:pPr>
              <w:rPr>
                <w:rFonts w:ascii="宋体" w:eastAsia="宋体" w:hAnsi="宋体" w:cs="Times New Roman"/>
                <w:szCs w:val="21"/>
              </w:rPr>
            </w:pPr>
            <w:r>
              <w:rPr>
                <w:rFonts w:ascii="宋体" w:eastAsia="宋体" w:hAnsi="宋体" w:cs="Times New Roman" w:hint="eastAsia"/>
                <w:szCs w:val="21"/>
              </w:rPr>
              <w:t>考察内容：</w:t>
            </w:r>
            <w:r w:rsidR="00DE72AE">
              <w:rPr>
                <w:rFonts w:ascii="宋体" w:eastAsia="宋体" w:hAnsi="宋体" w:cs="Times New Roman" w:hint="eastAsia"/>
                <w:szCs w:val="21"/>
              </w:rPr>
              <w:t>投标文件的</w:t>
            </w:r>
            <w:r w:rsidR="00DE72AE">
              <w:rPr>
                <w:rFonts w:ascii="宋体" w:eastAsia="宋体" w:hAnsi="宋体" w:cs="Times New Roman"/>
                <w:szCs w:val="21"/>
              </w:rPr>
              <w:t>实施方案</w:t>
            </w:r>
            <w:r w:rsidR="005D5B65" w:rsidRPr="005D5B65">
              <w:rPr>
                <w:rFonts w:ascii="宋体" w:eastAsia="宋体" w:hAnsi="宋体" w:cs="Times New Roman"/>
                <w:szCs w:val="21"/>
              </w:rPr>
              <w:t>。</w:t>
            </w:r>
          </w:p>
          <w:p w:rsidR="00F77B03" w:rsidRPr="00DE72AE" w:rsidRDefault="00F77B03" w:rsidP="0005721D">
            <w:pPr>
              <w:rPr>
                <w:rFonts w:ascii="宋体" w:eastAsia="宋体" w:hAnsi="宋体" w:cs="Times New Roman"/>
                <w:szCs w:val="21"/>
              </w:rPr>
            </w:pPr>
          </w:p>
          <w:p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分档评分：评价为优得80-100分；评价为良得60-80分；评价为中得30-60分；评价为差不得分。评价为“差”的，专家需说明情况。</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E3084A">
            <w:pPr>
              <w:ind w:leftChars="-52" w:left="-108" w:hanging="1"/>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rsidR="00AB03A9" w:rsidRDefault="00EB3F07" w:rsidP="008732C7">
            <w:pPr>
              <w:jc w:val="center"/>
              <w:rPr>
                <w:rFonts w:ascii="宋体" w:eastAsia="宋体" w:hAnsi="宋体" w:cs="Times New Roman"/>
                <w:color w:val="C45911"/>
                <w:szCs w:val="21"/>
              </w:rPr>
            </w:pPr>
            <w:r>
              <w:rPr>
                <w:rFonts w:ascii="宋体" w:eastAsia="宋体" w:hAnsi="宋体" w:cs="Times New Roman"/>
                <w:szCs w:val="21"/>
              </w:rPr>
              <w:t>10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E3084A">
            <w:pPr>
              <w:rPr>
                <w:rFonts w:ascii="宋体" w:eastAsia="宋体" w:hAnsi="宋体" w:cs="Times New Roman"/>
                <w:szCs w:val="21"/>
              </w:rPr>
            </w:pPr>
            <w:r>
              <w:rPr>
                <w:rFonts w:ascii="宋体" w:eastAsia="宋体" w:hAnsi="宋体" w:cs="Times New Roman" w:hint="eastAsia"/>
                <w:szCs w:val="21"/>
              </w:rPr>
              <w:t>考察内容：</w:t>
            </w:r>
            <w:r w:rsidR="0005721D" w:rsidRPr="0005721D">
              <w:rPr>
                <w:rFonts w:ascii="Times New Roman" w:eastAsia="宋体" w:hAnsi="Times New Roman" w:cs="Times New Roman" w:hint="eastAsia"/>
                <w:szCs w:val="21"/>
              </w:rPr>
              <w:t>根据招标文件里的技术要求考察投标文件响应情况</w:t>
            </w:r>
            <w:r w:rsidR="00DE72AE">
              <w:rPr>
                <w:rFonts w:ascii="Times New Roman" w:eastAsia="宋体" w:hAnsi="Times New Roman" w:cs="Times New Roman" w:hint="eastAsia"/>
                <w:szCs w:val="21"/>
              </w:rPr>
              <w:t>。</w:t>
            </w:r>
            <w:bookmarkStart w:id="0" w:name="_GoBack"/>
            <w:bookmarkEnd w:id="0"/>
          </w:p>
          <w:p w:rsidR="00AB03A9" w:rsidRDefault="00AB03A9"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822" w:type="dxa"/>
          </w:tcPr>
          <w:p w:rsidR="00AB03A9" w:rsidRDefault="00EB3F07" w:rsidP="00F77B03">
            <w:pPr>
              <w:jc w:val="center"/>
              <w:rPr>
                <w:rFonts w:ascii="宋体" w:eastAsia="宋体" w:hAnsi="宋体" w:cs="Times New Roman"/>
                <w:szCs w:val="21"/>
              </w:rPr>
            </w:pPr>
            <w:r>
              <w:rPr>
                <w:rFonts w:ascii="宋体" w:eastAsia="宋体" w:hAnsi="宋体" w:cs="Times New Roman"/>
                <w:szCs w:val="21"/>
              </w:rPr>
              <w:t>12</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E3084A" w:rsidRDefault="00AB03A9" w:rsidP="00E3084A">
            <w:pPr>
              <w:rPr>
                <w:rFonts w:ascii="宋体" w:eastAsia="宋体" w:hAnsi="宋体" w:cs="Times New Roman"/>
                <w:szCs w:val="21"/>
              </w:rPr>
            </w:pPr>
            <w:r>
              <w:rPr>
                <w:rFonts w:ascii="宋体" w:eastAsia="宋体" w:hAnsi="宋体" w:cs="Times New Roman" w:hint="eastAsia"/>
                <w:szCs w:val="21"/>
              </w:rPr>
              <w:t>考察内容：</w:t>
            </w:r>
            <w:r w:rsidR="00EB3F07">
              <w:rPr>
                <w:rFonts w:ascii="宋体" w:eastAsia="宋体" w:hAnsi="宋体" w:cs="Times New Roman" w:hint="eastAsia"/>
                <w:szCs w:val="21"/>
              </w:rPr>
              <w:t>重点考察投标人的</w:t>
            </w:r>
            <w:r w:rsidR="00EB3F07">
              <w:rPr>
                <w:rFonts w:ascii="宋体" w:eastAsia="宋体" w:hAnsi="宋体" w:cs="Times New Roman"/>
                <w:szCs w:val="21"/>
              </w:rPr>
              <w:t>应急处理机制和备件配备情况</w:t>
            </w:r>
            <w:r w:rsidR="00E3084A">
              <w:rPr>
                <w:rFonts w:ascii="宋体" w:eastAsia="宋体" w:hAnsi="宋体" w:cs="Times New Roman" w:hint="eastAsia"/>
                <w:szCs w:val="21"/>
              </w:rPr>
              <w:t>。</w:t>
            </w:r>
          </w:p>
          <w:p w:rsidR="00AB03A9" w:rsidRDefault="00AB03A9" w:rsidP="00E3084A">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8732C7" w:rsidP="0010431D">
            <w:pPr>
              <w:jc w:val="center"/>
              <w:rPr>
                <w:rFonts w:ascii="宋体" w:eastAsia="宋体" w:hAnsi="Times New Roman" w:cs="Times New Roman"/>
                <w:szCs w:val="21"/>
              </w:rPr>
            </w:pPr>
            <w:r>
              <w:rPr>
                <w:rFonts w:ascii="宋体" w:eastAsia="宋体" w:hAnsi="Times New Roman" w:cs="Times New Roman"/>
                <w:szCs w:val="21"/>
              </w:rPr>
              <w:t>4</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F04ED2" w:rsidP="00F04ED2">
            <w:pPr>
              <w:jc w:val="left"/>
              <w:rPr>
                <w:rFonts w:ascii="宋体" w:eastAsia="宋体" w:hAnsi="Times New Roman" w:cs="Times New Roman"/>
                <w:szCs w:val="21"/>
              </w:rPr>
            </w:pPr>
            <w:r>
              <w:rPr>
                <w:rFonts w:ascii="宋体" w:eastAsia="宋体" w:hAnsi="宋体" w:cs="Times New Roman" w:hint="eastAsia"/>
                <w:szCs w:val="21"/>
              </w:rPr>
              <w:t>考察内容：</w:t>
            </w: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w:t>
            </w:r>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w:t>
            </w:r>
            <w:r w:rsidR="00AB03A9">
              <w:rPr>
                <w:rFonts w:ascii="宋体" w:eastAsia="宋体" w:hAnsi="宋体" w:cs="Times New Roman" w:hint="eastAsia"/>
                <w:szCs w:val="21"/>
              </w:rPr>
              <w:lastRenderedPageBreak/>
              <w:t>差不得分。评价为“差”的，专家需说明情况。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EB3F07" w:rsidP="00E12E56">
            <w:pPr>
              <w:jc w:val="center"/>
              <w:rPr>
                <w:rFonts w:ascii="宋体" w:eastAsia="宋体" w:hAnsi="Times New Roman" w:cs="Times New Roman"/>
                <w:szCs w:val="21"/>
              </w:rPr>
            </w:pPr>
            <w:r>
              <w:rPr>
                <w:rFonts w:ascii="宋体" w:eastAsia="宋体" w:hAnsi="Times New Roman" w:cs="Times New Roman"/>
                <w:color w:val="000000" w:themeColor="text1"/>
                <w:szCs w:val="21"/>
              </w:rPr>
              <w:t>26</w:t>
            </w:r>
          </w:p>
        </w:tc>
      </w:tr>
      <w:tr w:rsidR="007D5B61" w:rsidTr="0005721D">
        <w:trPr>
          <w:trHeight w:val="81"/>
        </w:trPr>
        <w:tc>
          <w:tcPr>
            <w:tcW w:w="675" w:type="dxa"/>
            <w:vMerge w:val="restart"/>
          </w:tcPr>
          <w:p w:rsidR="007D5B61" w:rsidRDefault="007D5B61" w:rsidP="0010431D">
            <w:pPr>
              <w:jc w:val="center"/>
              <w:rPr>
                <w:rFonts w:ascii="宋体" w:eastAsia="宋体" w:hAnsi="Times New Roman" w:cs="Times New Roman"/>
                <w:szCs w:val="21"/>
              </w:rPr>
            </w:pPr>
          </w:p>
        </w:tc>
        <w:tc>
          <w:tcPr>
            <w:tcW w:w="709"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86CF7" w:rsidTr="00086CF7">
        <w:trPr>
          <w:trHeight w:val="416"/>
        </w:trPr>
        <w:tc>
          <w:tcPr>
            <w:tcW w:w="675" w:type="dxa"/>
            <w:vMerge/>
            <w:vAlign w:val="center"/>
          </w:tcPr>
          <w:p w:rsidR="00086CF7" w:rsidRDefault="00086CF7" w:rsidP="00086CF7">
            <w:pPr>
              <w:widowControl/>
              <w:jc w:val="left"/>
              <w:rPr>
                <w:rFonts w:ascii="宋体" w:eastAsia="宋体" w:hAnsi="Times New Roman" w:cs="Times New Roman"/>
                <w:szCs w:val="21"/>
              </w:rPr>
            </w:pPr>
            <w:bookmarkStart w:id="1" w:name="_Hlk486198277"/>
          </w:p>
        </w:tc>
        <w:tc>
          <w:tcPr>
            <w:tcW w:w="709" w:type="dxa"/>
          </w:tcPr>
          <w:p w:rsidR="00086CF7" w:rsidRDefault="00086CF7" w:rsidP="00086CF7">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086CF7" w:rsidRDefault="00086CF7" w:rsidP="00086CF7">
            <w:pPr>
              <w:jc w:val="center"/>
              <w:rPr>
                <w:rFonts w:ascii="宋体" w:eastAsia="宋体" w:hAnsi="Times New Roman" w:cs="Times New Roman"/>
                <w:szCs w:val="21"/>
              </w:rPr>
            </w:pPr>
            <w:r w:rsidRPr="00086CF7">
              <w:rPr>
                <w:rFonts w:ascii="宋体" w:eastAsia="宋体" w:hAnsi="宋体" w:cs="Times New Roman" w:hint="eastAsia"/>
                <w:szCs w:val="21"/>
              </w:rPr>
              <w:t>投标人资格情况及通过相关认证情况</w:t>
            </w:r>
          </w:p>
        </w:tc>
        <w:tc>
          <w:tcPr>
            <w:tcW w:w="822" w:type="dxa"/>
          </w:tcPr>
          <w:p w:rsidR="00086CF7" w:rsidRDefault="00EB3F07" w:rsidP="00086CF7">
            <w:pPr>
              <w:jc w:val="center"/>
              <w:rPr>
                <w:rFonts w:ascii="宋体" w:eastAsia="宋体" w:hAnsi="宋体" w:cs="Times New Roman"/>
                <w:color w:val="C45911"/>
                <w:szCs w:val="21"/>
              </w:rPr>
            </w:pPr>
            <w:r>
              <w:rPr>
                <w:rFonts w:ascii="宋体" w:eastAsia="宋体" w:hAnsi="宋体" w:cs="Times New Roman"/>
                <w:color w:val="000000" w:themeColor="text1"/>
                <w:szCs w:val="21"/>
              </w:rPr>
              <w:t>5</w:t>
            </w:r>
          </w:p>
        </w:tc>
        <w:tc>
          <w:tcPr>
            <w:tcW w:w="1134" w:type="dxa"/>
          </w:tcPr>
          <w:p w:rsidR="00086CF7" w:rsidRDefault="00086CF7" w:rsidP="00086CF7">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D848F8" w:rsidRPr="00D848F8" w:rsidRDefault="00D848F8" w:rsidP="00D848F8">
            <w:pPr>
              <w:jc w:val="left"/>
              <w:rPr>
                <w:rFonts w:ascii="宋体" w:eastAsia="宋体" w:hAnsi="宋体" w:cs="Times New Roman"/>
                <w:szCs w:val="21"/>
              </w:rPr>
            </w:pPr>
            <w:r w:rsidRPr="00D848F8">
              <w:rPr>
                <w:rFonts w:ascii="宋体" w:eastAsia="宋体" w:hAnsi="宋体" w:cs="Times New Roman" w:hint="eastAsia"/>
                <w:szCs w:val="21"/>
              </w:rPr>
              <w:t>公司需通过</w:t>
            </w:r>
            <w:r w:rsidRPr="00D848F8">
              <w:rPr>
                <w:rFonts w:ascii="宋体" w:eastAsia="宋体" w:hAnsi="宋体" w:cs="Times New Roman"/>
                <w:szCs w:val="21"/>
              </w:rPr>
              <w:t>ISO质量管理体系认证（ISO9001、ISO9002、ISO14001、ISO27001），认证范围需包含：运维服务。</w:t>
            </w:r>
          </w:p>
          <w:p w:rsidR="00D848F8" w:rsidRPr="00D848F8" w:rsidRDefault="00D848F8" w:rsidP="00D848F8">
            <w:pPr>
              <w:jc w:val="left"/>
              <w:rPr>
                <w:rFonts w:ascii="宋体" w:eastAsia="宋体" w:hAnsi="宋体" w:cs="Times New Roman"/>
                <w:szCs w:val="21"/>
              </w:rPr>
            </w:pPr>
            <w:r w:rsidRPr="00D848F8">
              <w:rPr>
                <w:rFonts w:ascii="宋体" w:eastAsia="宋体" w:hAnsi="宋体" w:cs="Times New Roman"/>
                <w:szCs w:val="21"/>
              </w:rPr>
              <w:t>1，通过3-4项ISO质量管理体系认证，得</w:t>
            </w:r>
            <w:r>
              <w:rPr>
                <w:rFonts w:ascii="宋体" w:eastAsia="宋体" w:hAnsi="宋体" w:cs="Times New Roman" w:hint="eastAsia"/>
                <w:szCs w:val="21"/>
              </w:rPr>
              <w:t>1</w:t>
            </w:r>
            <w:r>
              <w:rPr>
                <w:rFonts w:ascii="宋体" w:eastAsia="宋体" w:hAnsi="宋体" w:cs="Times New Roman"/>
                <w:szCs w:val="21"/>
              </w:rPr>
              <w:t>00</w:t>
            </w:r>
            <w:r w:rsidRPr="00D848F8">
              <w:rPr>
                <w:rFonts w:ascii="宋体" w:eastAsia="宋体" w:hAnsi="宋体" w:cs="Times New Roman"/>
                <w:szCs w:val="21"/>
              </w:rPr>
              <w:t>分。</w:t>
            </w:r>
          </w:p>
          <w:p w:rsidR="00D848F8" w:rsidRPr="00D848F8" w:rsidRDefault="00D848F8" w:rsidP="00D848F8">
            <w:pPr>
              <w:jc w:val="left"/>
              <w:rPr>
                <w:rFonts w:ascii="宋体" w:eastAsia="宋体" w:hAnsi="宋体" w:cs="Times New Roman"/>
                <w:szCs w:val="21"/>
              </w:rPr>
            </w:pPr>
            <w:r w:rsidRPr="00D848F8">
              <w:rPr>
                <w:rFonts w:ascii="宋体" w:eastAsia="宋体" w:hAnsi="宋体" w:cs="Times New Roman"/>
                <w:szCs w:val="21"/>
              </w:rPr>
              <w:t>2，通过2项ISO质量管理体系认证，得</w:t>
            </w:r>
            <w:r>
              <w:rPr>
                <w:rFonts w:ascii="宋体" w:eastAsia="宋体" w:hAnsi="宋体" w:cs="Times New Roman" w:hint="eastAsia"/>
                <w:szCs w:val="21"/>
              </w:rPr>
              <w:t>6</w:t>
            </w:r>
            <w:r>
              <w:rPr>
                <w:rFonts w:ascii="宋体" w:eastAsia="宋体" w:hAnsi="宋体" w:cs="Times New Roman"/>
                <w:szCs w:val="21"/>
              </w:rPr>
              <w:t>0</w:t>
            </w:r>
            <w:r w:rsidRPr="00D848F8">
              <w:rPr>
                <w:rFonts w:ascii="宋体" w:eastAsia="宋体" w:hAnsi="宋体" w:cs="Times New Roman"/>
                <w:szCs w:val="21"/>
              </w:rPr>
              <w:t>分。</w:t>
            </w:r>
          </w:p>
          <w:p w:rsidR="00D848F8" w:rsidRPr="00D848F8" w:rsidRDefault="00D848F8" w:rsidP="00D848F8">
            <w:pPr>
              <w:jc w:val="left"/>
              <w:rPr>
                <w:rFonts w:ascii="宋体" w:eastAsia="宋体" w:hAnsi="宋体" w:cs="Times New Roman"/>
                <w:szCs w:val="21"/>
              </w:rPr>
            </w:pPr>
            <w:r w:rsidRPr="00D848F8">
              <w:rPr>
                <w:rFonts w:ascii="宋体" w:eastAsia="宋体" w:hAnsi="宋体" w:cs="Times New Roman"/>
                <w:szCs w:val="21"/>
              </w:rPr>
              <w:t>3，通过1项ISO质量管理体系认证，得</w:t>
            </w:r>
            <w:r>
              <w:rPr>
                <w:rFonts w:ascii="宋体" w:eastAsia="宋体" w:hAnsi="宋体" w:cs="Times New Roman" w:hint="eastAsia"/>
                <w:szCs w:val="21"/>
              </w:rPr>
              <w:t>2</w:t>
            </w:r>
            <w:r>
              <w:rPr>
                <w:rFonts w:ascii="宋体" w:eastAsia="宋体" w:hAnsi="宋体" w:cs="Times New Roman"/>
                <w:szCs w:val="21"/>
              </w:rPr>
              <w:t>0</w:t>
            </w:r>
            <w:r w:rsidRPr="00D848F8">
              <w:rPr>
                <w:rFonts w:ascii="宋体" w:eastAsia="宋体" w:hAnsi="宋体" w:cs="Times New Roman"/>
                <w:szCs w:val="21"/>
              </w:rPr>
              <w:t>分。</w:t>
            </w:r>
          </w:p>
          <w:p w:rsidR="00D848F8" w:rsidRDefault="00D848F8" w:rsidP="00D848F8">
            <w:pPr>
              <w:jc w:val="left"/>
              <w:rPr>
                <w:rFonts w:ascii="宋体" w:eastAsia="宋体" w:hAnsi="宋体" w:cs="Times New Roman"/>
                <w:szCs w:val="21"/>
              </w:rPr>
            </w:pPr>
            <w:r w:rsidRPr="00D848F8">
              <w:rPr>
                <w:rFonts w:ascii="宋体" w:eastAsia="宋体" w:hAnsi="宋体" w:cs="Times New Roman"/>
                <w:szCs w:val="21"/>
              </w:rPr>
              <w:t>4，未通过ISO质量管理体系认证，得0分。</w:t>
            </w:r>
          </w:p>
          <w:p w:rsidR="00D848F8" w:rsidRDefault="00D848F8" w:rsidP="00D848F8">
            <w:pPr>
              <w:jc w:val="left"/>
              <w:rPr>
                <w:rFonts w:ascii="宋体" w:eastAsia="宋体" w:hAnsi="宋体" w:cs="Times New Roman"/>
                <w:szCs w:val="21"/>
              </w:rPr>
            </w:pPr>
            <w:r w:rsidRPr="00D848F8">
              <w:rPr>
                <w:rFonts w:ascii="宋体" w:eastAsia="宋体" w:hAnsi="宋体" w:cs="Times New Roman" w:hint="eastAsia"/>
                <w:szCs w:val="21"/>
              </w:rPr>
              <w:t>提供</w:t>
            </w:r>
            <w:r>
              <w:rPr>
                <w:rFonts w:ascii="宋体" w:eastAsia="宋体" w:hAnsi="宋体" w:cs="Times New Roman" w:hint="eastAsia"/>
                <w:szCs w:val="21"/>
              </w:rPr>
              <w:t>认证</w:t>
            </w:r>
            <w:r w:rsidRPr="00D848F8">
              <w:rPr>
                <w:rFonts w:ascii="宋体" w:eastAsia="宋体" w:hAnsi="宋体" w:cs="Times New Roman" w:hint="eastAsia"/>
                <w:szCs w:val="21"/>
              </w:rPr>
              <w:t>证书原件</w:t>
            </w:r>
            <w:r>
              <w:rPr>
                <w:rFonts w:ascii="宋体" w:eastAsia="宋体" w:hAnsi="宋体" w:cs="Times New Roman" w:hint="eastAsia"/>
                <w:szCs w:val="21"/>
              </w:rPr>
              <w:t>复印件</w:t>
            </w:r>
            <w:r w:rsidRPr="00D848F8">
              <w:rPr>
                <w:rFonts w:ascii="宋体" w:eastAsia="宋体" w:hAnsi="宋体" w:cs="Times New Roman" w:hint="eastAsia"/>
                <w:szCs w:val="21"/>
              </w:rPr>
              <w:t>，原件备查</w:t>
            </w:r>
            <w:r>
              <w:rPr>
                <w:rFonts w:ascii="宋体" w:eastAsia="宋体" w:hAnsi="宋体" w:cs="Times New Roman" w:hint="eastAsia"/>
                <w:szCs w:val="21"/>
              </w:rPr>
              <w:t>。</w:t>
            </w:r>
          </w:p>
          <w:p w:rsidR="00086CF7" w:rsidRPr="00086CF7" w:rsidRDefault="00086CF7" w:rsidP="00D848F8">
            <w:pPr>
              <w:jc w:val="left"/>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w:t>
            </w:r>
            <w:r w:rsidR="0034044F">
              <w:rPr>
                <w:rFonts w:ascii="宋体" w:eastAsia="宋体" w:hAnsi="宋体" w:cs="Times New Roman" w:hint="eastAsia"/>
                <w:szCs w:val="21"/>
              </w:rPr>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1"/>
      <w:tr w:rsidR="00544FFC" w:rsidTr="00086CF7">
        <w:trPr>
          <w:trHeight w:val="416"/>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近期</w:t>
            </w:r>
            <w:r>
              <w:rPr>
                <w:rFonts w:ascii="宋体" w:eastAsia="宋体" w:hAnsi="宋体" w:cs="Times New Roman"/>
                <w:szCs w:val="21"/>
              </w:rPr>
              <w:t>同类业绩</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jc w:val="left"/>
              <w:rPr>
                <w:rFonts w:ascii="宋体" w:eastAsia="宋体" w:hAnsi="宋体" w:cs="Times New Roman"/>
                <w:szCs w:val="21"/>
              </w:rPr>
            </w:pPr>
            <w:r>
              <w:rPr>
                <w:rFonts w:ascii="宋体" w:eastAsia="宋体" w:hAnsi="宋体" w:cs="Times New Roman" w:hint="eastAsia"/>
                <w:szCs w:val="21"/>
              </w:rPr>
              <w:t>近三年</w:t>
            </w:r>
            <w:r>
              <w:rPr>
                <w:rFonts w:ascii="宋体" w:eastAsia="宋体" w:hAnsi="宋体" w:cs="Times New Roman"/>
                <w:szCs w:val="21"/>
              </w:rPr>
              <w:t>（2014年</w:t>
            </w:r>
            <w:r w:rsidR="006A695D">
              <w:rPr>
                <w:rFonts w:ascii="宋体" w:eastAsia="宋体" w:hAnsi="宋体" w:cs="Times New Roman" w:hint="eastAsia"/>
                <w:szCs w:val="21"/>
              </w:rPr>
              <w:t>7</w:t>
            </w:r>
            <w:r>
              <w:rPr>
                <w:rFonts w:ascii="宋体" w:eastAsia="宋体" w:hAnsi="宋体" w:cs="Times New Roman"/>
                <w:szCs w:val="21"/>
              </w:rPr>
              <w:t>月至本项目开标时），</w:t>
            </w:r>
            <w:r w:rsidRPr="00544FFC">
              <w:rPr>
                <w:rFonts w:ascii="宋体" w:eastAsia="宋体" w:hAnsi="宋体" w:cs="Times New Roman" w:hint="eastAsia"/>
                <w:szCs w:val="21"/>
              </w:rPr>
              <w:t>投标人</w:t>
            </w:r>
            <w:r>
              <w:rPr>
                <w:rFonts w:ascii="宋体" w:eastAsia="宋体" w:hAnsi="宋体" w:cs="Times New Roman" w:hint="eastAsia"/>
                <w:szCs w:val="21"/>
              </w:rPr>
              <w:t>每</w:t>
            </w:r>
            <w:r w:rsidR="008732C7">
              <w:rPr>
                <w:rFonts w:ascii="宋体" w:eastAsia="宋体" w:hAnsi="宋体" w:cs="Times New Roman" w:hint="eastAsia"/>
                <w:szCs w:val="21"/>
              </w:rPr>
              <w:t>承担</w:t>
            </w:r>
            <w:r>
              <w:rPr>
                <w:rFonts w:ascii="宋体" w:eastAsia="宋体" w:hAnsi="宋体" w:cs="Times New Roman"/>
                <w:szCs w:val="21"/>
              </w:rPr>
              <w:t>一个</w:t>
            </w:r>
            <w:r w:rsidR="008732C7">
              <w:rPr>
                <w:rFonts w:ascii="宋体" w:eastAsia="宋体" w:hAnsi="宋体" w:cs="Times New Roman" w:hint="eastAsia"/>
                <w:szCs w:val="21"/>
              </w:rPr>
              <w:t>通信</w:t>
            </w:r>
            <w:r w:rsidR="00D848F8">
              <w:rPr>
                <w:rFonts w:ascii="宋体" w:eastAsia="宋体" w:hAnsi="宋体" w:cs="Times New Roman" w:hint="eastAsia"/>
                <w:szCs w:val="21"/>
              </w:rPr>
              <w:t>机房</w:t>
            </w:r>
            <w:r w:rsidR="00D848F8">
              <w:rPr>
                <w:rFonts w:ascii="宋体" w:eastAsia="宋体" w:hAnsi="宋体" w:cs="Times New Roman"/>
                <w:szCs w:val="21"/>
              </w:rPr>
              <w:t>运维</w:t>
            </w:r>
            <w:r w:rsidR="008732C7">
              <w:rPr>
                <w:rFonts w:ascii="宋体" w:eastAsia="宋体" w:hAnsi="宋体" w:cs="Times New Roman"/>
                <w:szCs w:val="21"/>
              </w:rPr>
              <w:t>项目（</w:t>
            </w:r>
            <w:r w:rsidR="008732C7">
              <w:rPr>
                <w:rFonts w:ascii="宋体" w:eastAsia="宋体" w:hAnsi="宋体" w:cs="Times New Roman" w:hint="eastAsia"/>
                <w:szCs w:val="21"/>
              </w:rPr>
              <w:t>合同金额在</w:t>
            </w:r>
            <w:r w:rsidR="00D848F8">
              <w:rPr>
                <w:rFonts w:ascii="宋体" w:eastAsia="宋体" w:hAnsi="宋体" w:cs="Times New Roman" w:hint="eastAsia"/>
                <w:szCs w:val="21"/>
              </w:rPr>
              <w:t>2</w:t>
            </w:r>
            <w:r w:rsidR="008732C7">
              <w:rPr>
                <w:rFonts w:ascii="宋体" w:eastAsia="宋体" w:hAnsi="宋体" w:cs="Times New Roman"/>
                <w:szCs w:val="21"/>
              </w:rPr>
              <w:t>0万元/年</w:t>
            </w:r>
            <w:r w:rsidR="008732C7">
              <w:rPr>
                <w:rFonts w:ascii="宋体" w:eastAsia="宋体" w:hAnsi="宋体" w:cs="Times New Roman" w:hint="eastAsia"/>
                <w:szCs w:val="21"/>
              </w:rPr>
              <w:t>及</w:t>
            </w:r>
            <w:r w:rsidR="008732C7">
              <w:rPr>
                <w:rFonts w:ascii="宋体" w:eastAsia="宋体" w:hAnsi="宋体" w:cs="Times New Roman"/>
                <w:szCs w:val="21"/>
              </w:rPr>
              <w:t>以上的）</w:t>
            </w:r>
            <w:r>
              <w:rPr>
                <w:rFonts w:ascii="宋体" w:eastAsia="宋体" w:hAnsi="宋体" w:cs="Times New Roman"/>
                <w:szCs w:val="21"/>
              </w:rPr>
              <w:t>35分，累计得分，最高</w:t>
            </w:r>
            <w:r>
              <w:rPr>
                <w:rFonts w:ascii="宋体" w:eastAsia="宋体" w:hAnsi="宋体" w:cs="Times New Roman" w:hint="eastAsia"/>
                <w:szCs w:val="21"/>
              </w:rPr>
              <w:t>得</w:t>
            </w:r>
            <w:r>
              <w:rPr>
                <w:rFonts w:ascii="宋体" w:eastAsia="宋体" w:hAnsi="宋体" w:cs="Times New Roman"/>
                <w:szCs w:val="21"/>
              </w:rPr>
              <w:t>100分。</w:t>
            </w:r>
          </w:p>
          <w:p w:rsidR="00FA78CD" w:rsidRDefault="00FA78CD" w:rsidP="00FA78CD">
            <w:pPr>
              <w:jc w:val="left"/>
              <w:rPr>
                <w:rFonts w:ascii="宋体" w:eastAsia="宋体" w:hAnsi="宋体" w:cs="Times New Roman"/>
                <w:szCs w:val="21"/>
              </w:rPr>
            </w:pPr>
            <w:r>
              <w:rPr>
                <w:rFonts w:ascii="宋体" w:eastAsia="宋体" w:hAnsi="宋体" w:cs="Times New Roman" w:hint="eastAsia"/>
                <w:szCs w:val="21"/>
              </w:rPr>
              <w:t>须</w:t>
            </w:r>
            <w:r w:rsidR="00544FFC">
              <w:rPr>
                <w:rFonts w:ascii="宋体" w:eastAsia="宋体" w:hAnsi="宋体" w:cs="Times New Roman" w:hint="eastAsia"/>
                <w:szCs w:val="21"/>
              </w:rPr>
              <w:t>提供服务合同</w:t>
            </w:r>
            <w:r w:rsidR="00544FFC">
              <w:rPr>
                <w:rFonts w:ascii="宋体" w:eastAsia="宋体" w:hAnsi="宋体" w:cs="Times New Roman"/>
                <w:szCs w:val="21"/>
              </w:rPr>
              <w:t>关键页</w:t>
            </w:r>
            <w:r>
              <w:rPr>
                <w:rFonts w:ascii="宋体" w:eastAsia="宋体" w:hAnsi="宋体" w:cs="Times New Roman" w:hint="eastAsia"/>
                <w:szCs w:val="21"/>
              </w:rPr>
              <w:t>复印件、</w:t>
            </w:r>
            <w:r w:rsidR="00544FFC">
              <w:rPr>
                <w:rFonts w:ascii="宋体" w:eastAsia="宋体" w:hAnsi="宋体" w:cs="Times New Roman"/>
                <w:szCs w:val="21"/>
              </w:rPr>
              <w:t>验收报告复印件</w:t>
            </w:r>
            <w:r>
              <w:rPr>
                <w:rFonts w:ascii="宋体" w:eastAsia="宋体" w:hAnsi="宋体" w:cs="Times New Roman" w:hint="eastAsia"/>
                <w:szCs w:val="21"/>
              </w:rPr>
              <w:t>和</w:t>
            </w:r>
            <w:r>
              <w:rPr>
                <w:rFonts w:ascii="宋体" w:eastAsia="宋体" w:hAnsi="宋体" w:cs="Times New Roman"/>
                <w:szCs w:val="21"/>
              </w:rPr>
              <w:t>客户</w:t>
            </w:r>
            <w:r>
              <w:rPr>
                <w:rFonts w:ascii="宋体" w:eastAsia="宋体" w:hAnsi="宋体" w:cs="Times New Roman" w:hint="eastAsia"/>
                <w:szCs w:val="21"/>
              </w:rPr>
              <w:t>信息</w:t>
            </w:r>
            <w:r>
              <w:rPr>
                <w:rFonts w:ascii="宋体" w:eastAsia="宋体" w:hAnsi="宋体" w:cs="Times New Roman"/>
                <w:szCs w:val="21"/>
              </w:rPr>
              <w:t>（客户</w:t>
            </w:r>
            <w:r>
              <w:rPr>
                <w:rFonts w:ascii="宋体" w:eastAsia="宋体" w:hAnsi="宋体" w:cs="Times New Roman" w:hint="eastAsia"/>
                <w:szCs w:val="21"/>
              </w:rPr>
              <w:t>名称</w:t>
            </w:r>
            <w:r>
              <w:rPr>
                <w:rFonts w:ascii="宋体" w:eastAsia="宋体" w:hAnsi="宋体" w:cs="Times New Roman"/>
                <w:szCs w:val="21"/>
              </w:rPr>
              <w:t>、联系人</w:t>
            </w:r>
            <w:r>
              <w:rPr>
                <w:rFonts w:ascii="宋体" w:eastAsia="宋体" w:hAnsi="宋体" w:cs="Times New Roman" w:hint="eastAsia"/>
                <w:szCs w:val="21"/>
              </w:rPr>
              <w:t>及其</w:t>
            </w:r>
            <w:r>
              <w:rPr>
                <w:rFonts w:ascii="宋体" w:eastAsia="宋体" w:hAnsi="宋体" w:cs="Times New Roman"/>
                <w:szCs w:val="21"/>
              </w:rPr>
              <w:t>电话</w:t>
            </w:r>
            <w:r>
              <w:rPr>
                <w:rFonts w:ascii="宋体" w:eastAsia="宋体" w:hAnsi="宋体" w:cs="Times New Roman" w:hint="eastAsia"/>
                <w:szCs w:val="21"/>
              </w:rPr>
              <w:t>）</w:t>
            </w:r>
            <w:r>
              <w:rPr>
                <w:rFonts w:ascii="宋体" w:eastAsia="宋体" w:hAnsi="宋体" w:cs="Times New Roman"/>
                <w:szCs w:val="21"/>
              </w:rPr>
              <w:t>；</w:t>
            </w:r>
            <w:r>
              <w:rPr>
                <w:rFonts w:ascii="宋体" w:eastAsia="宋体" w:hAnsi="宋体" w:cs="Times New Roman" w:hint="eastAsia"/>
                <w:szCs w:val="21"/>
              </w:rPr>
              <w:t>如</w:t>
            </w:r>
            <w:r>
              <w:rPr>
                <w:rFonts w:ascii="宋体" w:eastAsia="宋体" w:hAnsi="宋体" w:cs="Times New Roman"/>
                <w:szCs w:val="21"/>
              </w:rPr>
              <w:t>上述信息</w:t>
            </w:r>
            <w:r>
              <w:rPr>
                <w:rFonts w:ascii="宋体" w:eastAsia="宋体" w:hAnsi="宋体" w:cs="Times New Roman"/>
                <w:szCs w:val="21"/>
              </w:rPr>
              <w:lastRenderedPageBreak/>
              <w:t>不完</w:t>
            </w:r>
            <w:r>
              <w:rPr>
                <w:rFonts w:ascii="宋体" w:eastAsia="宋体" w:hAnsi="宋体" w:cs="Times New Roman" w:hint="eastAsia"/>
                <w:szCs w:val="21"/>
              </w:rPr>
              <w:t>整，</w:t>
            </w:r>
            <w:r>
              <w:rPr>
                <w:rFonts w:ascii="宋体" w:eastAsia="宋体" w:hAnsi="宋体" w:cs="Times New Roman"/>
                <w:szCs w:val="21"/>
              </w:rPr>
              <w:t>则该</w:t>
            </w:r>
            <w:r>
              <w:rPr>
                <w:rFonts w:ascii="宋体" w:eastAsia="宋体" w:hAnsi="宋体" w:cs="Times New Roman" w:hint="eastAsia"/>
                <w:szCs w:val="21"/>
              </w:rPr>
              <w:t>业绩</w:t>
            </w:r>
            <w:r>
              <w:rPr>
                <w:rFonts w:ascii="宋体" w:eastAsia="宋体" w:hAnsi="宋体" w:cs="Times New Roman"/>
                <w:szCs w:val="21"/>
              </w:rPr>
              <w:t>项目不</w:t>
            </w:r>
            <w:r>
              <w:rPr>
                <w:rFonts w:ascii="宋体" w:eastAsia="宋体" w:hAnsi="宋体" w:cs="Times New Roman" w:hint="eastAsia"/>
                <w:szCs w:val="21"/>
              </w:rPr>
              <w:t>计分。</w:t>
            </w:r>
          </w:p>
          <w:p w:rsidR="00544FFC" w:rsidRPr="00086CF7" w:rsidRDefault="00544FFC" w:rsidP="00B46356">
            <w:pPr>
              <w:jc w:val="left"/>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tr w:rsidR="00544FFC" w:rsidTr="0005721D">
        <w:trPr>
          <w:trHeight w:val="78"/>
        </w:trPr>
        <w:tc>
          <w:tcPr>
            <w:tcW w:w="675" w:type="dxa"/>
            <w:vMerge/>
            <w:vAlign w:val="center"/>
          </w:tcPr>
          <w:p w:rsidR="00544FFC" w:rsidRDefault="00544FFC" w:rsidP="00544FFC">
            <w:pPr>
              <w:widowControl/>
              <w:jc w:val="left"/>
              <w:rPr>
                <w:rFonts w:ascii="宋体" w:eastAsia="宋体" w:hAnsi="Times New Roman" w:cs="Times New Roman"/>
                <w:szCs w:val="21"/>
              </w:rPr>
            </w:pPr>
            <w:bookmarkStart w:id="2" w:name="_Hlk486197586"/>
          </w:p>
        </w:tc>
        <w:tc>
          <w:tcPr>
            <w:tcW w:w="709" w:type="dxa"/>
          </w:tcPr>
          <w:p w:rsidR="00544FFC" w:rsidRDefault="00FA78CD" w:rsidP="00544FFC">
            <w:pPr>
              <w:jc w:val="center"/>
              <w:rPr>
                <w:rFonts w:ascii="宋体" w:eastAsia="宋体" w:hAnsi="宋体" w:cs="Times New Roman"/>
                <w:szCs w:val="21"/>
              </w:rPr>
            </w:pPr>
            <w:r>
              <w:rPr>
                <w:rFonts w:ascii="宋体" w:eastAsia="宋体" w:hAnsi="宋体" w:cs="Times New Roman"/>
                <w:szCs w:val="21"/>
              </w:rPr>
              <w:t>3</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3E6DFD" w:rsidRDefault="003E6DFD" w:rsidP="003E6DFD">
            <w:pPr>
              <w:jc w:val="left"/>
              <w:rPr>
                <w:rFonts w:ascii="宋体" w:eastAsia="宋体" w:hAnsi="宋体" w:cs="Times New Roman"/>
                <w:szCs w:val="21"/>
              </w:rPr>
            </w:pPr>
            <w:r w:rsidRPr="003E6DFD">
              <w:rPr>
                <w:rFonts w:ascii="宋体" w:eastAsia="宋体" w:hAnsi="宋体" w:cs="Times New Roman"/>
                <w:szCs w:val="21"/>
              </w:rPr>
              <w:t>项目负责人须在投标人单位缴纳社保，否则本项不得分。</w:t>
            </w:r>
          </w:p>
          <w:p w:rsidR="00D848F8" w:rsidRDefault="00D848F8" w:rsidP="003E6DFD">
            <w:pPr>
              <w:jc w:val="left"/>
              <w:rPr>
                <w:rFonts w:ascii="宋体" w:eastAsia="宋体" w:hAnsi="宋体" w:cs="Times New Roman"/>
                <w:szCs w:val="21"/>
              </w:rPr>
            </w:pPr>
            <w:r>
              <w:rPr>
                <w:rFonts w:ascii="宋体" w:eastAsia="宋体" w:hAnsi="宋体" w:cs="Times New Roman" w:hint="eastAsia"/>
                <w:szCs w:val="21"/>
              </w:rPr>
              <w:t>在此基础上</w:t>
            </w:r>
            <w:r>
              <w:rPr>
                <w:rFonts w:ascii="宋体" w:eastAsia="宋体" w:hAnsi="宋体" w:cs="Times New Roman"/>
                <w:szCs w:val="21"/>
              </w:rPr>
              <w:t>，</w:t>
            </w:r>
          </w:p>
          <w:p w:rsidR="00D848F8" w:rsidRPr="00D848F8" w:rsidRDefault="00D848F8" w:rsidP="00D848F8">
            <w:pPr>
              <w:jc w:val="left"/>
              <w:rPr>
                <w:rFonts w:ascii="宋体" w:eastAsia="宋体" w:hAnsi="宋体" w:cs="Times New Roman"/>
                <w:szCs w:val="21"/>
              </w:rPr>
            </w:pPr>
            <w:r>
              <w:rPr>
                <w:rFonts w:ascii="宋体" w:eastAsia="宋体" w:hAnsi="宋体" w:cs="Times New Roman"/>
                <w:szCs w:val="21"/>
              </w:rPr>
              <w:t>1</w:t>
            </w:r>
            <w:r w:rsidR="003E6DFD">
              <w:rPr>
                <w:rFonts w:ascii="宋体" w:eastAsia="宋体" w:hAnsi="宋体" w:cs="Times New Roman"/>
                <w:szCs w:val="21"/>
              </w:rPr>
              <w:t>、</w:t>
            </w:r>
            <w:r w:rsidRPr="00D848F8">
              <w:rPr>
                <w:rFonts w:ascii="宋体" w:eastAsia="宋体" w:hAnsi="宋体" w:cs="Times New Roman"/>
                <w:szCs w:val="21"/>
              </w:rPr>
              <w:t>项目负责人为全日制本科及以上学历者，得</w:t>
            </w:r>
            <w:r>
              <w:rPr>
                <w:rFonts w:ascii="宋体" w:eastAsia="宋体" w:hAnsi="宋体" w:cs="Times New Roman" w:hint="eastAsia"/>
                <w:szCs w:val="21"/>
              </w:rPr>
              <w:t>4</w:t>
            </w:r>
            <w:r>
              <w:rPr>
                <w:rFonts w:ascii="宋体" w:eastAsia="宋体" w:hAnsi="宋体" w:cs="Times New Roman"/>
                <w:szCs w:val="21"/>
              </w:rPr>
              <w:t>0</w:t>
            </w:r>
            <w:r w:rsidRPr="00D848F8">
              <w:rPr>
                <w:rFonts w:ascii="宋体" w:eastAsia="宋体" w:hAnsi="宋体" w:cs="Times New Roman"/>
                <w:szCs w:val="21"/>
              </w:rPr>
              <w:t>分。</w:t>
            </w:r>
          </w:p>
          <w:p w:rsidR="003E6DFD" w:rsidRDefault="00D848F8" w:rsidP="00D848F8">
            <w:pPr>
              <w:jc w:val="left"/>
              <w:rPr>
                <w:rFonts w:ascii="宋体" w:eastAsia="宋体" w:hAnsi="宋体" w:cs="Times New Roman"/>
                <w:szCs w:val="21"/>
              </w:rPr>
            </w:pPr>
            <w:r>
              <w:rPr>
                <w:rFonts w:ascii="宋体" w:eastAsia="宋体" w:hAnsi="宋体" w:cs="Times New Roman"/>
                <w:szCs w:val="21"/>
              </w:rPr>
              <w:t>2、</w:t>
            </w:r>
            <w:r w:rsidRPr="00D848F8">
              <w:rPr>
                <w:rFonts w:ascii="宋体" w:eastAsia="宋体" w:hAnsi="宋体" w:cs="Times New Roman"/>
                <w:szCs w:val="21"/>
              </w:rPr>
              <w:t>项目负责人具备PMP证书者，得</w:t>
            </w:r>
            <w:r>
              <w:rPr>
                <w:rFonts w:ascii="宋体" w:eastAsia="宋体" w:hAnsi="宋体" w:cs="Times New Roman"/>
                <w:szCs w:val="21"/>
              </w:rPr>
              <w:t>60</w:t>
            </w:r>
            <w:r w:rsidRPr="00D848F8">
              <w:rPr>
                <w:rFonts w:ascii="宋体" w:eastAsia="宋体" w:hAnsi="宋体" w:cs="Times New Roman"/>
                <w:szCs w:val="21"/>
              </w:rPr>
              <w:t>分。</w:t>
            </w:r>
          </w:p>
          <w:p w:rsidR="00D848F8" w:rsidRDefault="00D848F8" w:rsidP="00D848F8">
            <w:pPr>
              <w:jc w:val="left"/>
              <w:rPr>
                <w:rFonts w:ascii="宋体" w:eastAsia="宋体" w:hAnsi="宋体" w:cs="Times New Roman"/>
                <w:szCs w:val="21"/>
              </w:rPr>
            </w:pPr>
            <w:r>
              <w:rPr>
                <w:rFonts w:ascii="宋体" w:eastAsia="宋体" w:hAnsi="宋体" w:cs="Times New Roman" w:hint="eastAsia"/>
                <w:szCs w:val="21"/>
              </w:rPr>
              <w:t>以上2</w:t>
            </w:r>
            <w:r>
              <w:rPr>
                <w:rFonts w:ascii="宋体" w:eastAsia="宋体" w:hAnsi="宋体" w:cs="Times New Roman"/>
                <w:szCs w:val="21"/>
              </w:rPr>
              <w:t>项累计得分。</w:t>
            </w:r>
          </w:p>
          <w:p w:rsidR="003E6DFD" w:rsidRDefault="003E6DFD" w:rsidP="003E6DFD">
            <w:pPr>
              <w:jc w:val="left"/>
              <w:rPr>
                <w:rFonts w:ascii="宋体" w:eastAsia="宋体" w:hAnsi="宋体" w:cs="Times New Roman"/>
                <w:szCs w:val="21"/>
              </w:rPr>
            </w:pPr>
            <w:r w:rsidRPr="003E6DFD">
              <w:rPr>
                <w:rFonts w:ascii="宋体" w:eastAsia="宋体" w:hAnsi="宋体" w:cs="Times New Roman" w:hint="eastAsia"/>
                <w:szCs w:val="21"/>
              </w:rPr>
              <w:t>提供项目负责人在投标单位缴纳近三个月的社保资料复印件并加盖投标人公章，否则该项不予计分；提供项目负责人的最高学历证书</w:t>
            </w:r>
            <w:r>
              <w:rPr>
                <w:rFonts w:ascii="宋体" w:eastAsia="宋体" w:hAnsi="宋体" w:cs="Times New Roman" w:hint="eastAsia"/>
                <w:szCs w:val="21"/>
              </w:rPr>
              <w:t>和</w:t>
            </w:r>
            <w:r w:rsidR="00D0607A">
              <w:rPr>
                <w:rFonts w:ascii="宋体" w:eastAsia="宋体" w:hAnsi="宋体" w:cs="Times New Roman" w:hint="eastAsia"/>
                <w:szCs w:val="21"/>
              </w:rPr>
              <w:t>PMP</w:t>
            </w:r>
            <w:r w:rsidR="00D0607A">
              <w:rPr>
                <w:rFonts w:ascii="宋体" w:eastAsia="宋体" w:hAnsi="宋体" w:cs="Times New Roman"/>
                <w:szCs w:val="21"/>
              </w:rPr>
              <w:t>证书</w:t>
            </w:r>
            <w:r>
              <w:rPr>
                <w:rFonts w:ascii="宋体" w:eastAsia="宋体" w:hAnsi="宋体" w:cs="Times New Roman"/>
                <w:szCs w:val="21"/>
              </w:rPr>
              <w:t>复印件</w:t>
            </w:r>
            <w:r w:rsidRPr="003E6DFD">
              <w:rPr>
                <w:rFonts w:ascii="宋体" w:eastAsia="宋体" w:hAnsi="宋体" w:cs="Times New Roman" w:hint="eastAsia"/>
                <w:szCs w:val="21"/>
              </w:rPr>
              <w:t>加盖投标人公章作为得分依据。</w:t>
            </w:r>
          </w:p>
          <w:p w:rsidR="00544FFC" w:rsidRPr="00D74094" w:rsidRDefault="003E6DFD" w:rsidP="003E6DFD">
            <w:pPr>
              <w:jc w:val="left"/>
              <w:rPr>
                <w:rFonts w:ascii="宋体" w:eastAsia="宋体" w:hAnsi="宋体" w:cs="Times New Roman"/>
                <w:szCs w:val="21"/>
              </w:rPr>
            </w:pPr>
            <w:r w:rsidRPr="003E6DFD">
              <w:rPr>
                <w:rFonts w:ascii="宋体" w:eastAsia="宋体" w:hAnsi="宋体" w:cs="Times New Roman" w:hint="eastAsia"/>
                <w:szCs w:val="21"/>
              </w:rPr>
              <w:t>评分中出现无证明资料或专家无法凭所提供资料判断是否得分的情况，一律作不得分处理。</w:t>
            </w:r>
          </w:p>
        </w:tc>
      </w:tr>
      <w:bookmarkEnd w:id="2"/>
      <w:tr w:rsidR="00544FFC" w:rsidTr="00D0607A">
        <w:trPr>
          <w:trHeight w:val="1408"/>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D74094" w:rsidP="00D74094">
            <w:pPr>
              <w:jc w:val="center"/>
              <w:rPr>
                <w:rFonts w:ascii="宋体" w:eastAsia="宋体" w:hAnsi="宋体" w:cs="Times New Roman"/>
                <w:szCs w:val="21"/>
              </w:rPr>
            </w:pPr>
            <w:r>
              <w:rPr>
                <w:rFonts w:ascii="宋体" w:eastAsia="宋体" w:hAnsi="宋体" w:cs="Times New Roman"/>
                <w:szCs w:val="21"/>
              </w:rPr>
              <w:t>4</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544FFC" w:rsidRPr="00710A4E" w:rsidRDefault="00544FFC" w:rsidP="00544FFC">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p>
          <w:p w:rsidR="00544FFC" w:rsidRDefault="00544FFC" w:rsidP="00544FFC">
            <w:pPr>
              <w:jc w:val="center"/>
              <w:rPr>
                <w:rFonts w:ascii="宋体" w:eastAsia="宋体" w:hAnsi="宋体" w:cs="Times New Roman"/>
                <w:color w:val="C45911"/>
                <w:szCs w:val="21"/>
              </w:rPr>
            </w:pP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D0607A" w:rsidRDefault="00D0607A" w:rsidP="00544FFC">
            <w:pPr>
              <w:rPr>
                <w:rFonts w:ascii="宋体" w:eastAsia="宋体" w:hAnsi="Times New Roman" w:cs="Times New Roman"/>
                <w:color w:val="000000" w:themeColor="text1"/>
                <w:szCs w:val="21"/>
              </w:rPr>
            </w:pPr>
            <w:r w:rsidRPr="00D0607A">
              <w:rPr>
                <w:rFonts w:ascii="宋体" w:eastAsia="宋体" w:hAnsi="Times New Roman" w:cs="Times New Roman" w:hint="eastAsia"/>
                <w:color w:val="000000" w:themeColor="text1"/>
                <w:szCs w:val="21"/>
              </w:rPr>
              <w:t>项目</w:t>
            </w:r>
            <w:r>
              <w:rPr>
                <w:rFonts w:ascii="宋体" w:eastAsia="宋体" w:hAnsi="Times New Roman" w:cs="Times New Roman" w:hint="eastAsia"/>
                <w:color w:val="000000" w:themeColor="text1"/>
                <w:szCs w:val="21"/>
              </w:rPr>
              <w:t>团队</w:t>
            </w:r>
            <w:r w:rsidRPr="00D0607A">
              <w:rPr>
                <w:rFonts w:ascii="宋体" w:eastAsia="宋体" w:hAnsi="Times New Roman" w:cs="Times New Roman" w:hint="eastAsia"/>
                <w:color w:val="000000" w:themeColor="text1"/>
                <w:szCs w:val="21"/>
              </w:rPr>
              <w:t>成员总人数要求至少</w:t>
            </w:r>
            <w:r w:rsidRPr="00D0607A">
              <w:rPr>
                <w:rFonts w:ascii="宋体" w:eastAsia="宋体" w:hAnsi="Times New Roman" w:cs="Times New Roman"/>
                <w:color w:val="000000" w:themeColor="text1"/>
                <w:szCs w:val="21"/>
              </w:rPr>
              <w:t>10人，未达到人数要求的，</w:t>
            </w:r>
            <w:r>
              <w:rPr>
                <w:rFonts w:ascii="宋体" w:eastAsia="宋体" w:hAnsi="Times New Roman" w:cs="Times New Roman" w:hint="eastAsia"/>
                <w:color w:val="000000" w:themeColor="text1"/>
                <w:szCs w:val="21"/>
              </w:rPr>
              <w:t>本项</w:t>
            </w:r>
            <w:r w:rsidRPr="00D0607A">
              <w:rPr>
                <w:rFonts w:ascii="宋体" w:eastAsia="宋体" w:hAnsi="Times New Roman" w:cs="Times New Roman"/>
                <w:color w:val="000000" w:themeColor="text1"/>
                <w:szCs w:val="21"/>
              </w:rPr>
              <w:t>不得分。</w:t>
            </w:r>
          </w:p>
          <w:p w:rsidR="003E6DFD" w:rsidRDefault="003E6DFD" w:rsidP="00544FFC">
            <w:pPr>
              <w:rPr>
                <w:rFonts w:ascii="宋体" w:eastAsia="宋体" w:hAnsi="Times New Roman" w:cs="Times New Roman"/>
                <w:color w:val="000000" w:themeColor="text1"/>
                <w:szCs w:val="21"/>
              </w:rPr>
            </w:pPr>
            <w:r w:rsidRPr="003E6DFD">
              <w:rPr>
                <w:rFonts w:ascii="宋体" w:eastAsia="宋体" w:hAnsi="Times New Roman" w:cs="Times New Roman"/>
                <w:color w:val="000000" w:themeColor="text1"/>
                <w:szCs w:val="21"/>
              </w:rPr>
              <w:t>项目团队成员须在投标人单位缴纳社保，否则不予计分。</w:t>
            </w:r>
          </w:p>
          <w:p w:rsidR="00D0607A" w:rsidRDefault="00D0607A" w:rsidP="00544FFC">
            <w:pPr>
              <w:rPr>
                <w:rFonts w:ascii="宋体" w:eastAsia="宋体" w:hAnsi="Times New Roman" w:cs="Times New Roman"/>
                <w:color w:val="000000" w:themeColor="text1"/>
                <w:szCs w:val="21"/>
              </w:rPr>
            </w:pPr>
            <w:r>
              <w:rPr>
                <w:rFonts w:ascii="宋体" w:eastAsia="宋体" w:hAnsi="Times New Roman" w:cs="Times New Roman" w:hint="eastAsia"/>
                <w:color w:val="000000" w:themeColor="text1"/>
                <w:szCs w:val="21"/>
              </w:rPr>
              <w:t>在此</w:t>
            </w:r>
            <w:r>
              <w:rPr>
                <w:rFonts w:ascii="宋体" w:eastAsia="宋体" w:hAnsi="Times New Roman" w:cs="Times New Roman"/>
                <w:color w:val="000000" w:themeColor="text1"/>
                <w:szCs w:val="21"/>
              </w:rPr>
              <w:t>基础上，</w:t>
            </w:r>
          </w:p>
          <w:p w:rsidR="00D0607A" w:rsidRPr="00D0607A" w:rsidRDefault="00D0607A" w:rsidP="00D0607A">
            <w:pPr>
              <w:rPr>
                <w:rFonts w:ascii="宋体" w:eastAsia="宋体" w:hAnsi="Times New Roman" w:cs="Times New Roman"/>
                <w:color w:val="000000" w:themeColor="text1"/>
                <w:szCs w:val="21"/>
              </w:rPr>
            </w:pPr>
            <w:r w:rsidRPr="00D0607A">
              <w:rPr>
                <w:rFonts w:ascii="宋体" w:eastAsia="宋体" w:hAnsi="Times New Roman" w:cs="Times New Roman"/>
                <w:color w:val="000000" w:themeColor="text1"/>
                <w:szCs w:val="21"/>
              </w:rPr>
              <w:t>1，项目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sidRPr="00D0607A">
              <w:rPr>
                <w:rFonts w:ascii="宋体" w:eastAsia="宋体" w:hAnsi="Times New Roman" w:cs="Times New Roman"/>
                <w:color w:val="000000" w:themeColor="text1"/>
                <w:szCs w:val="21"/>
              </w:rPr>
              <w:t>具备《特种作业操作证-低压电工作业》5人以上，《特种作业操作证-制冷与空调设备安</w:t>
            </w:r>
            <w:r w:rsidRPr="00D0607A">
              <w:rPr>
                <w:rFonts w:ascii="宋体" w:eastAsia="宋体" w:hAnsi="Times New Roman" w:cs="Times New Roman"/>
                <w:color w:val="000000" w:themeColor="text1"/>
                <w:szCs w:val="21"/>
              </w:rPr>
              <w:lastRenderedPageBreak/>
              <w:t>装修理作业》5人以上，得10</w:t>
            </w:r>
            <w:r>
              <w:rPr>
                <w:rFonts w:ascii="宋体" w:eastAsia="宋体" w:hAnsi="Times New Roman" w:cs="Times New Roman"/>
                <w:color w:val="000000" w:themeColor="text1"/>
                <w:szCs w:val="21"/>
              </w:rPr>
              <w:t>0</w:t>
            </w:r>
            <w:r w:rsidRPr="00D0607A">
              <w:rPr>
                <w:rFonts w:ascii="宋体" w:eastAsia="宋体" w:hAnsi="Times New Roman" w:cs="Times New Roman"/>
                <w:color w:val="000000" w:themeColor="text1"/>
                <w:szCs w:val="21"/>
              </w:rPr>
              <w:t>分。</w:t>
            </w:r>
          </w:p>
          <w:p w:rsidR="00D0607A" w:rsidRPr="00D0607A" w:rsidRDefault="00D0607A" w:rsidP="00D0607A">
            <w:pPr>
              <w:rPr>
                <w:rFonts w:ascii="宋体" w:eastAsia="宋体" w:hAnsi="Times New Roman" w:cs="Times New Roman"/>
                <w:color w:val="000000" w:themeColor="text1"/>
                <w:szCs w:val="21"/>
              </w:rPr>
            </w:pPr>
            <w:r w:rsidRPr="00D0607A">
              <w:rPr>
                <w:rFonts w:ascii="宋体" w:eastAsia="宋体" w:hAnsi="Times New Roman" w:cs="Times New Roman"/>
                <w:color w:val="000000" w:themeColor="text1"/>
                <w:szCs w:val="21"/>
              </w:rPr>
              <w:t>2，项目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sidRPr="00D0607A">
              <w:rPr>
                <w:rFonts w:ascii="宋体" w:eastAsia="宋体" w:hAnsi="Times New Roman" w:cs="Times New Roman"/>
                <w:color w:val="000000" w:themeColor="text1"/>
                <w:szCs w:val="21"/>
              </w:rPr>
              <w:t>具备《特种作业操作证-低压电工作业》4人，《特种作业操作证-制冷与空调设备安装修理作业》4人，得</w:t>
            </w:r>
            <w:r>
              <w:rPr>
                <w:rFonts w:ascii="宋体" w:eastAsia="宋体" w:hAnsi="Times New Roman" w:cs="Times New Roman" w:hint="eastAsia"/>
                <w:color w:val="000000" w:themeColor="text1"/>
                <w:szCs w:val="21"/>
              </w:rPr>
              <w:t>6</w:t>
            </w:r>
            <w:r>
              <w:rPr>
                <w:rFonts w:ascii="宋体" w:eastAsia="宋体" w:hAnsi="Times New Roman" w:cs="Times New Roman"/>
                <w:color w:val="000000" w:themeColor="text1"/>
                <w:szCs w:val="21"/>
              </w:rPr>
              <w:t>0</w:t>
            </w:r>
            <w:r w:rsidRPr="00D0607A">
              <w:rPr>
                <w:rFonts w:ascii="宋体" w:eastAsia="宋体" w:hAnsi="Times New Roman" w:cs="Times New Roman"/>
                <w:color w:val="000000" w:themeColor="text1"/>
                <w:szCs w:val="21"/>
              </w:rPr>
              <w:t>分。</w:t>
            </w:r>
          </w:p>
          <w:p w:rsidR="00D0607A" w:rsidRPr="00D0607A" w:rsidRDefault="00D0607A" w:rsidP="00D0607A">
            <w:pPr>
              <w:rPr>
                <w:rFonts w:ascii="宋体" w:eastAsia="宋体" w:hAnsi="Times New Roman" w:cs="Times New Roman"/>
                <w:color w:val="000000" w:themeColor="text1"/>
                <w:szCs w:val="21"/>
              </w:rPr>
            </w:pPr>
            <w:r w:rsidRPr="00D0607A">
              <w:rPr>
                <w:rFonts w:ascii="宋体" w:eastAsia="宋体" w:hAnsi="Times New Roman" w:cs="Times New Roman"/>
                <w:color w:val="000000" w:themeColor="text1"/>
                <w:szCs w:val="21"/>
              </w:rPr>
              <w:t>3，项目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sidRPr="00D0607A">
              <w:rPr>
                <w:rFonts w:ascii="宋体" w:eastAsia="宋体" w:hAnsi="Times New Roman" w:cs="Times New Roman"/>
                <w:color w:val="000000" w:themeColor="text1"/>
                <w:szCs w:val="21"/>
              </w:rPr>
              <w:t>具备《特种作业操作证-低压电工作业》3人，《特种作业操作证-制冷与空调设备安装修理作业》3人，得4</w:t>
            </w:r>
            <w:r>
              <w:rPr>
                <w:rFonts w:ascii="宋体" w:eastAsia="宋体" w:hAnsi="Times New Roman" w:cs="Times New Roman"/>
                <w:color w:val="000000" w:themeColor="text1"/>
                <w:szCs w:val="21"/>
              </w:rPr>
              <w:t>0</w:t>
            </w:r>
            <w:r w:rsidRPr="00D0607A">
              <w:rPr>
                <w:rFonts w:ascii="宋体" w:eastAsia="宋体" w:hAnsi="Times New Roman" w:cs="Times New Roman"/>
                <w:color w:val="000000" w:themeColor="text1"/>
                <w:szCs w:val="21"/>
              </w:rPr>
              <w:t>分</w:t>
            </w:r>
          </w:p>
          <w:p w:rsidR="00D0607A" w:rsidRDefault="00D0607A" w:rsidP="00D0607A">
            <w:pPr>
              <w:rPr>
                <w:rFonts w:ascii="宋体" w:eastAsia="宋体" w:hAnsi="Times New Roman" w:cs="Times New Roman"/>
                <w:color w:val="000000" w:themeColor="text1"/>
                <w:szCs w:val="21"/>
              </w:rPr>
            </w:pPr>
            <w:r w:rsidRPr="00D0607A">
              <w:rPr>
                <w:rFonts w:ascii="宋体" w:eastAsia="宋体" w:hAnsi="Times New Roman" w:cs="Times New Roman"/>
                <w:color w:val="000000" w:themeColor="text1"/>
                <w:szCs w:val="21"/>
              </w:rPr>
              <w:t>3</w:t>
            </w:r>
            <w:r>
              <w:rPr>
                <w:rFonts w:ascii="宋体" w:eastAsia="宋体" w:hAnsi="Times New Roman" w:cs="Times New Roman"/>
                <w:color w:val="000000" w:themeColor="text1"/>
                <w:szCs w:val="21"/>
              </w:rPr>
              <w:t>，项目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sidRPr="00D0607A">
              <w:rPr>
                <w:rFonts w:ascii="宋体" w:eastAsia="宋体" w:hAnsi="Times New Roman" w:cs="Times New Roman"/>
                <w:color w:val="000000" w:themeColor="text1"/>
                <w:szCs w:val="21"/>
              </w:rPr>
              <w:t>具备《特种作业操作证-低压电工作业》不足3人，《特种作业操作证-制冷与空调设备安装修理作业》不足3人，得2</w:t>
            </w:r>
            <w:r>
              <w:rPr>
                <w:rFonts w:ascii="宋体" w:eastAsia="宋体" w:hAnsi="Times New Roman" w:cs="Times New Roman"/>
                <w:color w:val="000000" w:themeColor="text1"/>
                <w:szCs w:val="21"/>
              </w:rPr>
              <w:t>0</w:t>
            </w:r>
            <w:r w:rsidRPr="00D0607A">
              <w:rPr>
                <w:rFonts w:ascii="宋体" w:eastAsia="宋体" w:hAnsi="Times New Roman" w:cs="Times New Roman"/>
                <w:color w:val="000000" w:themeColor="text1"/>
                <w:szCs w:val="21"/>
              </w:rPr>
              <w:t>分。</w:t>
            </w:r>
          </w:p>
          <w:p w:rsidR="00024DF7" w:rsidRDefault="00024DF7" w:rsidP="00544FFC">
            <w:pPr>
              <w:rPr>
                <w:rFonts w:ascii="宋体" w:eastAsia="宋体" w:hAnsi="Times New Roman" w:cs="Times New Roman"/>
                <w:color w:val="000000" w:themeColor="text1"/>
                <w:szCs w:val="21"/>
              </w:rPr>
            </w:pPr>
            <w:r w:rsidRPr="00024DF7">
              <w:rPr>
                <w:rFonts w:ascii="宋体" w:eastAsia="宋体" w:hAnsi="Times New Roman" w:cs="Times New Roman" w:hint="eastAsia"/>
                <w:color w:val="000000" w:themeColor="text1"/>
                <w:szCs w:val="21"/>
              </w:rPr>
              <w:t>提供项目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Pr>
                <w:rFonts w:ascii="宋体" w:eastAsia="宋体" w:hAnsi="Times New Roman" w:cs="Times New Roman" w:hint="eastAsia"/>
                <w:color w:val="000000" w:themeColor="text1"/>
                <w:szCs w:val="21"/>
              </w:rPr>
              <w:t>在投标单位缴纳近三个月</w:t>
            </w:r>
            <w:r w:rsidRPr="00024DF7">
              <w:rPr>
                <w:rFonts w:ascii="宋体" w:eastAsia="宋体" w:hAnsi="Times New Roman" w:cs="Times New Roman" w:hint="eastAsia"/>
                <w:color w:val="000000" w:themeColor="text1"/>
                <w:szCs w:val="21"/>
              </w:rPr>
              <w:t>社保</w:t>
            </w:r>
            <w:r>
              <w:rPr>
                <w:rFonts w:ascii="宋体" w:eastAsia="宋体" w:hAnsi="Times New Roman" w:cs="Times New Roman" w:hint="eastAsia"/>
                <w:color w:val="000000" w:themeColor="text1"/>
                <w:szCs w:val="21"/>
              </w:rPr>
              <w:t>的</w:t>
            </w:r>
            <w:r w:rsidRPr="00024DF7">
              <w:rPr>
                <w:rFonts w:ascii="宋体" w:eastAsia="宋体" w:hAnsi="Times New Roman" w:cs="Times New Roman" w:hint="eastAsia"/>
                <w:color w:val="000000" w:themeColor="text1"/>
                <w:szCs w:val="21"/>
              </w:rPr>
              <w:t>资料复印件并加盖投标人公章，否则该</w:t>
            </w:r>
            <w:r>
              <w:rPr>
                <w:rFonts w:ascii="宋体" w:eastAsia="宋体" w:hAnsi="Times New Roman" w:cs="Times New Roman" w:hint="eastAsia"/>
                <w:color w:val="000000" w:themeColor="text1"/>
                <w:szCs w:val="21"/>
              </w:rPr>
              <w:t>成员</w:t>
            </w:r>
            <w:r>
              <w:rPr>
                <w:rFonts w:ascii="宋体" w:eastAsia="宋体" w:hAnsi="Times New Roman" w:cs="Times New Roman"/>
                <w:color w:val="000000" w:themeColor="text1"/>
                <w:szCs w:val="21"/>
              </w:rPr>
              <w:t>在该</w:t>
            </w:r>
            <w:r w:rsidRPr="00024DF7">
              <w:rPr>
                <w:rFonts w:ascii="宋体" w:eastAsia="宋体" w:hAnsi="Times New Roman" w:cs="Times New Roman" w:hint="eastAsia"/>
                <w:color w:val="000000" w:themeColor="text1"/>
                <w:szCs w:val="21"/>
              </w:rPr>
              <w:t>项不予计分；</w:t>
            </w:r>
          </w:p>
          <w:p w:rsidR="00024DF7" w:rsidRPr="00024DF7" w:rsidRDefault="00024DF7" w:rsidP="00544FFC">
            <w:pPr>
              <w:rPr>
                <w:rFonts w:ascii="宋体" w:eastAsia="宋体" w:hAnsi="Times New Roman" w:cs="Times New Roman"/>
                <w:color w:val="000000" w:themeColor="text1"/>
                <w:szCs w:val="21"/>
              </w:rPr>
            </w:pPr>
            <w:r w:rsidRPr="00024DF7">
              <w:rPr>
                <w:rFonts w:ascii="宋体" w:eastAsia="宋体" w:hAnsi="Times New Roman" w:cs="Times New Roman" w:hint="eastAsia"/>
                <w:color w:val="000000" w:themeColor="text1"/>
                <w:szCs w:val="21"/>
              </w:rPr>
              <w:t>提供项目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sidRPr="00024DF7">
              <w:rPr>
                <w:rFonts w:ascii="宋体" w:eastAsia="宋体" w:hAnsi="Times New Roman" w:cs="Times New Roman" w:hint="eastAsia"/>
                <w:color w:val="000000" w:themeColor="text1"/>
                <w:szCs w:val="21"/>
              </w:rPr>
              <w:t>的</w:t>
            </w:r>
            <w:r w:rsidR="00D0607A">
              <w:rPr>
                <w:rFonts w:ascii="宋体" w:eastAsia="宋体" w:hAnsi="Times New Roman" w:cs="Times New Roman" w:hint="eastAsia"/>
                <w:color w:val="000000" w:themeColor="text1"/>
                <w:szCs w:val="21"/>
              </w:rPr>
              <w:t>资格</w:t>
            </w:r>
            <w:r w:rsidR="00D0607A">
              <w:rPr>
                <w:rFonts w:ascii="宋体" w:eastAsia="宋体" w:hAnsi="Times New Roman" w:cs="Times New Roman"/>
                <w:color w:val="000000" w:themeColor="text1"/>
                <w:szCs w:val="21"/>
              </w:rPr>
              <w:t>证书</w:t>
            </w:r>
            <w:r w:rsidRPr="00024DF7">
              <w:rPr>
                <w:rFonts w:ascii="宋体" w:eastAsia="宋体" w:hAnsi="Times New Roman" w:cs="Times New Roman" w:hint="eastAsia"/>
                <w:color w:val="000000" w:themeColor="text1"/>
                <w:szCs w:val="21"/>
              </w:rPr>
              <w:t>复印件加盖投标人公章作为得分依据。</w:t>
            </w:r>
          </w:p>
          <w:p w:rsidR="00544FFC" w:rsidRPr="00710A4E" w:rsidRDefault="00544FFC" w:rsidP="00544FFC">
            <w:pPr>
              <w:rPr>
                <w:rFonts w:ascii="宋体" w:eastAsia="宋体" w:hAnsi="宋体" w:cs="Times New Roman"/>
                <w:color w:val="000000" w:themeColor="text1"/>
                <w:szCs w:val="21"/>
              </w:rPr>
            </w:pPr>
          </w:p>
          <w:p w:rsidR="00544FFC" w:rsidRDefault="00544FFC" w:rsidP="00B46356">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w:t>
            </w:r>
            <w:r w:rsidR="0034044F">
              <w:rPr>
                <w:rFonts w:ascii="宋体" w:eastAsia="宋体" w:hAnsi="宋体" w:cs="Times New Roman" w:hint="eastAsia"/>
                <w:color w:val="000000" w:themeColor="text1"/>
                <w:szCs w:val="21"/>
              </w:rPr>
              <w:t>中出现无证明资料或专家无法凭所提供资料判断是否得分的情况，一律</w:t>
            </w:r>
            <w:r w:rsidR="00B46356">
              <w:rPr>
                <w:rFonts w:ascii="宋体" w:eastAsia="宋体" w:hAnsi="宋体" w:cs="Times New Roman" w:hint="eastAsia"/>
                <w:color w:val="000000" w:themeColor="text1"/>
                <w:szCs w:val="21"/>
              </w:rPr>
              <w:t>作</w:t>
            </w:r>
            <w:r w:rsidRPr="00710A4E">
              <w:rPr>
                <w:rFonts w:ascii="宋体" w:eastAsia="宋体" w:hAnsi="宋体" w:cs="Times New Roman" w:hint="eastAsia"/>
                <w:color w:val="000000" w:themeColor="text1"/>
                <w:szCs w:val="21"/>
              </w:rPr>
              <w:t>不得分处理。</w:t>
            </w:r>
          </w:p>
        </w:tc>
      </w:tr>
      <w:tr w:rsidR="00544FFC" w:rsidTr="0005721D">
        <w:trPr>
          <w:trHeight w:val="1905"/>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EB3F07" w:rsidP="00544FFC">
            <w:pPr>
              <w:jc w:val="center"/>
              <w:rPr>
                <w:rFonts w:ascii="宋体" w:eastAsia="宋体" w:hAnsi="宋体" w:cs="Times New Roman"/>
                <w:szCs w:val="21"/>
              </w:rPr>
            </w:pPr>
            <w:r>
              <w:rPr>
                <w:rFonts w:ascii="宋体" w:eastAsia="宋体" w:hAnsi="宋体" w:cs="Times New Roman"/>
                <w:szCs w:val="21"/>
              </w:rPr>
              <w:t>5</w:t>
            </w:r>
          </w:p>
        </w:tc>
        <w:tc>
          <w:tcPr>
            <w:tcW w:w="2297" w:type="dxa"/>
          </w:tcPr>
          <w:p w:rsidR="00544FFC" w:rsidRPr="007D5B61" w:rsidRDefault="00544FFC" w:rsidP="00544FFC">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rsidR="00544FFC" w:rsidRPr="007D5B61" w:rsidRDefault="00EB3F07" w:rsidP="00EB3F07">
            <w:pPr>
              <w:jc w:val="center"/>
              <w:rPr>
                <w:rFonts w:ascii="宋体" w:eastAsia="宋体" w:hAnsi="宋体" w:cs="Times New Roman"/>
                <w:szCs w:val="21"/>
              </w:rPr>
            </w:pPr>
            <w:r>
              <w:rPr>
                <w:rFonts w:ascii="宋体" w:eastAsia="宋体" w:hAnsi="宋体" w:cs="Times New Roman"/>
                <w:szCs w:val="21"/>
              </w:rPr>
              <w:t>3</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7D5B61" w:rsidRDefault="00544FFC" w:rsidP="00544FFC">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5</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6</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7</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w:t>
            </w:r>
            <w:r>
              <w:rPr>
                <w:rFonts w:ascii="宋体" w:eastAsia="宋体" w:hAnsi="宋体" w:cs="Times New Roman" w:hint="eastAsia"/>
                <w:szCs w:val="21"/>
              </w:rPr>
              <w:lastRenderedPageBreak/>
              <w:t>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E52A79" w:rsidRPr="00E52A79">
        <w:rPr>
          <w:rFonts w:ascii="宋体" w:eastAsia="宋体" w:hAnsi="宋体" w:cs="宋体" w:hint="eastAsia"/>
          <w:kern w:val="0"/>
          <w:szCs w:val="21"/>
          <w:u w:val="single"/>
        </w:rPr>
        <w:t>中心机房运维外包服务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E8522F">
        <w:rPr>
          <w:rFonts w:ascii="Times New Roman" w:eastAsia="宋体" w:hAnsi="Times New Roman" w:cs="Times New Roman"/>
          <w:color w:val="FF0000"/>
          <w:szCs w:val="24"/>
        </w:rPr>
        <w:t>SZUCG20170167FW</w:t>
      </w:r>
      <w:r w:rsidRPr="00AB03A9">
        <w:rPr>
          <w:rFonts w:ascii="Times New Roman" w:eastAsia="宋体" w:hAnsi="Times New Roman" w:cs="Times New Roman" w:hint="eastAsia"/>
          <w:color w:val="FF0000"/>
          <w:szCs w:val="24"/>
        </w:rPr>
        <w:t xml:space="preserve"> </w:t>
      </w:r>
    </w:p>
    <w:p w:rsidR="00AB03A9" w:rsidRPr="00AB03A9" w:rsidRDefault="00AB03A9" w:rsidP="00E8522F">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E8522F" w:rsidRPr="00E8522F">
        <w:rPr>
          <w:rFonts w:ascii="宋体" w:eastAsia="宋体" w:hAnsi="宋体" w:cs="宋体" w:hint="eastAsia"/>
          <w:color w:val="FF0000"/>
          <w:kern w:val="0"/>
          <w:szCs w:val="21"/>
        </w:rPr>
        <w:t>中心机房运维外包服务</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A695D">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BB6FD7">
        <w:rPr>
          <w:rFonts w:ascii="Times New Roman" w:eastAsia="宋体" w:hAnsi="Times New Roman" w:cs="Times New Roman" w:hint="eastAsia"/>
          <w:color w:val="FF0000"/>
          <w:szCs w:val="24"/>
        </w:rPr>
        <w:t>1</w:t>
      </w:r>
      <w:r w:rsidR="00BB6FD7">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A695D">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BB6FD7">
        <w:rPr>
          <w:rFonts w:ascii="Times New Roman" w:eastAsia="宋体" w:hAnsi="Times New Roman" w:cs="Times New Roman" w:hint="eastAsia"/>
          <w:color w:val="FF0000"/>
          <w:szCs w:val="24"/>
        </w:rPr>
        <w:t>2</w:t>
      </w:r>
      <w:r w:rsidR="00BB6FD7">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w:t>
      </w:r>
      <w:r w:rsidRPr="00AB03A9">
        <w:rPr>
          <w:rFonts w:ascii="Times New Roman" w:eastAsia="宋体" w:hAnsi="Times New Roman" w:cs="Times New Roman" w:hint="eastAsia"/>
          <w:color w:val="222222"/>
          <w:szCs w:val="24"/>
        </w:rPr>
        <w:lastRenderedPageBreak/>
        <w:t>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3B1A60">
        <w:rPr>
          <w:rFonts w:ascii="宋体" w:eastAsia="宋体" w:hAnsi="宋体" w:cs="宋体"/>
          <w:color w:val="FF0000"/>
          <w:kern w:val="0"/>
          <w:szCs w:val="21"/>
        </w:rPr>
        <w:t>7</w:t>
      </w:r>
      <w:r w:rsidRPr="00AB03A9">
        <w:rPr>
          <w:rFonts w:ascii="宋体" w:eastAsia="宋体" w:hAnsi="宋体" w:cs="宋体"/>
          <w:color w:val="FF0000"/>
          <w:kern w:val="0"/>
          <w:szCs w:val="21"/>
        </w:rPr>
        <w:t>月</w:t>
      </w:r>
      <w:r w:rsidR="00BB6FD7">
        <w:rPr>
          <w:rFonts w:ascii="宋体" w:eastAsia="宋体" w:hAnsi="宋体" w:cs="宋体" w:hint="eastAsia"/>
          <w:color w:val="FF0000"/>
          <w:kern w:val="0"/>
          <w:szCs w:val="21"/>
        </w:rPr>
        <w:t>2</w:t>
      </w:r>
      <w:r w:rsidR="00BB6FD7">
        <w:rPr>
          <w:rFonts w:ascii="宋体" w:eastAsia="宋体" w:hAnsi="宋体" w:cs="宋体"/>
          <w:color w:val="FF0000"/>
          <w:kern w:val="0"/>
          <w:szCs w:val="21"/>
        </w:rPr>
        <w:t>4</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15:00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3B1A60">
        <w:rPr>
          <w:rFonts w:ascii="宋体" w:eastAsia="宋体" w:hAnsi="宋体" w:cs="宋体"/>
          <w:color w:val="FF0000"/>
          <w:kern w:val="0"/>
          <w:szCs w:val="21"/>
        </w:rPr>
        <w:t>7</w:t>
      </w:r>
      <w:r w:rsidRPr="00AB03A9">
        <w:rPr>
          <w:rFonts w:ascii="宋体" w:eastAsia="宋体" w:hAnsi="宋体" w:cs="宋体"/>
          <w:color w:val="FF0000"/>
          <w:kern w:val="0"/>
          <w:szCs w:val="21"/>
        </w:rPr>
        <w:t>月</w:t>
      </w:r>
      <w:r w:rsidR="00BB6FD7">
        <w:rPr>
          <w:rFonts w:ascii="宋体" w:eastAsia="宋体" w:hAnsi="宋体" w:cs="宋体" w:hint="eastAsia"/>
          <w:color w:val="FF0000"/>
          <w:kern w:val="0"/>
          <w:szCs w:val="21"/>
        </w:rPr>
        <w:t>2</w:t>
      </w:r>
      <w:r w:rsidR="00BB6FD7">
        <w:rPr>
          <w:rFonts w:ascii="宋体" w:eastAsia="宋体" w:hAnsi="宋体" w:cs="宋体"/>
          <w:color w:val="FF0000"/>
          <w:kern w:val="0"/>
          <w:szCs w:val="21"/>
        </w:rPr>
        <w:t>4</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0"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0"/>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6A695D">
        <w:rPr>
          <w:rFonts w:ascii="宋体" w:eastAsia="宋体" w:hAnsi="宋体" w:cs="Times New Roman"/>
          <w:szCs w:val="21"/>
        </w:rPr>
        <w:t>7</w:t>
      </w:r>
      <w:r w:rsidRPr="00AB03A9">
        <w:rPr>
          <w:rFonts w:ascii="宋体" w:eastAsia="宋体" w:hAnsi="宋体" w:cs="Times New Roman" w:hint="eastAsia"/>
          <w:szCs w:val="21"/>
        </w:rPr>
        <w:t>月</w:t>
      </w:r>
      <w:r w:rsidR="00BB6FD7">
        <w:rPr>
          <w:rFonts w:ascii="宋体" w:eastAsia="宋体" w:hAnsi="宋体" w:cs="Times New Roman" w:hint="eastAsia"/>
          <w:szCs w:val="21"/>
        </w:rPr>
        <w:t>1</w:t>
      </w:r>
      <w:r w:rsidR="00BB6FD7">
        <w:rPr>
          <w:rFonts w:ascii="宋体" w:eastAsia="宋体" w:hAnsi="宋体" w:cs="Times New Roman"/>
          <w:szCs w:val="21"/>
        </w:rPr>
        <w:t>3</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3D5E7F" w:rsidP="00E8522F">
            <w:pPr>
              <w:rPr>
                <w:rFonts w:ascii="宋体" w:eastAsia="宋体" w:hAnsi="宋体" w:cs="Times New Roman"/>
                <w:szCs w:val="24"/>
              </w:rPr>
            </w:pPr>
            <w:r>
              <w:rPr>
                <w:rFonts w:ascii="宋体" w:eastAsia="宋体" w:hAnsi="宋体" w:cs="Times New Roman"/>
                <w:color w:val="FF0000"/>
                <w:szCs w:val="24"/>
              </w:rPr>
              <w:t>2</w:t>
            </w:r>
            <w:r w:rsidR="00E8522F">
              <w:rPr>
                <w:rFonts w:ascii="宋体" w:eastAsia="宋体" w:hAnsi="宋体" w:cs="Times New Roman"/>
                <w:color w:val="FF0000"/>
                <w:szCs w:val="24"/>
              </w:rPr>
              <w:t>2</w:t>
            </w:r>
            <w:r w:rsidR="003B1A60">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rsidR="007C0ECB" w:rsidRPr="007C0ECB" w:rsidRDefault="00E8522F" w:rsidP="003B1A60">
      <w:pPr>
        <w:ind w:firstLineChars="200" w:firstLine="420"/>
        <w:rPr>
          <w:rFonts w:ascii="Times New Roman" w:eastAsia="宋体" w:hAnsi="Times New Roman" w:cs="Times New Roman"/>
          <w:szCs w:val="24"/>
        </w:rPr>
      </w:pPr>
      <w:r w:rsidRPr="00E8522F">
        <w:rPr>
          <w:rFonts w:ascii="Times New Roman" w:eastAsia="宋体" w:hAnsi="Times New Roman" w:cs="Times New Roman" w:hint="eastAsia"/>
          <w:szCs w:val="24"/>
        </w:rPr>
        <w:t>为保障深圳大学信息中心机房运行稳定，为学校</w:t>
      </w:r>
      <w:r w:rsidRPr="00E8522F">
        <w:rPr>
          <w:rFonts w:ascii="Times New Roman" w:eastAsia="宋体" w:hAnsi="Times New Roman" w:cs="Times New Roman"/>
          <w:szCs w:val="24"/>
        </w:rPr>
        <w:t>IT</w:t>
      </w:r>
      <w:r w:rsidRPr="00E8522F">
        <w:rPr>
          <w:rFonts w:ascii="Times New Roman" w:eastAsia="宋体" w:hAnsi="Times New Roman" w:cs="Times New Roman"/>
          <w:szCs w:val="24"/>
        </w:rPr>
        <w:t>设备的正常工作营造一个可靠的运行环境，特向社会采购专业的数据中心基础设施维保服务。该服务主要内容为数据中心基础设施的故障抢修服务和例行巡检、保养服务。</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w:t>
      </w:r>
      <w:r w:rsidR="003D77D0">
        <w:rPr>
          <w:rFonts w:ascii="Arial" w:eastAsia="黑体" w:hAnsi="Arial" w:cs="Times New Roman" w:hint="eastAsia"/>
          <w:b/>
          <w:sz w:val="24"/>
          <w:szCs w:val="20"/>
        </w:rPr>
        <w:t>内容</w:t>
      </w:r>
    </w:p>
    <w:p w:rsidR="00AB03A9" w:rsidRDefault="00E8522F" w:rsidP="003D77D0">
      <w:pPr>
        <w:spacing w:line="360" w:lineRule="auto"/>
        <w:rPr>
          <w:rFonts w:ascii="宋体" w:eastAsia="宋体" w:hAnsi="宋体" w:cs="Times New Roman"/>
          <w:szCs w:val="21"/>
        </w:rPr>
      </w:pPr>
      <w:r w:rsidRPr="00E8522F">
        <w:rPr>
          <w:rFonts w:ascii="宋体" w:eastAsia="宋体" w:hAnsi="宋体" w:cs="Times New Roman" w:hint="eastAsia"/>
          <w:szCs w:val="21"/>
        </w:rPr>
        <w:t>主要设备清单：</w:t>
      </w:r>
    </w:p>
    <w:tbl>
      <w:tblPr>
        <w:tblW w:w="7738" w:type="dxa"/>
        <w:tblInd w:w="759" w:type="dxa"/>
        <w:tblLayout w:type="fixed"/>
        <w:tblCellMar>
          <w:left w:w="0" w:type="dxa"/>
          <w:right w:w="0" w:type="dxa"/>
        </w:tblCellMar>
        <w:tblLook w:val="04A0" w:firstRow="1" w:lastRow="0" w:firstColumn="1" w:lastColumn="0" w:noHBand="0" w:noVBand="1"/>
      </w:tblPr>
      <w:tblGrid>
        <w:gridCol w:w="685"/>
        <w:gridCol w:w="1973"/>
        <w:gridCol w:w="1165"/>
        <w:gridCol w:w="2693"/>
        <w:gridCol w:w="537"/>
        <w:gridCol w:w="685"/>
      </w:tblGrid>
      <w:tr w:rsidR="001F7C2B" w:rsidTr="00F75FE2">
        <w:trPr>
          <w:trHeight w:val="454"/>
        </w:trPr>
        <w:tc>
          <w:tcPr>
            <w:tcW w:w="68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序号</w:t>
            </w:r>
          </w:p>
        </w:tc>
        <w:tc>
          <w:tcPr>
            <w:tcW w:w="1973"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设备名</w:t>
            </w:r>
          </w:p>
        </w:tc>
        <w:tc>
          <w:tcPr>
            <w:tcW w:w="1165"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品牌</w:t>
            </w:r>
          </w:p>
        </w:tc>
        <w:tc>
          <w:tcPr>
            <w:tcW w:w="2693"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设备型号</w:t>
            </w:r>
          </w:p>
        </w:tc>
        <w:tc>
          <w:tcPr>
            <w:tcW w:w="537"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设备数量</w:t>
            </w:r>
          </w:p>
        </w:tc>
        <w:tc>
          <w:tcPr>
            <w:tcW w:w="685"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1</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UPS</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艾默生</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Hiplus-120K</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主机房空调</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艾默生</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CMplus-60KW</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UPS房空调</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艾默生</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DMC12WT</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新空调</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艾特网能</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CS012HAOTOO</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消防系统</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云涛</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云涛3FM</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套</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视频监控（含硬件）</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中技通</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中技通</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套</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动环监控（含硬件）</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中技通</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中技通</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套</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低压配电柜</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施耐德</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常用UPS输出、输入，空调输出、输入成套配电柜</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1F7C2B" w:rsidTr="00F75FE2">
        <w:trPr>
          <w:trHeight w:val="454"/>
        </w:trPr>
        <w:tc>
          <w:tcPr>
            <w:tcW w:w="685" w:type="dxa"/>
            <w:tcBorders>
              <w:top w:val="nil"/>
              <w:left w:val="single" w:sz="12" w:space="0" w:color="000000"/>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c>
          <w:tcPr>
            <w:tcW w:w="197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机房防雷系统</w:t>
            </w:r>
          </w:p>
        </w:tc>
        <w:tc>
          <w:tcPr>
            <w:tcW w:w="11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中光高科</w:t>
            </w:r>
          </w:p>
        </w:tc>
        <w:tc>
          <w:tcPr>
            <w:tcW w:w="26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ZGG120-420</w:t>
            </w:r>
          </w:p>
          <w:p w:rsidR="001F7C2B" w:rsidRDefault="001F7C2B" w:rsidP="00F75FE2">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ZGG80-385</w:t>
            </w:r>
          </w:p>
          <w:p w:rsidR="001F7C2B" w:rsidRDefault="001F7C2B" w:rsidP="00F75FE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ZGG40-385</w:t>
            </w:r>
          </w:p>
        </w:tc>
        <w:tc>
          <w:tcPr>
            <w:tcW w:w="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68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7C2B" w:rsidRDefault="001F7C2B" w:rsidP="00F75FE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套</w:t>
            </w:r>
          </w:p>
        </w:tc>
      </w:tr>
    </w:tbl>
    <w:p w:rsidR="00E8522F" w:rsidRDefault="00E8522F" w:rsidP="003D77D0">
      <w:pPr>
        <w:spacing w:line="360" w:lineRule="auto"/>
        <w:rPr>
          <w:rFonts w:ascii="宋体" w:eastAsia="宋体" w:hAnsi="宋体" w:cs="Times New Roman"/>
          <w:szCs w:val="21"/>
        </w:rPr>
      </w:pP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Pr>
          <w:rFonts w:ascii="Arial" w:eastAsia="黑体" w:hAnsi="Arial" w:cs="Times New Roman"/>
          <w:b/>
          <w:sz w:val="24"/>
          <w:szCs w:val="20"/>
        </w:rPr>
        <w:t xml:space="preserve"> </w:t>
      </w:r>
      <w:r w:rsidR="00CC06C6">
        <w:rPr>
          <w:rFonts w:ascii="Arial" w:eastAsia="黑体" w:hAnsi="Arial" w:cs="Times New Roman" w:hint="eastAsia"/>
          <w:b/>
          <w:sz w:val="24"/>
          <w:szCs w:val="20"/>
        </w:rPr>
        <w:t>项目</w:t>
      </w:r>
      <w:r w:rsidR="003D77D0">
        <w:rPr>
          <w:rFonts w:ascii="Arial" w:eastAsia="黑体" w:hAnsi="Arial" w:cs="Times New Roman" w:hint="eastAsia"/>
          <w:b/>
          <w:sz w:val="24"/>
          <w:szCs w:val="20"/>
        </w:rPr>
        <w:t>服务要</w:t>
      </w:r>
      <w:r w:rsidR="00CC06C6">
        <w:rPr>
          <w:rFonts w:ascii="Arial" w:eastAsia="黑体" w:hAnsi="Arial" w:cs="Times New Roman"/>
          <w:b/>
          <w:sz w:val="24"/>
          <w:szCs w:val="20"/>
        </w:rPr>
        <w:t>求</w:t>
      </w:r>
    </w:p>
    <w:tbl>
      <w:tblPr>
        <w:tblW w:w="8335" w:type="dxa"/>
        <w:tblLayout w:type="fixed"/>
        <w:tblCellMar>
          <w:left w:w="0" w:type="dxa"/>
          <w:right w:w="0" w:type="dxa"/>
        </w:tblCellMar>
        <w:tblLook w:val="04A0" w:firstRow="1" w:lastRow="0" w:firstColumn="1" w:lastColumn="0" w:noHBand="0" w:noVBand="1"/>
      </w:tblPr>
      <w:tblGrid>
        <w:gridCol w:w="1185"/>
        <w:gridCol w:w="4450"/>
        <w:gridCol w:w="1067"/>
        <w:gridCol w:w="1633"/>
      </w:tblGrid>
      <w:tr w:rsidR="00A9513A" w:rsidTr="00F75FE2">
        <w:trPr>
          <w:trHeight w:val="285"/>
        </w:trPr>
        <w:tc>
          <w:tcPr>
            <w:tcW w:w="1185" w:type="dxa"/>
            <w:tcBorders>
              <w:top w:val="single" w:sz="8" w:space="0" w:color="auto"/>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服务类别</w:t>
            </w:r>
          </w:p>
        </w:tc>
        <w:tc>
          <w:tcPr>
            <w:tcW w:w="4450" w:type="dxa"/>
            <w:tcBorders>
              <w:top w:val="single" w:sz="8"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服务内容</w:t>
            </w:r>
          </w:p>
        </w:tc>
        <w:tc>
          <w:tcPr>
            <w:tcW w:w="1067" w:type="dxa"/>
            <w:tcBorders>
              <w:top w:val="single" w:sz="8"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服务级别</w:t>
            </w:r>
          </w:p>
        </w:tc>
        <w:tc>
          <w:tcPr>
            <w:tcW w:w="1633" w:type="dxa"/>
            <w:tcBorders>
              <w:top w:val="single" w:sz="8" w:space="0" w:color="auto"/>
              <w:left w:val="nil"/>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服务成果</w:t>
            </w:r>
          </w:p>
        </w:tc>
      </w:tr>
      <w:tr w:rsidR="00A9513A" w:rsidTr="00F75FE2">
        <w:trPr>
          <w:trHeight w:val="55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UPS故障抢修服务</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1，在UPS发生故障时，UPS原厂工程师4小时内奔赴现场维修，4小时内恢复机房正常运转。</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7*24*2</w:t>
            </w:r>
          </w:p>
        </w:tc>
        <w:tc>
          <w:tcPr>
            <w:tcW w:w="1633" w:type="dxa"/>
            <w:vMerge w:val="restart"/>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《现场服务报告》；《故障分析报告》</w:t>
            </w: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2，UPS备件专备专用，保证备件更换的及时性。</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3，维保期间，免费更换所有故障备件，所换备件均为全新原厂备件。</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4，7*24小时客服电话，提供全面的技术支持。</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UPS巡检维护</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1，定期对机房UPS配电系统进行巡检，每年四次，每次巡检不少于2名专业工程师</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一年4次</w:t>
            </w:r>
          </w:p>
        </w:tc>
        <w:tc>
          <w:tcPr>
            <w:tcW w:w="1633" w:type="dxa"/>
            <w:vMerge w:val="restart"/>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《UPS巡检报告》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2，每次巡检需检查UPS运行情况，具体检查项目见《UPS巡检服务报告》</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3，每次UPS系统巡检需对UPS电池进行检测和清洁。</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4，每次UPS系统巡检需用红外热成像仪对UPS内部主要元器件进行红外热成像检测。</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40"/>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nil"/>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5，每次UPS系统巡检需对UPS进行输入电压电流谐波检测分析</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，输出电压电流谐波检测分析。</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精密空调故障抢修</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1，在精密空调发生故障时，空调专业工程师4小时内奔赴现场维修，4小时内恢复机房正常运转。</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7*24*2</w:t>
            </w: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2，精密空调备件专备专用，为机房维保设备于深圳基地专门储备备件，保证备件更换的及时性。</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；《故障分析报告》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3，维保期间，免费更换所有故障备件，所换备件均为全新原厂备件。</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4，7*24小时客服电话，提供全面的技术支持。</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5，现场服务工程师为具备精密空调原厂工作经验的专业工程师。</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55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精密空调巡检</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1，定期对机房空调进行巡检，每年四次，每次巡检不少于2名专业工程师</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一年4次</w:t>
            </w:r>
          </w:p>
        </w:tc>
        <w:tc>
          <w:tcPr>
            <w:tcW w:w="1633" w:type="dxa"/>
            <w:vMerge w:val="restart"/>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《精密空调巡检报告》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2，每次巡检需检查空调运行情况，具体检查项目见《精密空调巡检服务报告》</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3，每次空调巡检需对空调室外机进行保养。</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4，现场服务工程师为具备精密空调原厂工作经验的专业工程师。</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消防系统故障维修</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1，7*24小时客服电话，提供全面的技术支持。</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7*24*2</w:t>
            </w: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2，消防系统与基础设施系统发生紧急故障时，专业工程师4小时内赶到现场进行不间断维修。</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；《故障分析报告》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3，维修过程中，免费更换所有故障备件，所换</w:t>
            </w:r>
            <w:r>
              <w:rPr>
                <w:rFonts w:ascii="宋体" w:eastAsia="宋体" w:hAnsi="宋体" w:cs="宋体" w:hint="eastAsia"/>
                <w:color w:val="000000"/>
                <w:kern w:val="0"/>
                <w:sz w:val="22"/>
              </w:rPr>
              <w:lastRenderedPageBreak/>
              <w:t>备件均为全新备件。</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4，消防系统服务工程师需具备国家认可的消防设施操作证</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55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消防系统设施巡检</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1，定期对机房消防系统进行巡检，每年四次，每次巡检不少于2名专业工程师</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一年4次</w:t>
            </w:r>
          </w:p>
        </w:tc>
        <w:tc>
          <w:tcPr>
            <w:tcW w:w="1633" w:type="dxa"/>
            <w:vMerge w:val="restart"/>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《消防系统巡检报告》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2，每次巡检需检查消防系统运行情况，具体检查项目见《消防系统巡检服务报告》</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3，每次消防系统巡检需对各主要消防测试点进行报警测试。</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4，消防系统服务工程师需具备国家认可的消防设施操作证</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视频和动环监控系统故障维修</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1，7*24小时客服电话，提供全面的技术支持。</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7*24*4</w:t>
            </w: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2，监控系统发生故障且故障影响机房正常工作时，专业工程师4小时内赶到现场消除故障影响。</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；《故障分析报告》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3，维修过程中，免费更换所有故障备件，所换备件均为全新备件。</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28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视频和动环监控系统设施巡检</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1，定期对机房监控系统进行巡检，每年四次。</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一年4次</w:t>
            </w:r>
          </w:p>
        </w:tc>
        <w:tc>
          <w:tcPr>
            <w:tcW w:w="1633" w:type="dxa"/>
            <w:vMerge w:val="restart"/>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2，每次巡检需检查监控系统运行情况，监控系统所有报警功能测试完毕。</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3，每次监控系统巡检需对监控平台进行清理，告警记录进行备份。</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配电柜及防雷系统故障维修</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1，7*24小时客服电话，对机房配电柜及防雷系统设施提供全面的技术支持。</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7*24*2</w:t>
            </w: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82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2，机房配电柜及防雷系统发生故障且故障影响机房正常工作时，专业工程师4小时内赶到现场，4小时内恢复机房正常运转，24小时内完成故障维修。</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；《故障分析报告》</w:t>
            </w:r>
          </w:p>
        </w:tc>
      </w:tr>
      <w:tr w:rsidR="00A9513A" w:rsidTr="00F75FE2">
        <w:trPr>
          <w:trHeight w:val="55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3，维修过程中，免费更换所有故障备件，所换备件均为全新备件。</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555"/>
        </w:trPr>
        <w:tc>
          <w:tcPr>
            <w:tcW w:w="1185" w:type="dxa"/>
            <w:vMerge w:val="restart"/>
            <w:tcBorders>
              <w:top w:val="nil"/>
              <w:left w:val="single" w:sz="8" w:space="0" w:color="auto"/>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配电柜及防雷系统设施巡检</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1，定期对机房配电柜及防雷系统进行巡检，每年四次。</w:t>
            </w:r>
          </w:p>
        </w:tc>
        <w:tc>
          <w:tcPr>
            <w:tcW w:w="1067" w:type="dxa"/>
            <w:vMerge w:val="restart"/>
            <w:tcBorders>
              <w:top w:val="nil"/>
              <w:left w:val="single" w:sz="8" w:space="0" w:color="000000"/>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一年4次</w:t>
            </w:r>
          </w:p>
        </w:tc>
        <w:tc>
          <w:tcPr>
            <w:tcW w:w="1633" w:type="dxa"/>
            <w:vMerge w:val="restart"/>
            <w:tcBorders>
              <w:top w:val="nil"/>
              <w:left w:val="single" w:sz="8" w:space="0" w:color="000000"/>
              <w:bottom w:val="single" w:sz="12"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555"/>
        </w:trPr>
        <w:tc>
          <w:tcPr>
            <w:tcW w:w="1185" w:type="dxa"/>
            <w:vMerge/>
            <w:tcBorders>
              <w:top w:val="nil"/>
              <w:left w:val="single" w:sz="8" w:space="0" w:color="auto"/>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2，每次巡检需检查机房配电柜及防雷系统运行情况，对设备进行整理和清洁，。</w:t>
            </w:r>
          </w:p>
        </w:tc>
        <w:tc>
          <w:tcPr>
            <w:tcW w:w="1067" w:type="dxa"/>
            <w:vMerge/>
            <w:tcBorders>
              <w:top w:val="nil"/>
              <w:left w:val="single" w:sz="8" w:space="0" w:color="000000"/>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12"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55"/>
        </w:trPr>
        <w:tc>
          <w:tcPr>
            <w:tcW w:w="1185" w:type="dxa"/>
            <w:vMerge/>
            <w:tcBorders>
              <w:top w:val="nil"/>
              <w:left w:val="single" w:sz="8" w:space="0" w:color="auto"/>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3，每次巡检对机房配电柜及防雷系统进行红外热成像检测，确保关键部件工作正常，端子链接正常。</w:t>
            </w:r>
          </w:p>
        </w:tc>
        <w:tc>
          <w:tcPr>
            <w:tcW w:w="1067" w:type="dxa"/>
            <w:vMerge/>
            <w:tcBorders>
              <w:top w:val="nil"/>
              <w:left w:val="single" w:sz="8" w:space="0" w:color="000000"/>
              <w:bottom w:val="single" w:sz="12"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12"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570"/>
        </w:trPr>
        <w:tc>
          <w:tcPr>
            <w:tcW w:w="1185" w:type="dxa"/>
            <w:vMerge w:val="restart"/>
            <w:tcBorders>
              <w:top w:val="single" w:sz="8" w:space="0" w:color="000000"/>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基础设施故障维修</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1，7*24小时客服电话，对机房其他基础设施提供全面的技术支持。</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7*24*2</w:t>
            </w: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《现场服务报告》</w:t>
            </w:r>
          </w:p>
        </w:tc>
      </w:tr>
      <w:tr w:rsidR="00A9513A" w:rsidTr="00F75FE2">
        <w:trPr>
          <w:trHeight w:val="825"/>
        </w:trPr>
        <w:tc>
          <w:tcPr>
            <w:tcW w:w="1185" w:type="dxa"/>
            <w:vMerge/>
            <w:tcBorders>
              <w:top w:val="single" w:sz="8" w:space="0" w:color="000000"/>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2，机房基础设施发生故障且故障影响机房正常工作时，专业工程师4小时内赶到现场，4小时内恢复机房正常运转，24小时内完成故障维修。</w:t>
            </w:r>
          </w:p>
        </w:tc>
        <w:tc>
          <w:tcPr>
            <w:tcW w:w="1067"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nil"/>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；《故障分析报告》</w:t>
            </w:r>
          </w:p>
        </w:tc>
      </w:tr>
      <w:tr w:rsidR="00A9513A" w:rsidTr="00F75FE2">
        <w:trPr>
          <w:trHeight w:val="555"/>
        </w:trPr>
        <w:tc>
          <w:tcPr>
            <w:tcW w:w="1185" w:type="dxa"/>
            <w:vMerge/>
            <w:tcBorders>
              <w:top w:val="single" w:sz="8" w:space="0" w:color="000000"/>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3，维修过程中，免费更换所有故障备件，所换备件均为全新备件。</w:t>
            </w:r>
          </w:p>
        </w:tc>
        <w:tc>
          <w:tcPr>
            <w:tcW w:w="1067"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tcBorders>
              <w:top w:val="nil"/>
              <w:left w:val="nil"/>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9513A" w:rsidTr="00F75FE2">
        <w:trPr>
          <w:trHeight w:val="285"/>
        </w:trPr>
        <w:tc>
          <w:tcPr>
            <w:tcW w:w="1185" w:type="dxa"/>
            <w:vMerge w:val="restart"/>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基础设施设施巡检</w:t>
            </w: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1，定期对机房基础设施进行巡检，每年四次。</w:t>
            </w:r>
          </w:p>
        </w:tc>
        <w:tc>
          <w:tcPr>
            <w:tcW w:w="10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一年4次</w:t>
            </w:r>
          </w:p>
        </w:tc>
        <w:tc>
          <w:tcPr>
            <w:tcW w:w="1633" w:type="dxa"/>
            <w:vMerge w:val="restart"/>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《机房基础设施综合保养报告》</w:t>
            </w:r>
          </w:p>
        </w:tc>
      </w:tr>
      <w:tr w:rsidR="00A9513A" w:rsidTr="00F75FE2">
        <w:trPr>
          <w:trHeight w:val="82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2，每次巡检需检查基础设施运行情况，对机房环境进行整理和清洁，具体检查项目见《机房基础设施综合保养报告》。</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r w:rsidR="00A9513A" w:rsidTr="00F75FE2">
        <w:trPr>
          <w:trHeight w:val="285"/>
        </w:trPr>
        <w:tc>
          <w:tcPr>
            <w:tcW w:w="1185" w:type="dxa"/>
            <w:vMerge/>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4450" w:type="dxa"/>
            <w:tcBorders>
              <w:top w:val="nil"/>
              <w:left w:val="nil"/>
              <w:bottom w:val="single" w:sz="8" w:space="0" w:color="auto"/>
              <w:right w:val="single" w:sz="8" w:space="0" w:color="000000"/>
            </w:tcBorders>
            <w:shd w:val="clear" w:color="auto" w:fill="auto"/>
            <w:tcMar>
              <w:top w:w="15" w:type="dxa"/>
              <w:left w:w="15" w:type="dxa"/>
              <w:right w:w="15" w:type="dxa"/>
            </w:tcMar>
            <w:vAlign w:val="center"/>
          </w:tcPr>
          <w:p w:rsidR="00A9513A" w:rsidRDefault="00A9513A" w:rsidP="00F75F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3，每次巡检对机房线标进行整理和维护。</w:t>
            </w:r>
          </w:p>
        </w:tc>
        <w:tc>
          <w:tcPr>
            <w:tcW w:w="10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c>
          <w:tcPr>
            <w:tcW w:w="1633" w:type="dxa"/>
            <w:vMerge/>
            <w:tcBorders>
              <w:top w:val="nil"/>
              <w:left w:val="single" w:sz="8" w:space="0" w:color="000000"/>
              <w:bottom w:val="single" w:sz="8" w:space="0" w:color="000000"/>
              <w:right w:val="single" w:sz="8" w:space="0" w:color="auto"/>
            </w:tcBorders>
            <w:shd w:val="clear" w:color="auto" w:fill="auto"/>
            <w:tcMar>
              <w:top w:w="15" w:type="dxa"/>
              <w:left w:w="15" w:type="dxa"/>
              <w:right w:w="15" w:type="dxa"/>
            </w:tcMar>
            <w:vAlign w:val="center"/>
          </w:tcPr>
          <w:p w:rsidR="00A9513A" w:rsidRDefault="00A9513A" w:rsidP="00F75FE2">
            <w:pPr>
              <w:jc w:val="center"/>
              <w:rPr>
                <w:rFonts w:ascii="宋体" w:eastAsia="宋体" w:hAnsi="宋体" w:cs="宋体"/>
                <w:color w:val="000000"/>
                <w:sz w:val="22"/>
              </w:rPr>
            </w:pPr>
          </w:p>
        </w:tc>
      </w:tr>
    </w:tbl>
    <w:p w:rsidR="00C95533" w:rsidRPr="00A9513A" w:rsidRDefault="00C95533" w:rsidP="003D5E7F">
      <w:pPr>
        <w:spacing w:line="360" w:lineRule="auto"/>
        <w:rPr>
          <w:rFonts w:ascii="宋体" w:eastAsia="宋体" w:hAnsi="宋体" w:cs="Times New Roman"/>
          <w:szCs w:val="21"/>
        </w:rPr>
      </w:pPr>
    </w:p>
    <w:p w:rsidR="003D77D0" w:rsidRDefault="003D77D0" w:rsidP="003D77D0">
      <w:pPr>
        <w:spacing w:line="360" w:lineRule="auto"/>
        <w:rPr>
          <w:rFonts w:ascii="宋体" w:eastAsia="宋体" w:hAnsi="宋体" w:cs="Times New Roman"/>
          <w:szCs w:val="21"/>
        </w:rPr>
      </w:pPr>
    </w:p>
    <w:p w:rsidR="00EB0EB1" w:rsidRDefault="00EB0EB1" w:rsidP="00AB03A9">
      <w:pPr>
        <w:spacing w:line="360" w:lineRule="auto"/>
        <w:rPr>
          <w:rFonts w:ascii="宋体" w:eastAsia="宋体" w:hAnsi="宋体" w:cs="Times New Roman"/>
          <w:szCs w:val="21"/>
        </w:rPr>
      </w:pPr>
    </w:p>
    <w:p w:rsidR="00AB03A9" w:rsidRPr="00A9513A" w:rsidRDefault="00AB03A9" w:rsidP="00A9513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9513A" w:rsidRDefault="00A9513A" w:rsidP="00A9513A">
      <w:pPr>
        <w:jc w:val="left"/>
        <w:rPr>
          <w:rFonts w:asciiTheme="minorEastAsia" w:hAnsiTheme="minorEastAsia"/>
          <w:szCs w:val="21"/>
        </w:rPr>
      </w:pPr>
      <w:r>
        <w:rPr>
          <w:rFonts w:asciiTheme="minorEastAsia" w:hAnsiTheme="minorEastAsia" w:hint="eastAsia"/>
          <w:szCs w:val="21"/>
        </w:rPr>
        <w:t>5.1项目服务时间:本项目维保技术服务自合同签订</w:t>
      </w:r>
      <w:r>
        <w:rPr>
          <w:rFonts w:asciiTheme="minorEastAsia" w:hAnsiTheme="minorEastAsia"/>
          <w:szCs w:val="21"/>
        </w:rPr>
        <w:t>日</w:t>
      </w:r>
      <w:r>
        <w:rPr>
          <w:rFonts w:asciiTheme="minorEastAsia" w:hAnsiTheme="minorEastAsia" w:hint="eastAsia"/>
          <w:szCs w:val="21"/>
        </w:rPr>
        <w:t>开始</w:t>
      </w:r>
      <w:r>
        <w:rPr>
          <w:rFonts w:asciiTheme="minorEastAsia" w:hAnsiTheme="minorEastAsia"/>
          <w:szCs w:val="21"/>
        </w:rPr>
        <w:t>1年</w:t>
      </w:r>
      <w:r w:rsidR="00D848F8">
        <w:rPr>
          <w:rFonts w:asciiTheme="minorEastAsia" w:hAnsiTheme="minorEastAsia" w:hint="eastAsia"/>
          <w:szCs w:val="21"/>
        </w:rPr>
        <w:t>，</w:t>
      </w:r>
      <w:r>
        <w:rPr>
          <w:rFonts w:asciiTheme="minorEastAsia" w:hAnsiTheme="minorEastAsia" w:hint="eastAsia"/>
          <w:szCs w:val="21"/>
        </w:rPr>
        <w:t>乙方应完成工作并提交最终</w:t>
      </w:r>
      <w:r>
        <w:rPr>
          <w:rFonts w:asciiTheme="minorEastAsia" w:hAnsiTheme="minorEastAsia" w:hint="eastAsia"/>
          <w:szCs w:val="21"/>
        </w:rPr>
        <w:lastRenderedPageBreak/>
        <w:t>工作成果。</w:t>
      </w:r>
    </w:p>
    <w:p w:rsidR="00A9513A" w:rsidRDefault="00A9513A" w:rsidP="00A9513A">
      <w:pPr>
        <w:jc w:val="left"/>
        <w:rPr>
          <w:rFonts w:asciiTheme="minorEastAsia" w:hAnsiTheme="minorEastAsia"/>
          <w:szCs w:val="21"/>
        </w:rPr>
      </w:pPr>
      <w:r>
        <w:rPr>
          <w:rFonts w:asciiTheme="minorEastAsia" w:hAnsiTheme="minorEastAsia" w:hint="eastAsia"/>
          <w:szCs w:val="21"/>
        </w:rPr>
        <w:t>5.2项目进度安排：乙方应当按照服务要求开展工作并提交相应阶段工作成果： 按甲方要求，每季度提供季度巡检报告，合同结束时提供年度总结报告。（可以时间表形式列出或以附件形式提交）</w:t>
      </w:r>
    </w:p>
    <w:p w:rsidR="00A9513A" w:rsidRDefault="00A9513A" w:rsidP="00A9513A">
      <w:pPr>
        <w:jc w:val="left"/>
        <w:rPr>
          <w:rFonts w:asciiTheme="minorEastAsia" w:hAnsiTheme="minorEastAsia"/>
          <w:szCs w:val="21"/>
        </w:rPr>
      </w:pPr>
      <w:r>
        <w:rPr>
          <w:rFonts w:asciiTheme="minorEastAsia" w:hAnsiTheme="minorEastAsia" w:hint="eastAsia"/>
          <w:szCs w:val="21"/>
        </w:rPr>
        <w:t>5.3项目履行方式（如乙方单方履行或者双方合作履行等）：乙方按合同要求对合同范围的机房设备提供维保服务，服务包括例行巡检和故障抢修。乙方提供现场服务后，乙方需按合同要求向甲方递交现场服务报告，报告模板由甲方确定。</w:t>
      </w:r>
    </w:p>
    <w:p w:rsidR="00A9513A" w:rsidRPr="00640435" w:rsidRDefault="00A9513A" w:rsidP="00A9513A">
      <w:pPr>
        <w:rPr>
          <w:rFonts w:asciiTheme="minorEastAsia" w:hAnsiTheme="minorEastAsia"/>
          <w:szCs w:val="21"/>
        </w:rPr>
      </w:pPr>
      <w:r>
        <w:rPr>
          <w:rFonts w:asciiTheme="minorEastAsia" w:hAnsiTheme="minorEastAsia" w:hint="eastAsia"/>
          <w:szCs w:val="21"/>
        </w:rPr>
        <w:t>5.4付款方式：</w:t>
      </w:r>
      <w:r w:rsidRPr="00E42F00">
        <w:rPr>
          <w:rFonts w:asciiTheme="minorEastAsia" w:hAnsiTheme="minorEastAsia" w:hint="eastAsia"/>
          <w:szCs w:val="21"/>
        </w:rPr>
        <w:t>合同签订后</w:t>
      </w:r>
      <w:r w:rsidRPr="00640435">
        <w:rPr>
          <w:rFonts w:asciiTheme="minorEastAsia" w:hAnsiTheme="minorEastAsia" w:hint="eastAsia"/>
          <w:szCs w:val="21"/>
        </w:rPr>
        <w:t>，乙方</w:t>
      </w:r>
      <w:r w:rsidRPr="00640435">
        <w:rPr>
          <w:rFonts w:asciiTheme="minorEastAsia" w:hAnsiTheme="minorEastAsia" w:hint="eastAsia"/>
          <w:bCs/>
          <w:szCs w:val="21"/>
        </w:rPr>
        <w:t>支付合同总金额的</w:t>
      </w:r>
      <w:r w:rsidRPr="00640435">
        <w:rPr>
          <w:rFonts w:asciiTheme="minorEastAsia" w:hAnsiTheme="minorEastAsia" w:hint="eastAsia"/>
          <w:bCs/>
          <w:szCs w:val="21"/>
          <w:u w:val="single"/>
        </w:rPr>
        <w:t xml:space="preserve">  </w:t>
      </w:r>
      <w:r>
        <w:rPr>
          <w:rFonts w:asciiTheme="minorEastAsia" w:hAnsiTheme="minorEastAsia" w:hint="eastAsia"/>
          <w:bCs/>
          <w:szCs w:val="21"/>
          <w:u w:val="single"/>
        </w:rPr>
        <w:t>5</w:t>
      </w:r>
      <w:r w:rsidRPr="00640435">
        <w:rPr>
          <w:rFonts w:asciiTheme="minorEastAsia" w:hAnsiTheme="minorEastAsia" w:hint="eastAsia"/>
          <w:bCs/>
          <w:szCs w:val="21"/>
          <w:u w:val="single"/>
        </w:rPr>
        <w:t xml:space="preserve">   </w:t>
      </w:r>
      <w:r w:rsidRPr="00640435">
        <w:rPr>
          <w:rFonts w:asciiTheme="minorEastAsia" w:hAnsiTheme="minorEastAsia" w:hint="eastAsia"/>
          <w:bCs/>
          <w:szCs w:val="21"/>
        </w:rPr>
        <w:t>%质量保证金给甲方，收到质量保证金，甲</w:t>
      </w:r>
      <w:r w:rsidRPr="00640435">
        <w:rPr>
          <w:rFonts w:asciiTheme="minorEastAsia" w:hAnsiTheme="minorEastAsia" w:hint="eastAsia"/>
          <w:szCs w:val="21"/>
        </w:rPr>
        <w:t>方负责办理相关付款资料，经校内审批后交由市财政局统一支付货款。</w:t>
      </w:r>
      <w:r w:rsidRPr="00640435">
        <w:rPr>
          <w:rFonts w:asciiTheme="minorEastAsia" w:hAnsiTheme="minorEastAsia" w:hint="eastAsia"/>
          <w:bCs/>
          <w:szCs w:val="21"/>
        </w:rPr>
        <w:t>维保</w:t>
      </w:r>
      <w:r>
        <w:rPr>
          <w:rFonts w:asciiTheme="minorEastAsia" w:hAnsiTheme="minorEastAsia" w:hint="eastAsia"/>
          <w:bCs/>
          <w:szCs w:val="21"/>
        </w:rPr>
        <w:t>服务</w:t>
      </w:r>
      <w:r w:rsidRPr="00640435">
        <w:rPr>
          <w:rFonts w:asciiTheme="minorEastAsia" w:hAnsiTheme="minorEastAsia" w:hint="eastAsia"/>
          <w:bCs/>
          <w:szCs w:val="21"/>
        </w:rPr>
        <w:t>项目运行一年后</w:t>
      </w:r>
      <w:r>
        <w:rPr>
          <w:rFonts w:asciiTheme="minorEastAsia" w:hAnsiTheme="minorEastAsia" w:hint="eastAsia"/>
          <w:bCs/>
          <w:szCs w:val="21"/>
        </w:rPr>
        <w:t>无故障问题情况下</w:t>
      </w:r>
      <w:r w:rsidRPr="00640435">
        <w:rPr>
          <w:rFonts w:asciiTheme="minorEastAsia" w:hAnsiTheme="minorEastAsia" w:hint="eastAsia"/>
          <w:bCs/>
          <w:szCs w:val="21"/>
        </w:rPr>
        <w:t>甲方无息返还给乙方（以转账方式转到招标方的账户，</w:t>
      </w:r>
      <w:r w:rsidRPr="00640435">
        <w:rPr>
          <w:rFonts w:asciiTheme="minorEastAsia" w:hAnsiTheme="minorEastAsia" w:hint="eastAsia"/>
          <w:szCs w:val="21"/>
        </w:rPr>
        <w:t>履约保证金账户名称：深圳大学</w:t>
      </w:r>
    </w:p>
    <w:p w:rsidR="00A9513A" w:rsidRPr="00640435" w:rsidRDefault="00A9513A" w:rsidP="00A9513A">
      <w:pPr>
        <w:ind w:firstLineChars="200" w:firstLine="420"/>
        <w:rPr>
          <w:rFonts w:asciiTheme="minorEastAsia" w:hAnsiTheme="minorEastAsia"/>
          <w:szCs w:val="21"/>
        </w:rPr>
      </w:pPr>
      <w:r w:rsidRPr="00640435">
        <w:rPr>
          <w:rFonts w:asciiTheme="minorEastAsia" w:hAnsiTheme="minorEastAsia" w:hint="eastAsia"/>
          <w:szCs w:val="21"/>
        </w:rPr>
        <w:t>履约保证金账号：748467064612</w:t>
      </w:r>
    </w:p>
    <w:p w:rsidR="00A9513A" w:rsidRPr="00640435" w:rsidRDefault="00A9513A" w:rsidP="00A9513A">
      <w:pPr>
        <w:ind w:firstLineChars="200" w:firstLine="420"/>
        <w:rPr>
          <w:rFonts w:asciiTheme="minorEastAsia" w:hAnsiTheme="minorEastAsia"/>
          <w:szCs w:val="21"/>
        </w:rPr>
      </w:pPr>
      <w:r w:rsidRPr="00640435">
        <w:rPr>
          <w:rFonts w:asciiTheme="minorEastAsia" w:hAnsiTheme="minorEastAsia" w:hint="eastAsia"/>
          <w:szCs w:val="21"/>
        </w:rPr>
        <w:t>开户行：中国银行深圳深大支行</w:t>
      </w:r>
    </w:p>
    <w:p w:rsidR="00A9513A" w:rsidRDefault="00A9513A" w:rsidP="00A9513A">
      <w:pPr>
        <w:jc w:val="left"/>
        <w:rPr>
          <w:rFonts w:asciiTheme="minorEastAsia" w:hAnsiTheme="minorEastAsia"/>
          <w:bCs/>
          <w:szCs w:val="21"/>
        </w:rPr>
      </w:pPr>
      <w:r w:rsidRPr="00640435">
        <w:rPr>
          <w:rFonts w:asciiTheme="minorEastAsia" w:hAnsiTheme="minorEastAsia" w:hint="eastAsia"/>
          <w:bCs/>
          <w:szCs w:val="21"/>
        </w:rPr>
        <w:t>保证金退付依据甲方计财部“退付保证金申请书”办理，下载网址：</w:t>
      </w:r>
      <w:hyperlink r:id="rId9" w:history="1">
        <w:r w:rsidRPr="00640435">
          <w:rPr>
            <w:rFonts w:asciiTheme="minorEastAsia" w:hAnsiTheme="minorEastAsia"/>
            <w:bCs/>
            <w:szCs w:val="21"/>
          </w:rPr>
          <w:t>http://sbc.szu.edu.cn</w:t>
        </w:r>
      </w:hyperlink>
      <w:r w:rsidRPr="00640435">
        <w:rPr>
          <w:rFonts w:asciiTheme="minorEastAsia" w:hAnsiTheme="minorEastAsia" w:hint="eastAsia"/>
          <w:bCs/>
          <w:szCs w:val="21"/>
        </w:rPr>
        <w:t>，“文件下载”）</w:t>
      </w:r>
    </w:p>
    <w:p w:rsidR="00A9513A" w:rsidRPr="00CF43EA" w:rsidRDefault="00A9513A" w:rsidP="00A9513A">
      <w:pPr>
        <w:jc w:val="left"/>
        <w:rPr>
          <w:rFonts w:asciiTheme="minorEastAsia" w:hAnsiTheme="minorEastAsia"/>
          <w:szCs w:val="21"/>
        </w:rPr>
      </w:pPr>
      <w:r>
        <w:rPr>
          <w:rFonts w:asciiTheme="minorEastAsia" w:hAnsiTheme="minorEastAsia" w:hint="eastAsia"/>
          <w:szCs w:val="21"/>
        </w:rPr>
        <w:t>5.5验收要求：甲方需按合同要求对乙方服务工作进行验收，验收合格后后甲方需对乙方提交的报告进行签署，经甲方签署确认的服务报告为乙方工作验收依据。</w:t>
      </w:r>
    </w:p>
    <w:p w:rsidR="00A9513A" w:rsidRPr="00640435" w:rsidRDefault="00A9513A" w:rsidP="00A9513A">
      <w:pPr>
        <w:jc w:val="left"/>
        <w:rPr>
          <w:rFonts w:asciiTheme="minorEastAsia" w:hAnsiTheme="minorEastAsia"/>
          <w:szCs w:val="21"/>
        </w:rPr>
      </w:pPr>
      <w:r>
        <w:rPr>
          <w:rFonts w:asciiTheme="minorEastAsia" w:hAnsiTheme="minorEastAsia" w:hint="eastAsia"/>
          <w:szCs w:val="21"/>
        </w:rPr>
        <w:t>5.6培训要求：如甲方有需要，乙方须派出经验丰富的技术人员对甲方的维护、操作、管理人员和安装承包商进行厂家培训和现场培训。</w:t>
      </w:r>
    </w:p>
    <w:p w:rsidR="00A9513A" w:rsidRDefault="00A9513A" w:rsidP="00A9513A">
      <w:pPr>
        <w:jc w:val="left"/>
        <w:rPr>
          <w:rFonts w:asciiTheme="minorEastAsia" w:hAnsiTheme="minorEastAsia"/>
          <w:szCs w:val="21"/>
        </w:rPr>
      </w:pPr>
      <w:r>
        <w:rPr>
          <w:rFonts w:asciiTheme="minorEastAsia" w:hAnsiTheme="minorEastAsia" w:hint="eastAsia"/>
          <w:szCs w:val="21"/>
        </w:rPr>
        <w:t>5.7项目履行地点：  深圳大学科技楼7F机房。</w:t>
      </w:r>
    </w:p>
    <w:p w:rsidR="00D848F8" w:rsidRDefault="00D848F8" w:rsidP="007D576B">
      <w:pPr>
        <w:spacing w:beforeLines="25" w:before="115" w:afterLines="25" w:after="115" w:line="640" w:lineRule="exact"/>
        <w:ind w:firstLineChars="187" w:firstLine="393"/>
        <w:rPr>
          <w:rFonts w:ascii="宋体" w:eastAsia="宋体" w:hAnsi="宋体" w:cs="Times New Roman"/>
          <w:szCs w:val="21"/>
        </w:rPr>
      </w:pPr>
    </w:p>
    <w:p w:rsidR="00D848F8" w:rsidRPr="00AB03A9" w:rsidRDefault="00D848F8" w:rsidP="00D848F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Pr="00AB03A9">
        <w:rPr>
          <w:rFonts w:ascii="宋体" w:eastAsia="宋体" w:hAnsi="宋体" w:cs="Times New Roman" w:hint="eastAsia"/>
          <w:b/>
          <w:bCs/>
          <w:kern w:val="0"/>
          <w:sz w:val="28"/>
          <w:szCs w:val="28"/>
        </w:rPr>
        <w:t>、</w:t>
      </w:r>
      <w:r>
        <w:rPr>
          <w:rFonts w:ascii="宋体" w:eastAsia="宋体" w:hAnsi="宋体" w:cs="Times New Roman" w:hint="eastAsia"/>
          <w:b/>
          <w:bCs/>
          <w:kern w:val="0"/>
          <w:sz w:val="28"/>
          <w:szCs w:val="28"/>
        </w:rPr>
        <w:t>报价</w:t>
      </w:r>
      <w:r>
        <w:rPr>
          <w:rFonts w:ascii="宋体" w:eastAsia="宋体" w:hAnsi="宋体" w:cs="Times New Roman"/>
          <w:b/>
          <w:bCs/>
          <w:kern w:val="0"/>
          <w:sz w:val="28"/>
          <w:szCs w:val="28"/>
        </w:rPr>
        <w:t>说明</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w:t>
      </w:r>
      <w:r w:rsidRPr="00AB03A9">
        <w:rPr>
          <w:rFonts w:ascii="宋体" w:eastAsia="宋体" w:hAnsi="宋体" w:cs="Times New Roman" w:hint="eastAsia"/>
          <w:szCs w:val="21"/>
        </w:rPr>
        <w:lastRenderedPageBreak/>
        <w:t>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D848F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w:t>
      </w:r>
      <w:r w:rsidR="00AB03A9" w:rsidRPr="00AB03A9">
        <w:rPr>
          <w:rFonts w:ascii="宋体" w:eastAsia="宋体" w:hAnsi="宋体" w:cs="Times New Roman" w:hint="eastAsia"/>
          <w:b/>
          <w:bCs/>
          <w:kern w:val="0"/>
          <w:sz w:val="28"/>
          <w:szCs w:val="28"/>
        </w:rPr>
        <w:t>、注意事项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w:t>
      </w:r>
      <w:r w:rsidRPr="00AB03A9">
        <w:rPr>
          <w:rFonts w:ascii="宋体" w:eastAsia="宋体" w:hAnsi="宋体" w:cs="Times New Roman"/>
          <w:szCs w:val="21"/>
        </w:rPr>
        <w:lastRenderedPageBreak/>
        <w:t>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670168" w:rsidRPr="00AB03A9" w:rsidRDefault="00670168" w:rsidP="0067016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）项</w:t>
      </w:r>
      <w:r w:rsidRPr="00670168">
        <w:rPr>
          <w:rFonts w:ascii="宋体" w:eastAsia="宋体" w:hAnsi="宋体" w:cs="Times New Roman" w:hint="eastAsia"/>
          <w:szCs w:val="21"/>
        </w:rPr>
        <w:t>投标人近期同类业绩</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sidR="00670168">
        <w:rPr>
          <w:rFonts w:ascii="宋体" w:eastAsia="宋体" w:hAnsi="宋体" w:cs="Times New Roman"/>
          <w:szCs w:val="21"/>
        </w:rPr>
        <w:t>1</w:t>
      </w:r>
      <w:r w:rsidRPr="00AB03A9">
        <w:rPr>
          <w:rFonts w:ascii="宋体" w:eastAsia="宋体" w:hAnsi="宋体" w:cs="Times New Roman" w:hint="eastAsia"/>
          <w:szCs w:val="21"/>
        </w:rPr>
        <w:t>）服务网点</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670168">
        <w:rPr>
          <w:rFonts w:ascii="宋体" w:eastAsia="宋体" w:hAnsi="宋体" w:cs="Times New Roman"/>
          <w:szCs w:val="21"/>
        </w:rPr>
        <w:t>2</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00670168">
        <w:rPr>
          <w:rFonts w:ascii="黑体" w:eastAsia="黑体" w:hAnsi="宋体" w:cs="Times New Roman" w:hint="eastAsia"/>
          <w:bCs/>
          <w:kern w:val="0"/>
          <w:sz w:val="24"/>
          <w:szCs w:val="24"/>
        </w:rPr>
        <w:t>一</w:t>
      </w:r>
      <w:r w:rsidRPr="00AB03A9">
        <w:rPr>
          <w:rFonts w:ascii="黑体" w:eastAsia="黑体" w:hAnsi="宋体" w:cs="Times New Roman" w:hint="eastAsia"/>
          <w:bCs/>
          <w:kern w:val="0"/>
          <w:sz w:val="24"/>
          <w:szCs w:val="24"/>
        </w:rPr>
        <w:t>、服务网点</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0"/>
      <w:bookmarkEnd w:id="31"/>
      <w:bookmarkEnd w:id="32"/>
      <w:bookmarkEnd w:id="33"/>
      <w:bookmarkEnd w:id="34"/>
      <w:bookmarkEnd w:id="35"/>
      <w:bookmarkEnd w:id="36"/>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Pr>
          <w:rFonts w:ascii="黑体" w:eastAsia="黑体" w:hAnsi="宋体" w:hint="eastAsia"/>
          <w:sz w:val="24"/>
        </w:rPr>
        <w:t>3</w:t>
      </w:r>
      <w:r w:rsidRPr="00A92D9A">
        <w:rPr>
          <w:rFonts w:ascii="黑体" w:eastAsia="黑体" w:hAnsi="宋体" w:hint="eastAsia"/>
          <w:sz w:val="24"/>
        </w:rPr>
        <w:t>．定义</w:t>
      </w:r>
      <w:bookmarkEnd w:id="44"/>
      <w:bookmarkEnd w:id="45"/>
      <w:bookmarkEnd w:id="46"/>
      <w:bookmarkEnd w:id="47"/>
      <w:bookmarkEnd w:id="48"/>
      <w:bookmarkEnd w:id="49"/>
      <w:bookmarkEnd w:id="50"/>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w:t>
      </w:r>
      <w:r w:rsidRPr="00A81F83">
        <w:rPr>
          <w:rFonts w:ascii="宋体" w:hAnsi="宋体" w:hint="eastAsia"/>
          <w:szCs w:val="21"/>
        </w:rPr>
        <w:lastRenderedPageBreak/>
        <w:t>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7"/>
      <w:bookmarkEnd w:id="38"/>
      <w:bookmarkEnd w:id="39"/>
      <w:bookmarkEnd w:id="40"/>
      <w:bookmarkEnd w:id="41"/>
      <w:bookmarkEnd w:id="42"/>
      <w:bookmarkEnd w:id="43"/>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1"/>
      <w:bookmarkEnd w:id="52"/>
      <w:bookmarkEnd w:id="53"/>
      <w:bookmarkEnd w:id="54"/>
      <w:bookmarkEnd w:id="55"/>
      <w:bookmarkEnd w:id="56"/>
      <w:bookmarkEnd w:id="57"/>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Pr>
          <w:rFonts w:ascii="黑体" w:eastAsia="黑体" w:hAnsi="宋体" w:hint="eastAsia"/>
          <w:sz w:val="24"/>
        </w:rPr>
        <w:t>9</w:t>
      </w:r>
      <w:r w:rsidRPr="00B56F0B">
        <w:rPr>
          <w:rFonts w:ascii="黑体" w:eastAsia="黑体" w:hAnsi="宋体" w:hint="eastAsia"/>
          <w:sz w:val="24"/>
        </w:rPr>
        <w:t>．踏勘现场</w:t>
      </w:r>
      <w:bookmarkEnd w:id="58"/>
      <w:bookmarkEnd w:id="59"/>
      <w:bookmarkEnd w:id="60"/>
      <w:bookmarkEnd w:id="61"/>
      <w:bookmarkEnd w:id="62"/>
      <w:bookmarkEnd w:id="63"/>
      <w:bookmarkEnd w:id="64"/>
    </w:p>
    <w:p w:rsidR="00476C13" w:rsidRPr="00B56F0B" w:rsidRDefault="00476C13" w:rsidP="00476C13">
      <w:pPr>
        <w:ind w:firstLineChars="196" w:firstLine="412"/>
        <w:rPr>
          <w:rFonts w:ascii="宋体" w:hAnsi="宋体"/>
        </w:rPr>
      </w:pPr>
      <w:bookmarkStart w:id="65" w:name="_Toc78260681"/>
      <w:bookmarkStart w:id="66"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5"/>
      <w:r w:rsidRPr="003D589A">
        <w:rPr>
          <w:rFonts w:ascii="黑体" w:eastAsia="黑体" w:hAnsi="宋体" w:hint="eastAsia"/>
          <w:sz w:val="24"/>
        </w:rPr>
        <w:t>答疑</w:t>
      </w:r>
      <w:bookmarkEnd w:id="66"/>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892D5E">
        <w:rPr>
          <w:rFonts w:hint="eastAsia"/>
          <w:sz w:val="28"/>
          <w:szCs w:val="28"/>
        </w:rPr>
        <w:t>招标文件</w:t>
      </w:r>
      <w:bookmarkEnd w:id="68"/>
      <w:bookmarkEnd w:id="69"/>
      <w:bookmarkEnd w:id="70"/>
      <w:bookmarkEnd w:id="71"/>
      <w:bookmarkEnd w:id="72"/>
      <w:bookmarkEnd w:id="73"/>
    </w:p>
    <w:p w:rsidR="00476C13" w:rsidRDefault="00476C13" w:rsidP="00476C13">
      <w:pPr>
        <w:spacing w:line="360" w:lineRule="auto"/>
        <w:rPr>
          <w:rFonts w:ascii="黑体" w:eastAsia="黑体" w:hAnsi="宋体"/>
          <w:sz w:val="24"/>
        </w:rPr>
      </w:pPr>
      <w:bookmarkStart w:id="74" w:name="_Toc73517649"/>
      <w:bookmarkStart w:id="75" w:name="_Toc73518127"/>
      <w:bookmarkStart w:id="76" w:name="_Toc73521557"/>
      <w:bookmarkStart w:id="77" w:name="_Toc73521645"/>
      <w:bookmarkStart w:id="78"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4"/>
      <w:bookmarkEnd w:id="75"/>
      <w:bookmarkEnd w:id="76"/>
      <w:bookmarkEnd w:id="77"/>
      <w:bookmarkEnd w:id="78"/>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79"/>
      <w:bookmarkEnd w:id="80"/>
      <w:bookmarkEnd w:id="81"/>
      <w:bookmarkEnd w:id="82"/>
      <w:bookmarkEnd w:id="83"/>
      <w:bookmarkEnd w:id="84"/>
      <w:bookmarkEnd w:id="85"/>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6"/>
      <w:bookmarkEnd w:id="87"/>
      <w:bookmarkEnd w:id="88"/>
      <w:bookmarkEnd w:id="89"/>
      <w:bookmarkEnd w:id="90"/>
      <w:bookmarkEnd w:id="91"/>
      <w:bookmarkEnd w:id="92"/>
    </w:p>
    <w:p w:rsidR="00476C13" w:rsidRPr="009C1A1F" w:rsidRDefault="00476C13" w:rsidP="00476C13">
      <w:pPr>
        <w:ind w:firstLineChars="196" w:firstLine="412"/>
        <w:rPr>
          <w:rFonts w:ascii="宋体" w:hAnsi="宋体"/>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4"/>
      <w:bookmarkEnd w:id="95"/>
      <w:bookmarkEnd w:id="96"/>
      <w:bookmarkEnd w:id="97"/>
      <w:bookmarkEnd w:id="98"/>
      <w:bookmarkEnd w:id="99"/>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C1A1F">
        <w:rPr>
          <w:rFonts w:ascii="黑体" w:eastAsia="黑体" w:hAnsi="宋体" w:hint="eastAsia"/>
          <w:sz w:val="24"/>
        </w:rPr>
        <w:t>14．投标文件的语言及度量单位</w:t>
      </w:r>
      <w:bookmarkEnd w:id="100"/>
      <w:bookmarkEnd w:id="101"/>
      <w:bookmarkEnd w:id="102"/>
      <w:bookmarkEnd w:id="103"/>
      <w:bookmarkEnd w:id="104"/>
      <w:bookmarkEnd w:id="105"/>
      <w:bookmarkEnd w:id="106"/>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C1A1F">
        <w:rPr>
          <w:rFonts w:ascii="黑体" w:eastAsia="黑体" w:hAnsi="宋体" w:hint="eastAsia"/>
          <w:sz w:val="24"/>
        </w:rPr>
        <w:t>15．投标文件的组成</w:t>
      </w:r>
      <w:bookmarkEnd w:id="107"/>
      <w:bookmarkEnd w:id="108"/>
      <w:bookmarkEnd w:id="109"/>
      <w:bookmarkEnd w:id="110"/>
      <w:bookmarkEnd w:id="111"/>
      <w:bookmarkEnd w:id="112"/>
      <w:bookmarkEnd w:id="113"/>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rsidR="00476C13" w:rsidRPr="009C1A1F" w:rsidRDefault="00476C13" w:rsidP="00476C13">
      <w:pPr>
        <w:spacing w:line="360" w:lineRule="auto"/>
        <w:rPr>
          <w:rFonts w:ascii="黑体" w:eastAsia="黑体" w:hAnsi="宋体"/>
          <w:sz w:val="24"/>
        </w:rPr>
      </w:pPr>
      <w:bookmarkStart w:id="121" w:name="_Toc100052380"/>
      <w:bookmarkEnd w:id="114"/>
      <w:r w:rsidRPr="009C1A1F">
        <w:rPr>
          <w:rFonts w:ascii="黑体" w:eastAsia="黑体" w:hAnsi="宋体" w:hint="eastAsia"/>
          <w:sz w:val="24"/>
        </w:rPr>
        <w:t>16．投标文件格式</w:t>
      </w:r>
      <w:bookmarkEnd w:id="115"/>
      <w:bookmarkEnd w:id="116"/>
      <w:bookmarkEnd w:id="117"/>
      <w:bookmarkEnd w:id="118"/>
      <w:bookmarkEnd w:id="119"/>
      <w:bookmarkEnd w:id="120"/>
      <w:bookmarkEnd w:id="121"/>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rsidR="00476C13" w:rsidRPr="009C1A1F" w:rsidRDefault="00476C13" w:rsidP="00476C13">
      <w:pPr>
        <w:spacing w:line="360" w:lineRule="auto"/>
        <w:rPr>
          <w:rFonts w:ascii="黑体" w:eastAsia="黑体" w:hAnsi="宋体"/>
          <w:sz w:val="24"/>
        </w:rPr>
      </w:pPr>
      <w:bookmarkStart w:id="128" w:name="_Toc100052382"/>
      <w:r w:rsidRPr="009C1A1F">
        <w:rPr>
          <w:rFonts w:ascii="黑体" w:eastAsia="黑体" w:hAnsi="宋体" w:hint="eastAsia"/>
          <w:sz w:val="24"/>
        </w:rPr>
        <w:t>17．投标货币</w:t>
      </w:r>
      <w:bookmarkEnd w:id="122"/>
      <w:bookmarkEnd w:id="123"/>
      <w:bookmarkEnd w:id="124"/>
      <w:bookmarkEnd w:id="125"/>
      <w:bookmarkEnd w:id="126"/>
      <w:bookmarkEnd w:id="127"/>
      <w:bookmarkEnd w:id="128"/>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C1A1F">
        <w:rPr>
          <w:rFonts w:ascii="黑体" w:eastAsia="黑体" w:hAnsi="宋体" w:hint="eastAsia"/>
          <w:sz w:val="24"/>
        </w:rPr>
        <w:t>20．投标有效期</w:t>
      </w:r>
      <w:bookmarkEnd w:id="129"/>
      <w:bookmarkEnd w:id="130"/>
      <w:bookmarkEnd w:id="131"/>
      <w:bookmarkEnd w:id="132"/>
      <w:bookmarkEnd w:id="133"/>
      <w:bookmarkEnd w:id="134"/>
      <w:bookmarkEnd w:id="135"/>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C1A1F">
        <w:rPr>
          <w:rFonts w:ascii="黑体" w:eastAsia="黑体" w:hAnsi="宋体" w:hint="eastAsia"/>
          <w:sz w:val="24"/>
        </w:rPr>
        <w:t>21．投标</w:t>
      </w:r>
      <w:bookmarkEnd w:id="136"/>
      <w:bookmarkEnd w:id="137"/>
      <w:bookmarkEnd w:id="138"/>
      <w:bookmarkEnd w:id="139"/>
      <w:bookmarkEnd w:id="140"/>
      <w:bookmarkEnd w:id="141"/>
      <w:bookmarkEnd w:id="142"/>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3"/>
      <w:bookmarkEnd w:id="144"/>
      <w:bookmarkEnd w:id="145"/>
      <w:bookmarkEnd w:id="146"/>
      <w:bookmarkEnd w:id="147"/>
      <w:bookmarkEnd w:id="148"/>
      <w:bookmarkEnd w:id="149"/>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0" w:name="_Toc73517661"/>
      <w:bookmarkStart w:id="151" w:name="_Toc73518139"/>
      <w:bookmarkStart w:id="152" w:name="_Toc73521569"/>
      <w:bookmarkStart w:id="153" w:name="_Toc73521657"/>
      <w:bookmarkStart w:id="154"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0"/>
      <w:bookmarkEnd w:id="151"/>
      <w:bookmarkEnd w:id="152"/>
      <w:bookmarkEnd w:id="153"/>
      <w:bookmarkEnd w:id="154"/>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C1A1F">
        <w:rPr>
          <w:rFonts w:hint="eastAsia"/>
          <w:sz w:val="28"/>
          <w:szCs w:val="28"/>
        </w:rPr>
        <w:t>投标文件</w:t>
      </w:r>
      <w:bookmarkEnd w:id="155"/>
      <w:bookmarkEnd w:id="156"/>
      <w:bookmarkEnd w:id="157"/>
      <w:bookmarkEnd w:id="158"/>
      <w:bookmarkEnd w:id="159"/>
      <w:bookmarkEnd w:id="160"/>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1"/>
    <w:bookmarkEnd w:id="162"/>
    <w:bookmarkEnd w:id="163"/>
    <w:bookmarkEnd w:id="164"/>
    <w:bookmarkEnd w:id="165"/>
    <w:bookmarkEnd w:id="166"/>
    <w:bookmarkEnd w:id="167"/>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C1A1F">
        <w:rPr>
          <w:rFonts w:hint="eastAsia"/>
          <w:sz w:val="28"/>
          <w:szCs w:val="28"/>
        </w:rPr>
        <w:t>开标</w:t>
      </w:r>
      <w:bookmarkEnd w:id="168"/>
      <w:bookmarkEnd w:id="169"/>
      <w:bookmarkEnd w:id="170"/>
      <w:bookmarkEnd w:id="171"/>
      <w:bookmarkEnd w:id="172"/>
      <w:bookmarkEnd w:id="173"/>
    </w:p>
    <w:p w:rsidR="00476C13" w:rsidRPr="009C1A1F" w:rsidRDefault="00476C13" w:rsidP="00476C13">
      <w:pPr>
        <w:spacing w:line="360" w:lineRule="auto"/>
        <w:rPr>
          <w:rFonts w:ascii="黑体" w:eastAsia="黑体" w:hAnsi="宋体"/>
          <w:sz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C1A1F">
        <w:rPr>
          <w:rFonts w:ascii="黑体" w:eastAsia="黑体" w:hAnsi="宋体" w:hint="eastAsia"/>
          <w:sz w:val="24"/>
        </w:rPr>
        <w:t>28．开标</w:t>
      </w:r>
      <w:bookmarkEnd w:id="174"/>
      <w:bookmarkEnd w:id="175"/>
      <w:bookmarkEnd w:id="176"/>
      <w:bookmarkEnd w:id="177"/>
      <w:bookmarkEnd w:id="178"/>
      <w:bookmarkEnd w:id="179"/>
      <w:bookmarkEnd w:id="180"/>
    </w:p>
    <w:p w:rsidR="00476C13" w:rsidRPr="009C1A1F" w:rsidRDefault="00476C13" w:rsidP="00476C13">
      <w:pPr>
        <w:ind w:firstLineChars="171" w:firstLine="359"/>
        <w:rPr>
          <w:rFonts w:ascii="宋体" w:hAnsi="宋体"/>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2"/>
      <w:bookmarkEnd w:id="183"/>
      <w:bookmarkEnd w:id="184"/>
      <w:bookmarkEnd w:id="185"/>
      <w:r w:rsidRPr="009C1A1F">
        <w:rPr>
          <w:rFonts w:hint="eastAsia"/>
          <w:sz w:val="28"/>
          <w:szCs w:val="28"/>
        </w:rPr>
        <w:t>要求</w:t>
      </w:r>
      <w:bookmarkEnd w:id="186"/>
      <w:bookmarkEnd w:id="187"/>
    </w:p>
    <w:p w:rsidR="00476C13" w:rsidRPr="009C1A1F" w:rsidRDefault="00476C13" w:rsidP="00476C13">
      <w:pPr>
        <w:spacing w:line="360" w:lineRule="auto"/>
        <w:rPr>
          <w:rFonts w:ascii="黑体" w:eastAsia="黑体" w:hAnsi="宋体"/>
          <w:sz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rsidR="00476C13" w:rsidRPr="009C1A1F" w:rsidRDefault="00476C13" w:rsidP="00476C13">
      <w:pPr>
        <w:pStyle w:val="2"/>
        <w:numPr>
          <w:ilvl w:val="0"/>
          <w:numId w:val="12"/>
        </w:numPr>
        <w:spacing w:beforeLines="50" w:before="231" w:afterLines="50" w:after="231"/>
        <w:ind w:left="562" w:hanging="562"/>
        <w:rPr>
          <w:sz w:val="28"/>
          <w:szCs w:val="28"/>
        </w:rPr>
      </w:pPr>
      <w:bookmarkStart w:id="196" w:name="_Toc100052397"/>
      <w:bookmarkStart w:id="197" w:name="_Toc101074883"/>
      <w:r w:rsidRPr="009C1A1F">
        <w:rPr>
          <w:rFonts w:hint="eastAsia"/>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C1A1F">
        <w:rPr>
          <w:rFonts w:hint="eastAsia"/>
          <w:sz w:val="28"/>
          <w:szCs w:val="28"/>
        </w:rPr>
        <w:t>及评标方法</w:t>
      </w:r>
      <w:bookmarkEnd w:id="196"/>
      <w:bookmarkEnd w:id="197"/>
    </w:p>
    <w:p w:rsidR="00476C13" w:rsidRPr="009C1A1F" w:rsidRDefault="00476C13" w:rsidP="00476C13">
      <w:pPr>
        <w:spacing w:line="360" w:lineRule="auto"/>
        <w:rPr>
          <w:rFonts w:ascii="黑体" w:eastAsia="黑体" w:hAnsi="宋体"/>
          <w:sz w:val="24"/>
        </w:rPr>
      </w:pPr>
      <w:bookmarkStart w:id="203" w:name="_Toc100052398"/>
      <w:r w:rsidRPr="009C1A1F">
        <w:rPr>
          <w:rFonts w:ascii="黑体" w:eastAsia="黑体" w:hAnsi="宋体" w:hint="eastAsia"/>
          <w:sz w:val="24"/>
        </w:rPr>
        <w:t>32．投标文件初审</w:t>
      </w:r>
      <w:bookmarkEnd w:id="203"/>
    </w:p>
    <w:bookmarkEnd w:id="199"/>
    <w:bookmarkEnd w:id="200"/>
    <w:bookmarkEnd w:id="201"/>
    <w:bookmarkEnd w:id="202"/>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4" w:name="_Toc100052399"/>
      <w:r w:rsidRPr="009C1A1F">
        <w:rPr>
          <w:rFonts w:ascii="黑体" w:eastAsia="黑体" w:hAnsi="宋体" w:hint="eastAsia"/>
          <w:sz w:val="24"/>
        </w:rPr>
        <w:t>33．澄清有关问题</w:t>
      </w:r>
      <w:bookmarkEnd w:id="204"/>
    </w:p>
    <w:p w:rsidR="00476C13" w:rsidRPr="009C1A1F" w:rsidRDefault="00476C13" w:rsidP="00476C13">
      <w:pPr>
        <w:ind w:firstLineChars="196" w:firstLine="412"/>
        <w:rPr>
          <w:rFonts w:ascii="宋体" w:hAnsi="宋体"/>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2" w:name="_Toc73517673"/>
      <w:bookmarkStart w:id="213" w:name="_Toc73518151"/>
      <w:bookmarkStart w:id="214" w:name="_Toc73521581"/>
      <w:bookmarkStart w:id="215" w:name="_Toc73521669"/>
      <w:bookmarkStart w:id="216" w:name="_Toc100052400"/>
      <w:r w:rsidRPr="009C1A1F">
        <w:rPr>
          <w:rFonts w:ascii="黑体" w:eastAsia="黑体" w:hAnsi="宋体" w:hint="eastAsia"/>
          <w:sz w:val="24"/>
        </w:rPr>
        <w:t>34．错误的修正</w:t>
      </w:r>
      <w:bookmarkEnd w:id="212"/>
      <w:bookmarkEnd w:id="213"/>
      <w:bookmarkEnd w:id="214"/>
      <w:bookmarkEnd w:id="215"/>
      <w:bookmarkEnd w:id="216"/>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w:t>
      </w:r>
      <w:r w:rsidRPr="000E5717">
        <w:rPr>
          <w:rFonts w:ascii="宋体" w:hAnsi="宋体" w:hint="eastAsia"/>
          <w:szCs w:val="21"/>
        </w:rPr>
        <w:lastRenderedPageBreak/>
        <w:t>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7" w:name="_Toc100052401"/>
      <w:r w:rsidRPr="009C1A1F">
        <w:rPr>
          <w:rFonts w:ascii="黑体" w:eastAsia="黑体" w:hAnsi="宋体" w:hint="eastAsia"/>
          <w:sz w:val="24"/>
        </w:rPr>
        <w:t>35．投标文件的</w:t>
      </w:r>
      <w:bookmarkEnd w:id="208"/>
      <w:bookmarkEnd w:id="209"/>
      <w:bookmarkEnd w:id="210"/>
      <w:bookmarkEnd w:id="211"/>
      <w:r w:rsidRPr="009C1A1F">
        <w:rPr>
          <w:rFonts w:ascii="黑体" w:eastAsia="黑体" w:hAnsi="宋体" w:hint="eastAsia"/>
          <w:sz w:val="24"/>
        </w:rPr>
        <w:t>比较与评价</w:t>
      </w:r>
      <w:bookmarkEnd w:id="217"/>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18" w:name="_Toc100052402"/>
      <w:r w:rsidRPr="009C1A1F">
        <w:rPr>
          <w:rFonts w:ascii="黑体" w:eastAsia="黑体" w:hAnsi="宋体" w:hint="eastAsia"/>
          <w:sz w:val="24"/>
        </w:rPr>
        <w:t>37．评标方法</w:t>
      </w:r>
      <w:bookmarkEnd w:id="218"/>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19"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19"/>
    </w:p>
    <w:p w:rsidR="00476C13" w:rsidRPr="009C1A1F" w:rsidRDefault="00476C13" w:rsidP="00476C13">
      <w:pPr>
        <w:ind w:firstLineChars="196" w:firstLine="412"/>
        <w:rPr>
          <w:rFonts w:ascii="宋体" w:hAnsi="宋体"/>
          <w:bCs/>
          <w:szCs w:val="21"/>
        </w:rPr>
      </w:pPr>
      <w:bookmarkStart w:id="220"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w:t>
      </w:r>
      <w:r>
        <w:rPr>
          <w:rFonts w:ascii="宋体" w:hAnsi="宋体" w:hint="eastAsia"/>
          <w:bCs/>
          <w:szCs w:val="21"/>
        </w:rPr>
        <w:lastRenderedPageBreak/>
        <w:t>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0"/>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1" w:name="_Toc100052404"/>
      <w:r w:rsidRPr="009C1A1F">
        <w:rPr>
          <w:rFonts w:ascii="黑体" w:eastAsia="黑体" w:hAnsi="宋体" w:hint="eastAsia"/>
          <w:sz w:val="24"/>
        </w:rPr>
        <w:t>39．编写评标报告</w:t>
      </w:r>
      <w:bookmarkEnd w:id="221"/>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2" w:name="_Toc100052405"/>
      <w:bookmarkStart w:id="223" w:name="_Toc73517681"/>
      <w:bookmarkStart w:id="224" w:name="_Toc73518159"/>
      <w:bookmarkStart w:id="225" w:name="_Toc73521588"/>
      <w:bookmarkStart w:id="226"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2"/>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10"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lastRenderedPageBreak/>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7" w:name="_Toc100052406"/>
      <w:r w:rsidRPr="009C1A1F">
        <w:rPr>
          <w:rFonts w:ascii="黑体" w:eastAsia="黑体" w:hAnsi="宋体" w:hint="eastAsia"/>
          <w:sz w:val="24"/>
        </w:rPr>
        <w:t>41．中标结果及中标通知书</w:t>
      </w:r>
      <w:bookmarkEnd w:id="227"/>
    </w:p>
    <w:bookmarkEnd w:id="223"/>
    <w:bookmarkEnd w:id="224"/>
    <w:bookmarkEnd w:id="225"/>
    <w:bookmarkEnd w:id="226"/>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28" w:name="bt合同的授予"/>
      <w:bookmarkStart w:id="229" w:name="_Toc73517678"/>
      <w:bookmarkStart w:id="230" w:name="_Toc73518156"/>
      <w:bookmarkStart w:id="231" w:name="_Toc100052407"/>
      <w:bookmarkStart w:id="232" w:name="_Toc101074884"/>
      <w:bookmarkEnd w:id="228"/>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lastRenderedPageBreak/>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lastRenderedPageBreak/>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29"/>
    <w:bookmarkEnd w:id="230"/>
    <w:bookmarkEnd w:id="231"/>
    <w:bookmarkEnd w:id="232"/>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lastRenderedPageBreak/>
        <w:t>合同的授予与备案</w:t>
      </w:r>
    </w:p>
    <w:p w:rsidR="00476C13" w:rsidRPr="009C1A1F" w:rsidRDefault="00476C13" w:rsidP="00476C13">
      <w:pPr>
        <w:spacing w:line="360" w:lineRule="auto"/>
        <w:rPr>
          <w:rFonts w:ascii="黑体" w:eastAsia="黑体" w:hAnsi="宋体"/>
          <w:sz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C1A1F">
        <w:rPr>
          <w:rFonts w:ascii="黑体" w:eastAsia="黑体" w:hAnsi="宋体" w:hint="eastAsia"/>
          <w:sz w:val="24"/>
        </w:rPr>
        <w:t>45．合同授予标准</w:t>
      </w:r>
      <w:bookmarkEnd w:id="234"/>
      <w:bookmarkEnd w:id="235"/>
      <w:bookmarkEnd w:id="236"/>
      <w:bookmarkEnd w:id="237"/>
      <w:bookmarkEnd w:id="238"/>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39" w:name="_Toc73517680"/>
      <w:bookmarkStart w:id="240" w:name="_Toc73518158"/>
      <w:bookmarkStart w:id="241" w:name="_Toc73521587"/>
      <w:bookmarkStart w:id="242" w:name="_Toc73521675"/>
      <w:bookmarkStart w:id="243" w:name="_Toc100052409"/>
      <w:r w:rsidRPr="009C1A1F">
        <w:rPr>
          <w:rFonts w:ascii="黑体" w:eastAsia="黑体" w:hAnsi="宋体" w:hint="eastAsia"/>
          <w:sz w:val="24"/>
        </w:rPr>
        <w:t>46．</w:t>
      </w:r>
      <w:bookmarkEnd w:id="239"/>
      <w:bookmarkEnd w:id="240"/>
      <w:bookmarkEnd w:id="241"/>
      <w:bookmarkEnd w:id="242"/>
      <w:bookmarkEnd w:id="243"/>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4" w:name="_Toc73517682"/>
      <w:bookmarkStart w:id="245" w:name="_Toc73518160"/>
      <w:bookmarkStart w:id="246" w:name="_Toc73521589"/>
      <w:bookmarkStart w:id="247" w:name="_Toc73521677"/>
      <w:bookmarkStart w:id="248" w:name="_Toc100052410"/>
      <w:r w:rsidRPr="009C1A1F">
        <w:rPr>
          <w:rFonts w:ascii="黑体" w:eastAsia="黑体" w:hAnsi="宋体" w:hint="eastAsia"/>
          <w:sz w:val="24"/>
        </w:rPr>
        <w:t>47．合同协议书的签订</w:t>
      </w:r>
      <w:bookmarkEnd w:id="244"/>
      <w:bookmarkEnd w:id="245"/>
      <w:bookmarkEnd w:id="246"/>
      <w:bookmarkEnd w:id="247"/>
      <w:bookmarkEnd w:id="248"/>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49" w:name="_Toc73517683"/>
      <w:bookmarkStart w:id="250" w:name="_Toc73518161"/>
      <w:bookmarkStart w:id="251" w:name="_Toc73521590"/>
      <w:bookmarkStart w:id="252" w:name="_Toc73521678"/>
      <w:bookmarkStart w:id="253" w:name="_Toc100052411"/>
      <w:r w:rsidRPr="009C1A1F">
        <w:rPr>
          <w:rFonts w:ascii="黑体" w:eastAsia="黑体" w:hAnsi="宋体" w:hint="eastAsia"/>
          <w:sz w:val="24"/>
        </w:rPr>
        <w:t>48．履约担保</w:t>
      </w:r>
      <w:bookmarkEnd w:id="249"/>
      <w:bookmarkEnd w:id="250"/>
      <w:bookmarkEnd w:id="251"/>
      <w:bookmarkEnd w:id="252"/>
      <w:bookmarkEnd w:id="253"/>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w:t>
      </w:r>
      <w:r w:rsidRPr="009C1A1F">
        <w:rPr>
          <w:rFonts w:ascii="宋体" w:hAnsi="宋体" w:hint="eastAsia"/>
          <w:szCs w:val="21"/>
        </w:rPr>
        <w:lastRenderedPageBreak/>
        <w:t>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w:t>
      </w:r>
      <w:r w:rsidRPr="009C1A1F">
        <w:rPr>
          <w:rFonts w:ascii="宋体" w:hAnsi="宋体" w:hint="eastAsia"/>
          <w:szCs w:val="21"/>
        </w:rPr>
        <w:lastRenderedPageBreak/>
        <w:t>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CC" w:rsidRDefault="00CE21CC">
      <w:r>
        <w:separator/>
      </w:r>
    </w:p>
  </w:endnote>
  <w:endnote w:type="continuationSeparator" w:id="0">
    <w:p w:rsidR="00CE21CC" w:rsidRDefault="00CE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panose1 w:val="00000000000000000000"/>
    <w:charset w:val="86"/>
    <w:family w:val="modern"/>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F" w:rsidRDefault="00E8522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8522F" w:rsidRDefault="00E8522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F" w:rsidRDefault="00E8522F">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E72AE">
      <w:rPr>
        <w:noProof/>
      </w:rPr>
      <w:t>4</w:t>
    </w:r>
    <w:r>
      <w:rPr>
        <w:noProof/>
      </w:rPr>
      <w:fldChar w:fldCharType="end"/>
    </w:r>
    <w:r>
      <w:t xml:space="preserve"> -</w:t>
    </w:r>
  </w:p>
  <w:p w:rsidR="00E8522F" w:rsidRDefault="00E8522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CC" w:rsidRDefault="00CE21CC">
      <w:r>
        <w:separator/>
      </w:r>
    </w:p>
  </w:footnote>
  <w:footnote w:type="continuationSeparator" w:id="0">
    <w:p w:rsidR="00CE21CC" w:rsidRDefault="00CE2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F" w:rsidRDefault="00E8522F">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70160</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49273A"/>
    <w:multiLevelType w:val="singleLevel"/>
    <w:tmpl w:val="5849273A"/>
    <w:lvl w:ilvl="0">
      <w:start w:val="1"/>
      <w:numFmt w:val="decimal"/>
      <w:suff w:val="nothing"/>
      <w:lvlText w:val="%1、"/>
      <w:lvlJc w:val="left"/>
    </w:lvl>
  </w:abstractNum>
  <w:abstractNum w:abstractNumId="10">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8"/>
  </w:num>
  <w:num w:numId="4">
    <w:abstractNumId w:val="5"/>
  </w:num>
  <w:num w:numId="5">
    <w:abstractNumId w:val="3"/>
  </w:num>
  <w:num w:numId="6">
    <w:abstractNumId w:val="12"/>
  </w:num>
  <w:num w:numId="7">
    <w:abstractNumId w:val="4"/>
  </w:num>
  <w:num w:numId="8">
    <w:abstractNumId w:val="6"/>
  </w:num>
  <w:num w:numId="9">
    <w:abstractNumId w:val="9"/>
  </w:num>
  <w:num w:numId="10">
    <w:abstractNumId w:val="7"/>
  </w:num>
  <w:num w:numId="11">
    <w:abstractNumId w:val="10"/>
  </w:num>
  <w:num w:numId="12">
    <w:abstractNumId w:val="2"/>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24DF7"/>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95A85"/>
    <w:rsid w:val="001C09A2"/>
    <w:rsid w:val="001D29B6"/>
    <w:rsid w:val="001D7C12"/>
    <w:rsid w:val="001F5733"/>
    <w:rsid w:val="001F5E0D"/>
    <w:rsid w:val="001F7C2B"/>
    <w:rsid w:val="00237914"/>
    <w:rsid w:val="0024305E"/>
    <w:rsid w:val="0025082F"/>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33EA4"/>
    <w:rsid w:val="0034044F"/>
    <w:rsid w:val="00361895"/>
    <w:rsid w:val="003737A7"/>
    <w:rsid w:val="003762CA"/>
    <w:rsid w:val="00387678"/>
    <w:rsid w:val="003A2EB7"/>
    <w:rsid w:val="003B1A60"/>
    <w:rsid w:val="003D5E7F"/>
    <w:rsid w:val="003D7290"/>
    <w:rsid w:val="003D77D0"/>
    <w:rsid w:val="003E6D96"/>
    <w:rsid w:val="003E6DFD"/>
    <w:rsid w:val="003F664A"/>
    <w:rsid w:val="00436599"/>
    <w:rsid w:val="0044416C"/>
    <w:rsid w:val="00466EE7"/>
    <w:rsid w:val="00470054"/>
    <w:rsid w:val="00476C13"/>
    <w:rsid w:val="004A653A"/>
    <w:rsid w:val="004C3A2E"/>
    <w:rsid w:val="004C5923"/>
    <w:rsid w:val="004D3787"/>
    <w:rsid w:val="004E55A7"/>
    <w:rsid w:val="004F0C0E"/>
    <w:rsid w:val="0052123F"/>
    <w:rsid w:val="0052234F"/>
    <w:rsid w:val="005268CF"/>
    <w:rsid w:val="005343B4"/>
    <w:rsid w:val="00540A40"/>
    <w:rsid w:val="00544FFC"/>
    <w:rsid w:val="00546183"/>
    <w:rsid w:val="00566A83"/>
    <w:rsid w:val="005776F8"/>
    <w:rsid w:val="00591E3F"/>
    <w:rsid w:val="005A3123"/>
    <w:rsid w:val="005D5B65"/>
    <w:rsid w:val="005E30F2"/>
    <w:rsid w:val="0060609A"/>
    <w:rsid w:val="00627803"/>
    <w:rsid w:val="00670168"/>
    <w:rsid w:val="006A3114"/>
    <w:rsid w:val="006A695D"/>
    <w:rsid w:val="006A75FE"/>
    <w:rsid w:val="006B0750"/>
    <w:rsid w:val="006C6B50"/>
    <w:rsid w:val="006E0708"/>
    <w:rsid w:val="007067D7"/>
    <w:rsid w:val="00710A4E"/>
    <w:rsid w:val="00715829"/>
    <w:rsid w:val="00724003"/>
    <w:rsid w:val="0072750D"/>
    <w:rsid w:val="007376A3"/>
    <w:rsid w:val="00752DF1"/>
    <w:rsid w:val="00776CF7"/>
    <w:rsid w:val="00784D55"/>
    <w:rsid w:val="007A1334"/>
    <w:rsid w:val="007A604D"/>
    <w:rsid w:val="007C0345"/>
    <w:rsid w:val="007C0ECB"/>
    <w:rsid w:val="007D2BD7"/>
    <w:rsid w:val="007D576B"/>
    <w:rsid w:val="007D5B61"/>
    <w:rsid w:val="007E4EFE"/>
    <w:rsid w:val="00806E5A"/>
    <w:rsid w:val="00810AB0"/>
    <w:rsid w:val="0082373D"/>
    <w:rsid w:val="00825D64"/>
    <w:rsid w:val="00825D94"/>
    <w:rsid w:val="00843BA2"/>
    <w:rsid w:val="00846DC0"/>
    <w:rsid w:val="00847463"/>
    <w:rsid w:val="008732C7"/>
    <w:rsid w:val="008744C1"/>
    <w:rsid w:val="00885980"/>
    <w:rsid w:val="008D18E8"/>
    <w:rsid w:val="008D41E3"/>
    <w:rsid w:val="008E08A2"/>
    <w:rsid w:val="00973291"/>
    <w:rsid w:val="00974DE4"/>
    <w:rsid w:val="00980B6F"/>
    <w:rsid w:val="0098476F"/>
    <w:rsid w:val="009A34C1"/>
    <w:rsid w:val="009C487E"/>
    <w:rsid w:val="009C59F3"/>
    <w:rsid w:val="009D57F4"/>
    <w:rsid w:val="009F70E1"/>
    <w:rsid w:val="00A03865"/>
    <w:rsid w:val="00A05106"/>
    <w:rsid w:val="00A558C7"/>
    <w:rsid w:val="00A55D13"/>
    <w:rsid w:val="00A570EF"/>
    <w:rsid w:val="00A9513A"/>
    <w:rsid w:val="00AA1967"/>
    <w:rsid w:val="00AA1AFD"/>
    <w:rsid w:val="00AA5C41"/>
    <w:rsid w:val="00AB03A9"/>
    <w:rsid w:val="00AE6D86"/>
    <w:rsid w:val="00B05FA3"/>
    <w:rsid w:val="00B272E3"/>
    <w:rsid w:val="00B3175E"/>
    <w:rsid w:val="00B33B1B"/>
    <w:rsid w:val="00B46356"/>
    <w:rsid w:val="00B773E5"/>
    <w:rsid w:val="00B83028"/>
    <w:rsid w:val="00B9315D"/>
    <w:rsid w:val="00B97A3C"/>
    <w:rsid w:val="00BB094E"/>
    <w:rsid w:val="00BB6B13"/>
    <w:rsid w:val="00BB6FD7"/>
    <w:rsid w:val="00BD3788"/>
    <w:rsid w:val="00BF2EB2"/>
    <w:rsid w:val="00C179C8"/>
    <w:rsid w:val="00C222FE"/>
    <w:rsid w:val="00C22634"/>
    <w:rsid w:val="00C56F12"/>
    <w:rsid w:val="00C64393"/>
    <w:rsid w:val="00C730D8"/>
    <w:rsid w:val="00C92BE8"/>
    <w:rsid w:val="00C95533"/>
    <w:rsid w:val="00C969A5"/>
    <w:rsid w:val="00CC06C6"/>
    <w:rsid w:val="00CC54E4"/>
    <w:rsid w:val="00CC72FA"/>
    <w:rsid w:val="00CE21CC"/>
    <w:rsid w:val="00D0607A"/>
    <w:rsid w:val="00D12E89"/>
    <w:rsid w:val="00D14AB7"/>
    <w:rsid w:val="00D458EC"/>
    <w:rsid w:val="00D50508"/>
    <w:rsid w:val="00D51D0D"/>
    <w:rsid w:val="00D549F7"/>
    <w:rsid w:val="00D6071E"/>
    <w:rsid w:val="00D6443F"/>
    <w:rsid w:val="00D64B34"/>
    <w:rsid w:val="00D74094"/>
    <w:rsid w:val="00D848F8"/>
    <w:rsid w:val="00D92847"/>
    <w:rsid w:val="00D9462E"/>
    <w:rsid w:val="00DC2F8B"/>
    <w:rsid w:val="00DD770C"/>
    <w:rsid w:val="00DE72AE"/>
    <w:rsid w:val="00DF0612"/>
    <w:rsid w:val="00E00076"/>
    <w:rsid w:val="00E12E56"/>
    <w:rsid w:val="00E21586"/>
    <w:rsid w:val="00E3084A"/>
    <w:rsid w:val="00E52A79"/>
    <w:rsid w:val="00E578FD"/>
    <w:rsid w:val="00E63453"/>
    <w:rsid w:val="00E6519E"/>
    <w:rsid w:val="00E72D34"/>
    <w:rsid w:val="00E739DA"/>
    <w:rsid w:val="00E8522F"/>
    <w:rsid w:val="00EB0EB1"/>
    <w:rsid w:val="00EB3F07"/>
    <w:rsid w:val="00EB4369"/>
    <w:rsid w:val="00EB5957"/>
    <w:rsid w:val="00EC036D"/>
    <w:rsid w:val="00EC2193"/>
    <w:rsid w:val="00EC27EE"/>
    <w:rsid w:val="00EC37B9"/>
    <w:rsid w:val="00ED3899"/>
    <w:rsid w:val="00F04ED2"/>
    <w:rsid w:val="00F4225C"/>
    <w:rsid w:val="00F53906"/>
    <w:rsid w:val="00F54419"/>
    <w:rsid w:val="00F67A2C"/>
    <w:rsid w:val="00F77B03"/>
    <w:rsid w:val="00FA78CD"/>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http://sb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4696</Words>
  <Characters>26772</Characters>
  <Application>Microsoft Office Word</Application>
  <DocSecurity>0</DocSecurity>
  <Lines>223</Lines>
  <Paragraphs>62</Paragraphs>
  <ScaleCrop>false</ScaleCrop>
  <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24</cp:revision>
  <cp:lastPrinted>2016-12-12T03:41:00Z</cp:lastPrinted>
  <dcterms:created xsi:type="dcterms:W3CDTF">2016-12-08T09:43:00Z</dcterms:created>
  <dcterms:modified xsi:type="dcterms:W3CDTF">2017-07-17T07:53:00Z</dcterms:modified>
</cp:coreProperties>
</file>