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hint="eastAsia" w:ascii="宋体" w:hAnsi="宋体" w:eastAsia="宋体" w:cs="Times New Roman"/>
          <w:color w:val="FF0000"/>
          <w:sz w:val="52"/>
          <w:szCs w:val="52"/>
          <w:lang w:eastAsia="zh-CN"/>
        </w:rPr>
      </w:pPr>
      <w:r>
        <w:rPr>
          <w:rFonts w:hint="eastAsia" w:ascii="宋体" w:hAnsi="宋体" w:eastAsia="宋体" w:cs="Times New Roman"/>
          <w:color w:val="FF0000"/>
          <w:sz w:val="52"/>
          <w:szCs w:val="52"/>
          <w:lang w:eastAsia="zh-CN"/>
        </w:rPr>
        <w:t>经济学院搬迁服务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lang w:eastAsia="zh-CN"/>
        </w:rPr>
        <w:t>SZUCG20211637FW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w:t>
      </w:r>
      <w:r>
        <w:rPr>
          <w:rFonts w:hint="eastAsia" w:ascii="宋体" w:hAnsi="宋体" w:eastAsia="宋体" w:cs="Times New Roman"/>
          <w:color w:val="FF0000"/>
          <w:sz w:val="30"/>
          <w:szCs w:val="24"/>
          <w:lang w:val="en-US" w:eastAsia="zh-CN"/>
        </w:rPr>
        <w:t>八</w:t>
      </w:r>
      <w:r>
        <w:rPr>
          <w:rFonts w:hint="eastAsia" w:ascii="宋体" w:hAnsi="宋体" w:eastAsia="宋体" w:cs="Times New Roman"/>
          <w:color w:val="FF0000"/>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hint="eastAsia" w:ascii="宋体" w:hAnsi="宋体" w:eastAsia="宋体" w:cs="Times New Roman"/>
          <w:sz w:val="32"/>
          <w:szCs w:val="24"/>
          <w:lang w:eastAsia="zh-CN"/>
        </w:rPr>
      </w:pPr>
      <w:r>
        <w:rPr>
          <w:rFonts w:ascii="宋体" w:hAnsi="宋体" w:eastAsia="宋体" w:cs="Times New Roman"/>
          <w:sz w:val="32"/>
          <w:szCs w:val="24"/>
        </w:rPr>
        <w:t xml:space="preserve">      项目编号：  </w:t>
      </w:r>
      <w:r>
        <w:rPr>
          <w:rFonts w:hint="eastAsia" w:ascii="宋体" w:hAnsi="宋体" w:eastAsia="宋体" w:cs="Times New Roman"/>
          <w:sz w:val="32"/>
          <w:szCs w:val="24"/>
          <w:lang w:eastAsia="zh-CN"/>
        </w:rPr>
        <w:t>SZUCG20211637FW</w:t>
      </w:r>
    </w:p>
    <w:p>
      <w:pPr>
        <w:ind w:left="2880" w:hanging="2880" w:hangingChars="900"/>
        <w:rPr>
          <w:rFonts w:hint="eastAsia" w:ascii="宋体" w:hAnsi="宋体" w:eastAsia="宋体" w:cs="Times New Roman"/>
          <w:sz w:val="32"/>
          <w:szCs w:val="24"/>
          <w:lang w:eastAsia="zh-CN"/>
        </w:rPr>
      </w:pPr>
      <w:r>
        <w:rPr>
          <w:rFonts w:ascii="宋体" w:hAnsi="宋体" w:eastAsia="宋体" w:cs="Times New Roman"/>
          <w:sz w:val="32"/>
          <w:szCs w:val="24"/>
        </w:rPr>
        <w:t xml:space="preserve">      项目名称：  </w:t>
      </w:r>
      <w:r>
        <w:rPr>
          <w:rFonts w:hint="eastAsia" w:ascii="宋体" w:hAnsi="宋体" w:eastAsia="宋体" w:cs="Times New Roman"/>
          <w:sz w:val="32"/>
          <w:szCs w:val="24"/>
          <w:lang w:eastAsia="zh-CN"/>
        </w:rPr>
        <w:t>经济学院搬迁服务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ind w:firstLine="411" w:firstLineChars="196"/>
        <w:rPr>
          <w:rFonts w:ascii="ˎ̥" w:hAnsi="ˎ̥"/>
        </w:rPr>
      </w:pPr>
      <w:r>
        <w:rPr>
          <w:rFonts w:hint="eastAsia" w:ascii="Times New Roman" w:hAnsi="Times New Roman" w:eastAsia="宋体" w:cs="Times New Roman"/>
          <w:szCs w:val="24"/>
        </w:rPr>
        <w:t>评标方法：综合评分法，</w:t>
      </w: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cs="ˎ̥"/>
          <w:szCs w:val="24"/>
        </w:rPr>
      </w:pPr>
      <w:r>
        <w:rPr>
          <w:rFonts w:hint="eastAsia" w:ascii="ˎ̥" w:hAnsi="ˎ̥"/>
        </w:rPr>
        <w:t>本项目</w:t>
      </w:r>
      <w:r>
        <w:rPr>
          <w:rFonts w:hint="eastAsia"/>
        </w:rPr>
        <w:t>中标供应商数量为</w:t>
      </w:r>
      <w:r>
        <w:t xml:space="preserve"> 1 </w:t>
      </w:r>
      <w:r>
        <w:rPr>
          <w:rFonts w:hint="eastAsia"/>
        </w:rPr>
        <w:t>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695"/>
        <w:gridCol w:w="10"/>
        <w:gridCol w:w="2999"/>
        <w:gridCol w:w="800"/>
        <w:gridCol w:w="1118"/>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257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实施方案（工作措施、工作方法、工作手段、工作流程）</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评审内容：考察投标人提供的实施方案中工作措施、工作方法、工作手段、工作流程合理性、科学性、完善性、可操作性。</w:t>
            </w:r>
          </w:p>
          <w:p>
            <w:pPr>
              <w:rPr>
                <w:rFonts w:ascii="宋体" w:hAnsi="宋体"/>
                <w:color w:val="auto"/>
                <w:szCs w:val="21"/>
                <w:highlight w:val="none"/>
              </w:rPr>
            </w:pPr>
            <w:r>
              <w:rPr>
                <w:rFonts w:hint="eastAsia" w:ascii="宋体" w:hAnsi="宋体"/>
                <w:color w:val="auto"/>
                <w:szCs w:val="21"/>
                <w:highlight w:val="none"/>
              </w:rPr>
              <w:t>优评分标准：项目服务方案全面、详细具体，结构完整，框架系统，方法科学，亮点突出，工作量设置合理可行的评优；</w:t>
            </w:r>
          </w:p>
          <w:p>
            <w:pPr>
              <w:rPr>
                <w:rFonts w:ascii="宋体" w:hAnsi="宋体"/>
                <w:color w:val="auto"/>
                <w:szCs w:val="21"/>
                <w:highlight w:val="none"/>
              </w:rPr>
            </w:pPr>
            <w:r>
              <w:rPr>
                <w:rFonts w:hint="eastAsia" w:ascii="宋体" w:hAnsi="宋体"/>
                <w:color w:val="auto"/>
                <w:szCs w:val="21"/>
                <w:highlight w:val="none"/>
              </w:rPr>
              <w:t>良评分标准：项目服务方案内容全面、较详细，结构比较完整，框架比较系统，方法比较科学的评良；</w:t>
            </w:r>
          </w:p>
          <w:p>
            <w:pPr>
              <w:rPr>
                <w:rFonts w:ascii="宋体" w:hAnsi="宋体"/>
                <w:color w:val="auto"/>
                <w:szCs w:val="21"/>
                <w:highlight w:val="none"/>
              </w:rPr>
            </w:pPr>
            <w:r>
              <w:rPr>
                <w:rFonts w:hint="eastAsia" w:ascii="宋体" w:hAnsi="宋体"/>
                <w:color w:val="auto"/>
                <w:szCs w:val="21"/>
                <w:highlight w:val="none"/>
              </w:rPr>
              <w:t>中评分标准：项目服务方案内容全面但不具体且系统性差的评中；</w:t>
            </w:r>
          </w:p>
          <w:p>
            <w:pPr>
              <w:rPr>
                <w:rFonts w:ascii="宋体" w:hAnsi="宋体"/>
                <w:color w:val="auto"/>
                <w:szCs w:val="21"/>
                <w:highlight w:val="none"/>
              </w:rPr>
            </w:pPr>
            <w:r>
              <w:rPr>
                <w:rFonts w:hint="eastAsia" w:ascii="宋体" w:hAnsi="宋体"/>
                <w:color w:val="auto"/>
                <w:szCs w:val="21"/>
                <w:highlight w:val="none"/>
              </w:rPr>
              <w:t>差评分标准：项目服务方案内容不全面、不具体且系统性差的评差；</w:t>
            </w:r>
          </w:p>
          <w:p>
            <w:pPr>
              <w:jc w:val="center"/>
              <w:rPr>
                <w:rFonts w:ascii="宋体" w:hAnsi="宋体"/>
                <w:szCs w:val="21"/>
              </w:rPr>
            </w:pPr>
            <w:r>
              <w:rPr>
                <w:rFonts w:hint="eastAsia" w:ascii="宋体" w:hAnsi="宋体"/>
                <w:color w:val="auto"/>
                <w:szCs w:val="21"/>
                <w:highlight w:val="none"/>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3009" w:type="dxa"/>
            <w:gridSpan w:val="2"/>
            <w:tcBorders>
              <w:top w:val="single" w:color="auto" w:sz="4" w:space="0"/>
              <w:left w:val="single" w:color="auto" w:sz="4" w:space="0"/>
              <w:bottom w:val="single" w:color="auto" w:sz="4" w:space="0"/>
              <w:right w:val="single" w:color="auto" w:sz="4" w:space="0"/>
            </w:tcBorders>
          </w:tcPr>
          <w:p>
            <w:pPr>
              <w:ind w:left="525" w:hanging="525" w:hangingChars="250"/>
              <w:rPr>
                <w:rFonts w:ascii="宋体" w:hAnsi="宋体"/>
                <w:szCs w:val="21"/>
              </w:rPr>
            </w:pPr>
            <w:r>
              <w:rPr>
                <w:rFonts w:hint="eastAsia" w:ascii="宋体" w:hAnsi="宋体"/>
                <w:szCs w:val="21"/>
              </w:rPr>
              <w:t>项目重点难点分析、应对措施及相关的合理化建议</w:t>
            </w:r>
          </w:p>
        </w:tc>
        <w:tc>
          <w:tcPr>
            <w:tcW w:w="8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highlight w:val="none"/>
              </w:rPr>
            </w:pPr>
            <w:r>
              <w:rPr>
                <w:rFonts w:hint="eastAsia" w:ascii="宋体" w:hAnsi="宋体"/>
                <w:color w:val="auto"/>
                <w:szCs w:val="21"/>
                <w:highlight w:val="none"/>
              </w:rPr>
              <w:t>评审内容：考察投标人提供的实施方案中重点难点分析、应对措施及相关的合理化建议。</w:t>
            </w:r>
          </w:p>
          <w:p>
            <w:pPr>
              <w:rPr>
                <w:rFonts w:ascii="宋体" w:hAnsi="宋体"/>
                <w:color w:val="auto"/>
                <w:szCs w:val="21"/>
                <w:highlight w:val="none"/>
              </w:rPr>
            </w:pPr>
            <w:r>
              <w:rPr>
                <w:rFonts w:hint="eastAsia" w:ascii="宋体" w:hAnsi="宋体"/>
                <w:color w:val="auto"/>
                <w:szCs w:val="21"/>
                <w:highlight w:val="none"/>
              </w:rPr>
              <w:t>优评分标准：准确掌握本项目的重难点，整体准确掌握研究特点、难点，思路清晰具备具体可操作的合理化建议的评优；</w:t>
            </w:r>
          </w:p>
          <w:p>
            <w:pPr>
              <w:rPr>
                <w:rFonts w:ascii="宋体" w:hAnsi="宋体"/>
                <w:color w:val="auto"/>
                <w:szCs w:val="21"/>
                <w:highlight w:val="none"/>
              </w:rPr>
            </w:pPr>
            <w:r>
              <w:rPr>
                <w:rFonts w:hint="eastAsia" w:ascii="宋体" w:hAnsi="宋体"/>
                <w:color w:val="auto"/>
                <w:szCs w:val="21"/>
                <w:highlight w:val="none"/>
              </w:rPr>
              <w:t>良评分标准：基本掌握本项目的重难点，掌握调查研究的特点、难点，思路较清晰，合理化建议较好评良；</w:t>
            </w:r>
          </w:p>
          <w:p>
            <w:pPr>
              <w:rPr>
                <w:rFonts w:ascii="宋体" w:hAnsi="宋体"/>
                <w:color w:val="auto"/>
                <w:szCs w:val="21"/>
                <w:highlight w:val="none"/>
              </w:rPr>
            </w:pPr>
            <w:r>
              <w:rPr>
                <w:rFonts w:hint="eastAsia" w:ascii="宋体" w:hAnsi="宋体"/>
                <w:color w:val="auto"/>
                <w:szCs w:val="21"/>
                <w:highlight w:val="none"/>
              </w:rPr>
              <w:t>中评分标准：重难点掌握一般，合理化建议一般的评中；</w:t>
            </w:r>
          </w:p>
          <w:p>
            <w:pPr>
              <w:rPr>
                <w:rFonts w:ascii="宋体" w:hAnsi="宋体"/>
                <w:color w:val="auto"/>
                <w:szCs w:val="21"/>
                <w:highlight w:val="none"/>
              </w:rPr>
            </w:pPr>
            <w:r>
              <w:rPr>
                <w:rFonts w:hint="eastAsia" w:ascii="宋体" w:hAnsi="宋体"/>
                <w:color w:val="auto"/>
                <w:szCs w:val="21"/>
                <w:highlight w:val="none"/>
              </w:rPr>
              <w:t>差评分标准：重难点分析及解决方案，合理化建议不详细评差；</w:t>
            </w:r>
          </w:p>
          <w:p>
            <w:pPr>
              <w:rPr>
                <w:rFonts w:ascii="宋体" w:hAnsi="宋体"/>
                <w:szCs w:val="21"/>
              </w:rPr>
            </w:pPr>
            <w:r>
              <w:rPr>
                <w:rFonts w:hint="eastAsia" w:ascii="宋体" w:hAnsi="宋体"/>
                <w:color w:val="auto"/>
                <w:szCs w:val="21"/>
                <w:highlight w:val="none"/>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Cs w:val="21"/>
                <w:highlight w:val="none"/>
              </w:rPr>
            </w:pPr>
            <w:r>
              <w:rPr>
                <w:rFonts w:hint="eastAsia" w:ascii="宋体" w:hAnsi="宋体"/>
                <w:color w:val="auto"/>
                <w:szCs w:val="21"/>
                <w:highlight w:val="none"/>
              </w:rPr>
              <w:t>评审内容：考察投标人质量保障措施方案全面性及安全性。</w:t>
            </w:r>
          </w:p>
          <w:p>
            <w:pPr>
              <w:rPr>
                <w:rFonts w:ascii="宋体" w:hAnsi="宋体"/>
                <w:color w:val="auto"/>
                <w:szCs w:val="21"/>
                <w:highlight w:val="none"/>
              </w:rPr>
            </w:pPr>
            <w:r>
              <w:rPr>
                <w:rFonts w:hint="eastAsia" w:ascii="宋体" w:hAnsi="宋体"/>
                <w:color w:val="auto"/>
                <w:szCs w:val="21"/>
                <w:highlight w:val="none"/>
              </w:rPr>
              <w:t>优评分标准：项目质量保障措施及方案详细，工作进度安排合理，为防疫需要，有完善的方案措施保障项目实施过程中人员安全，并能提供为本项目服务的人员均已接种完成两针疫苗的，同时项目环保措施完善的评优；</w:t>
            </w:r>
          </w:p>
          <w:p>
            <w:pPr>
              <w:rPr>
                <w:rFonts w:ascii="宋体" w:hAnsi="宋体"/>
                <w:color w:val="auto"/>
                <w:szCs w:val="21"/>
                <w:highlight w:val="none"/>
              </w:rPr>
            </w:pPr>
            <w:r>
              <w:rPr>
                <w:rFonts w:hint="eastAsia" w:ascii="宋体" w:hAnsi="宋体"/>
                <w:color w:val="auto"/>
                <w:szCs w:val="21"/>
                <w:highlight w:val="none"/>
              </w:rPr>
              <w:t>良评分标准：项目质量保障措施方案较好，工作进度安排较好，防疫方案较好，项目环保措施较好的评良；</w:t>
            </w:r>
          </w:p>
          <w:p>
            <w:pPr>
              <w:rPr>
                <w:rFonts w:ascii="宋体" w:hAnsi="宋体"/>
                <w:color w:val="auto"/>
                <w:szCs w:val="21"/>
                <w:highlight w:val="none"/>
              </w:rPr>
            </w:pPr>
            <w:r>
              <w:rPr>
                <w:rFonts w:hint="eastAsia" w:ascii="宋体" w:hAnsi="宋体"/>
                <w:color w:val="auto"/>
                <w:szCs w:val="21"/>
                <w:highlight w:val="none"/>
              </w:rPr>
              <w:t>中评分标准：项目质量保障措施方案一般，工作进度安排一般，防疫方案一般，项目环保措施一般的评中；</w:t>
            </w:r>
          </w:p>
          <w:p>
            <w:pPr>
              <w:rPr>
                <w:rFonts w:ascii="宋体" w:hAnsi="宋体"/>
                <w:color w:val="auto"/>
                <w:szCs w:val="21"/>
                <w:highlight w:val="none"/>
              </w:rPr>
            </w:pPr>
            <w:r>
              <w:rPr>
                <w:rFonts w:hint="eastAsia" w:ascii="宋体" w:hAnsi="宋体"/>
                <w:color w:val="auto"/>
                <w:szCs w:val="21"/>
                <w:highlight w:val="none"/>
              </w:rPr>
              <w:t>差评分标准：项目质量保障措施及方案不详细，安排不合理，防疫方案不合理的评差</w:t>
            </w:r>
          </w:p>
          <w:p>
            <w:pPr>
              <w:rPr>
                <w:rFonts w:ascii="宋体" w:hAnsi="宋体"/>
                <w:szCs w:val="21"/>
              </w:rPr>
            </w:pPr>
            <w:r>
              <w:rPr>
                <w:rFonts w:hint="eastAsia" w:ascii="宋体" w:hAnsi="宋体"/>
                <w:color w:val="auto"/>
                <w:szCs w:val="21"/>
                <w:highlight w:val="none"/>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项目完成（服务期满）后的服务承诺</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评审内容：投标人的项目完成（服务期满）后的服务承诺。</w:t>
            </w:r>
          </w:p>
          <w:p>
            <w:pPr>
              <w:jc w:val="center"/>
              <w:rPr>
                <w:rFonts w:ascii="宋体" w:hAnsi="宋体"/>
                <w:color w:val="auto"/>
                <w:szCs w:val="21"/>
                <w:highlight w:val="none"/>
              </w:rPr>
            </w:pPr>
            <w:r>
              <w:rPr>
                <w:rFonts w:hint="eastAsia" w:ascii="宋体" w:hAnsi="宋体"/>
                <w:color w:val="auto"/>
                <w:szCs w:val="21"/>
                <w:highlight w:val="none"/>
              </w:rPr>
              <w:t>优评分标准：服务期满后的服务承诺全面具体，具备专业的售后服务团队和售后服务管理体系评优；</w:t>
            </w:r>
          </w:p>
          <w:p>
            <w:pPr>
              <w:jc w:val="center"/>
              <w:rPr>
                <w:rFonts w:ascii="宋体" w:hAnsi="宋体"/>
                <w:color w:val="auto"/>
                <w:szCs w:val="21"/>
                <w:highlight w:val="none"/>
              </w:rPr>
            </w:pPr>
            <w:r>
              <w:rPr>
                <w:rFonts w:hint="eastAsia" w:ascii="宋体" w:hAnsi="宋体"/>
                <w:color w:val="auto"/>
                <w:szCs w:val="21"/>
                <w:highlight w:val="none"/>
              </w:rPr>
              <w:t>良评分标准：服务期满后的服务承诺较好，售后服务团队和售后服务管理体系不完善评良；</w:t>
            </w:r>
          </w:p>
          <w:p>
            <w:pPr>
              <w:jc w:val="center"/>
              <w:rPr>
                <w:rFonts w:ascii="宋体" w:hAnsi="宋体"/>
                <w:color w:val="auto"/>
                <w:szCs w:val="21"/>
                <w:highlight w:val="none"/>
              </w:rPr>
            </w:pPr>
            <w:r>
              <w:rPr>
                <w:rFonts w:hint="eastAsia" w:ascii="宋体" w:hAnsi="宋体"/>
                <w:color w:val="auto"/>
                <w:szCs w:val="21"/>
                <w:highlight w:val="none"/>
              </w:rPr>
              <w:t>中评分标准：服务期满后的服务承诺一般，售后服务团队和售后服务管理体系一般评中；</w:t>
            </w:r>
          </w:p>
          <w:p>
            <w:pPr>
              <w:jc w:val="center"/>
              <w:rPr>
                <w:rFonts w:ascii="宋体" w:hAnsi="宋体"/>
                <w:color w:val="auto"/>
                <w:szCs w:val="21"/>
                <w:highlight w:val="none"/>
              </w:rPr>
            </w:pPr>
            <w:r>
              <w:rPr>
                <w:rFonts w:hint="eastAsia" w:ascii="宋体" w:hAnsi="宋体"/>
                <w:color w:val="auto"/>
                <w:szCs w:val="21"/>
                <w:highlight w:val="none"/>
              </w:rPr>
              <w:t>差评分标准：服务期满后承诺、售后服务团队及管理体系差的评差；</w:t>
            </w:r>
          </w:p>
          <w:p>
            <w:pPr>
              <w:jc w:val="center"/>
              <w:rPr>
                <w:rFonts w:ascii="宋体" w:hAnsi="宋体"/>
                <w:szCs w:val="21"/>
              </w:rPr>
            </w:pPr>
            <w:r>
              <w:rPr>
                <w:rFonts w:hint="eastAsia" w:ascii="宋体" w:hAnsi="宋体"/>
                <w:color w:val="auto"/>
                <w:szCs w:val="21"/>
                <w:highlight w:val="none"/>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评审内容：投标人对本项目项目概况、总体要求、服务要求等方面的约定的承诺。</w:t>
            </w:r>
          </w:p>
          <w:p>
            <w:pPr>
              <w:jc w:val="center"/>
              <w:rPr>
                <w:rFonts w:ascii="宋体" w:hAnsi="宋体"/>
                <w:color w:val="auto"/>
                <w:szCs w:val="21"/>
                <w:highlight w:val="none"/>
              </w:rPr>
            </w:pPr>
            <w:r>
              <w:rPr>
                <w:rFonts w:hint="eastAsia" w:ascii="宋体" w:hAnsi="宋体"/>
                <w:color w:val="auto"/>
                <w:szCs w:val="21"/>
                <w:highlight w:val="none"/>
              </w:rPr>
              <w:t>优评分标准：内容完善、合理性强评优；</w:t>
            </w:r>
          </w:p>
          <w:p>
            <w:pPr>
              <w:jc w:val="center"/>
              <w:rPr>
                <w:rFonts w:ascii="宋体" w:hAnsi="宋体"/>
                <w:color w:val="auto"/>
                <w:szCs w:val="21"/>
                <w:highlight w:val="none"/>
              </w:rPr>
            </w:pPr>
            <w:r>
              <w:rPr>
                <w:rFonts w:hint="eastAsia" w:ascii="宋体" w:hAnsi="宋体"/>
                <w:color w:val="auto"/>
                <w:szCs w:val="21"/>
                <w:highlight w:val="none"/>
              </w:rPr>
              <w:t>良评分标准：内容完善、合理性较强评良；</w:t>
            </w:r>
          </w:p>
          <w:p>
            <w:pPr>
              <w:jc w:val="center"/>
              <w:rPr>
                <w:rFonts w:ascii="宋体" w:hAnsi="宋体"/>
                <w:color w:val="auto"/>
                <w:szCs w:val="21"/>
                <w:highlight w:val="none"/>
              </w:rPr>
            </w:pPr>
            <w:r>
              <w:rPr>
                <w:rFonts w:hint="eastAsia" w:ascii="宋体" w:hAnsi="宋体"/>
                <w:color w:val="auto"/>
                <w:szCs w:val="21"/>
                <w:highlight w:val="none"/>
              </w:rPr>
              <w:t>中评分标准：内容合完善、合理性一般评中；</w:t>
            </w:r>
          </w:p>
          <w:p>
            <w:pPr>
              <w:jc w:val="center"/>
              <w:rPr>
                <w:rFonts w:ascii="宋体" w:hAnsi="宋体"/>
                <w:color w:val="auto"/>
                <w:szCs w:val="21"/>
                <w:highlight w:val="none"/>
              </w:rPr>
            </w:pPr>
            <w:r>
              <w:rPr>
                <w:rFonts w:hint="eastAsia" w:ascii="宋体" w:hAnsi="宋体"/>
                <w:color w:val="auto"/>
                <w:szCs w:val="21"/>
                <w:highlight w:val="none"/>
              </w:rPr>
              <w:t>差评分标准：内容合理性较差或未提供评差；</w:t>
            </w:r>
          </w:p>
          <w:p>
            <w:pPr>
              <w:jc w:val="center"/>
              <w:rPr>
                <w:rFonts w:ascii="宋体" w:hAnsi="宋体"/>
                <w:szCs w:val="21"/>
              </w:rPr>
            </w:pPr>
            <w:r>
              <w:rPr>
                <w:rFonts w:hint="eastAsia" w:ascii="宋体" w:hAnsi="宋体"/>
                <w:color w:val="auto"/>
                <w:szCs w:val="21"/>
                <w:highlight w:val="none"/>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2579"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投标人资格情况及通过相关认证情况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（一）评分内容：</w:t>
            </w:r>
          </w:p>
          <w:p>
            <w:pPr>
              <w:widowControl/>
              <w:jc w:val="center"/>
              <w:rPr>
                <w:rFonts w:ascii="宋体" w:hAnsi="宋体"/>
                <w:color w:val="auto"/>
                <w:szCs w:val="21"/>
                <w:highlight w:val="none"/>
              </w:rPr>
            </w:pPr>
            <w:r>
              <w:rPr>
                <w:rFonts w:hint="eastAsia" w:ascii="宋体" w:hAnsi="宋体"/>
                <w:color w:val="auto"/>
                <w:szCs w:val="21"/>
                <w:highlight w:val="none"/>
              </w:rPr>
              <w:t>1.质量管理体系认证（认证范围包含搬运装卸）；</w:t>
            </w:r>
          </w:p>
          <w:p>
            <w:pPr>
              <w:jc w:val="center"/>
              <w:rPr>
                <w:rFonts w:ascii="宋体" w:hAnsi="宋体"/>
                <w:color w:val="auto"/>
                <w:szCs w:val="21"/>
                <w:highlight w:val="none"/>
              </w:rPr>
            </w:pPr>
            <w:r>
              <w:rPr>
                <w:rFonts w:hint="eastAsia" w:ascii="宋体" w:hAnsi="宋体"/>
                <w:color w:val="auto"/>
                <w:szCs w:val="21"/>
                <w:highlight w:val="none"/>
              </w:rPr>
              <w:t>2.售后服务体系认证（认证范围包含搬运装卸）。（二）评分依据：</w:t>
            </w:r>
          </w:p>
          <w:p>
            <w:pPr>
              <w:jc w:val="center"/>
              <w:rPr>
                <w:rFonts w:ascii="宋体" w:hAnsi="宋体"/>
                <w:color w:val="auto"/>
                <w:szCs w:val="21"/>
                <w:highlight w:val="none"/>
              </w:rPr>
            </w:pPr>
            <w:r>
              <w:rPr>
                <w:rFonts w:hint="eastAsia" w:ascii="宋体" w:hAnsi="宋体"/>
                <w:color w:val="auto"/>
                <w:szCs w:val="21"/>
                <w:highlight w:val="none"/>
              </w:rPr>
              <w:t>1.要求提供有效的认证证书作为得分依据，每有一个的得50分。</w:t>
            </w:r>
          </w:p>
          <w:p>
            <w:pPr>
              <w:jc w:val="center"/>
              <w:rPr>
                <w:rFonts w:ascii="宋体" w:hAnsi="宋体"/>
                <w:szCs w:val="21"/>
              </w:rPr>
            </w:pPr>
            <w:r>
              <w:rPr>
                <w:rFonts w:hint="eastAsia" w:ascii="宋体" w:hAnsi="宋体"/>
                <w:color w:val="auto"/>
                <w:szCs w:val="21"/>
                <w:highlight w:val="none"/>
              </w:rPr>
              <w:t>2.以上资料均要求提供复印件（或官方网站截图），原件备查。评分中出现无证明资料或专家无法凭所提供资料判断是否得分的情况，一律作不得分处理。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hint="eastAsia" w:ascii="宋体" w:hAnsi="宋体" w:eastAsiaTheme="minorEastAsia"/>
                <w:szCs w:val="21"/>
                <w:lang w:val="en-US" w:eastAsia="zh-CN"/>
              </w:rPr>
            </w:pPr>
            <w:r>
              <w:rPr>
                <w:rFonts w:hint="eastAsia" w:ascii="宋体" w:hAnsi="宋体"/>
                <w:szCs w:val="21"/>
                <w:lang w:val="en-US" w:eastAsia="zh-CN"/>
              </w:rPr>
              <w:t>3</w:t>
            </w:r>
          </w:p>
        </w:tc>
        <w:tc>
          <w:tcPr>
            <w:tcW w:w="695"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2</w:t>
            </w:r>
          </w:p>
        </w:tc>
        <w:tc>
          <w:tcPr>
            <w:tcW w:w="3009"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szCs w:val="21"/>
                <w:lang w:val="en-US"/>
              </w:rPr>
            </w:pPr>
            <w:r>
              <w:rPr>
                <w:rFonts w:hint="eastAsia" w:ascii="宋体" w:hAnsi="宋体"/>
                <w:color w:val="auto"/>
                <w:szCs w:val="21"/>
                <w:highlight w:val="none"/>
              </w:rPr>
              <w:t>投标人同类项目业绩情况</w:t>
            </w:r>
          </w:p>
        </w:tc>
        <w:tc>
          <w:tcPr>
            <w:tcW w:w="80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szCs w:val="21"/>
                <w:lang w:val="en-US" w:eastAsia="zh-CN"/>
              </w:rPr>
            </w:pPr>
            <w:r>
              <w:rPr>
                <w:rFonts w:hint="eastAsia" w:ascii="宋体" w:hAnsi="宋体"/>
                <w:color w:val="auto"/>
                <w:szCs w:val="21"/>
                <w:highlight w:val="none"/>
              </w:rPr>
              <w:t>3</w:t>
            </w:r>
          </w:p>
        </w:tc>
        <w:tc>
          <w:tcPr>
            <w:tcW w:w="1118"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szCs w:val="21"/>
                <w:lang w:val="en-US"/>
              </w:rPr>
            </w:pPr>
            <w:r>
              <w:rPr>
                <w:rFonts w:hint="eastAsia" w:ascii="宋体" w:hAnsi="宋体"/>
                <w:color w:val="auto"/>
                <w:szCs w:val="21"/>
                <w:highlight w:val="none"/>
              </w:rPr>
              <w:t>专家打分</w:t>
            </w:r>
          </w:p>
        </w:tc>
        <w:tc>
          <w:tcPr>
            <w:tcW w:w="257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（一）评分内容：</w:t>
            </w:r>
          </w:p>
          <w:p>
            <w:pPr>
              <w:jc w:val="center"/>
              <w:rPr>
                <w:rFonts w:ascii="宋体" w:hAnsi="宋体"/>
                <w:color w:val="auto"/>
                <w:szCs w:val="21"/>
                <w:highlight w:val="none"/>
              </w:rPr>
            </w:pPr>
            <w:r>
              <w:rPr>
                <w:rFonts w:ascii="宋体" w:hAnsi="宋体"/>
                <w:color w:val="auto"/>
                <w:szCs w:val="21"/>
                <w:highlight w:val="none"/>
              </w:rPr>
              <w:t>2018</w:t>
            </w:r>
            <w:r>
              <w:rPr>
                <w:rFonts w:hint="eastAsia" w:ascii="宋体" w:hAnsi="宋体"/>
                <w:color w:val="auto"/>
                <w:szCs w:val="21"/>
                <w:highlight w:val="none"/>
              </w:rPr>
              <w:t>年0</w:t>
            </w:r>
            <w:r>
              <w:rPr>
                <w:rFonts w:hint="eastAsia" w:ascii="宋体" w:hAnsi="宋体"/>
                <w:color w:val="auto"/>
                <w:szCs w:val="21"/>
                <w:highlight w:val="none"/>
                <w:lang w:val="en-US" w:eastAsia="zh-CN"/>
              </w:rPr>
              <w:t>8</w:t>
            </w:r>
            <w:r>
              <w:rPr>
                <w:rFonts w:hint="eastAsia" w:ascii="宋体" w:hAnsi="宋体"/>
                <w:color w:val="auto"/>
                <w:szCs w:val="21"/>
                <w:highlight w:val="none"/>
              </w:rPr>
              <w:t>月以来至今每有一个同类搬迁项目的得34分，最高得100分（相同单位不累计得分）。</w:t>
            </w:r>
          </w:p>
          <w:p>
            <w:pPr>
              <w:jc w:val="center"/>
              <w:rPr>
                <w:rFonts w:ascii="宋体" w:hAnsi="宋体"/>
                <w:color w:val="auto"/>
                <w:szCs w:val="21"/>
                <w:highlight w:val="none"/>
              </w:rPr>
            </w:pPr>
            <w:r>
              <w:rPr>
                <w:rFonts w:hint="eastAsia" w:ascii="宋体" w:hAnsi="宋体"/>
                <w:color w:val="auto"/>
                <w:szCs w:val="21"/>
                <w:highlight w:val="none"/>
              </w:rPr>
              <w:t>（二）评分依据：</w:t>
            </w:r>
          </w:p>
          <w:p>
            <w:pPr>
              <w:jc w:val="center"/>
              <w:rPr>
                <w:rFonts w:ascii="宋体" w:hAnsi="宋体"/>
                <w:color w:val="auto"/>
                <w:szCs w:val="21"/>
                <w:highlight w:val="none"/>
              </w:rPr>
            </w:pPr>
            <w:r>
              <w:rPr>
                <w:rFonts w:hint="eastAsia" w:ascii="宋体" w:hAnsi="宋体"/>
                <w:color w:val="auto"/>
                <w:szCs w:val="21"/>
                <w:highlight w:val="none"/>
              </w:rPr>
              <w:t>1.要求同时提供合同关键信息、中标通知书及项目履约（验收）合格评价证明文件作为得分依据。</w:t>
            </w:r>
          </w:p>
          <w:p>
            <w:pPr>
              <w:jc w:val="center"/>
              <w:rPr>
                <w:rFonts w:ascii="宋体" w:hAnsi="宋体"/>
                <w:color w:val="auto"/>
                <w:szCs w:val="21"/>
                <w:highlight w:val="none"/>
              </w:rPr>
            </w:pPr>
            <w:r>
              <w:rPr>
                <w:rFonts w:hint="eastAsia" w:ascii="宋体" w:hAnsi="宋体"/>
                <w:color w:val="auto"/>
                <w:szCs w:val="21"/>
                <w:highlight w:val="none"/>
              </w:rPr>
              <w:t>2.通过合同关键信息无法判断是否得分的，还须同时提供能证明得分的其它证明资料，如项目报告或合同甲方出具的证明文件等。</w:t>
            </w:r>
          </w:p>
          <w:p>
            <w:pPr>
              <w:jc w:val="center"/>
              <w:rPr>
                <w:rFonts w:hint="default" w:ascii="宋体" w:hAnsi="宋体"/>
                <w:color w:val="auto"/>
                <w:szCs w:val="21"/>
                <w:highlight w:val="none"/>
                <w:lang w:val="en-US"/>
              </w:rPr>
            </w:pPr>
            <w:r>
              <w:rPr>
                <w:rFonts w:hint="eastAsia" w:ascii="宋体" w:hAnsi="宋体"/>
                <w:color w:val="auto"/>
                <w:szCs w:val="21"/>
                <w:highlight w:val="none"/>
              </w:rPr>
              <w:t>3.以上资料均要求提供复印件，原件备查。评分中出现无证明资料或专家无法凭所提供资料判断是否得分的情况，一律作不得分处理。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拟安排的项目负责人情况</w:t>
            </w:r>
            <w:r>
              <w:rPr>
                <w:rFonts w:hint="eastAsia" w:ascii="宋体" w:hAnsi="Times New Roman"/>
              </w:rPr>
              <w:t>（仅限一人）</w:t>
            </w:r>
          </w:p>
        </w:tc>
        <w:tc>
          <w:tcPr>
            <w:tcW w:w="80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6</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（一）评分内容：</w:t>
            </w:r>
          </w:p>
          <w:p>
            <w:pPr>
              <w:shd w:val="clear"/>
              <w:jc w:val="center"/>
              <w:rPr>
                <w:rFonts w:ascii="宋体" w:hAnsi="宋体"/>
                <w:color w:val="auto"/>
                <w:szCs w:val="21"/>
                <w:highlight w:val="none"/>
              </w:rPr>
            </w:pPr>
            <w:r>
              <w:rPr>
                <w:rFonts w:hint="eastAsia" w:ascii="宋体" w:hAnsi="宋体"/>
                <w:color w:val="auto"/>
                <w:szCs w:val="21"/>
                <w:highlight w:val="none"/>
              </w:rPr>
              <w:t>1、项目负责人具有大专或以上学历，且具有安全相关（安全员或安全主任或安全工程师）的资格证书的，得50分；</w:t>
            </w:r>
          </w:p>
          <w:p>
            <w:pPr>
              <w:shd w:val="clear"/>
              <w:jc w:val="center"/>
              <w:rPr>
                <w:rFonts w:ascii="宋体" w:hAnsi="宋体"/>
                <w:color w:val="auto"/>
                <w:szCs w:val="21"/>
                <w:highlight w:val="none"/>
              </w:rPr>
            </w:pPr>
            <w:r>
              <w:rPr>
                <w:rFonts w:hint="eastAsia" w:ascii="宋体" w:hAnsi="宋体"/>
                <w:color w:val="auto"/>
                <w:szCs w:val="21"/>
                <w:highlight w:val="none"/>
              </w:rPr>
              <w:t>2、具有同类搬迁</w:t>
            </w:r>
            <w:r>
              <w:rPr>
                <w:rFonts w:hint="eastAsia" w:ascii="宋体" w:hAnsi="宋体"/>
                <w:color w:val="auto"/>
                <w:szCs w:val="21"/>
                <w:highlight w:val="none"/>
                <w:lang w:val="en-US" w:eastAsia="zh-CN"/>
              </w:rPr>
              <w:t>项</w:t>
            </w:r>
            <w:r>
              <w:rPr>
                <w:rFonts w:hint="eastAsia" w:ascii="宋体" w:hAnsi="宋体"/>
                <w:color w:val="auto"/>
                <w:szCs w:val="21"/>
                <w:highlight w:val="none"/>
              </w:rPr>
              <w:t>目管理经验得50分。</w:t>
            </w:r>
          </w:p>
          <w:p>
            <w:pPr>
              <w:shd w:val="clear"/>
              <w:jc w:val="center"/>
              <w:rPr>
                <w:rFonts w:ascii="宋体" w:hAnsi="宋体"/>
                <w:color w:val="auto"/>
                <w:szCs w:val="21"/>
                <w:highlight w:val="none"/>
              </w:rPr>
            </w:pPr>
            <w:r>
              <w:rPr>
                <w:rFonts w:hint="eastAsia" w:ascii="宋体" w:hAnsi="宋体"/>
                <w:color w:val="auto"/>
                <w:szCs w:val="21"/>
                <w:highlight w:val="none"/>
              </w:rPr>
              <w:t>（二）评分依据：</w:t>
            </w:r>
          </w:p>
          <w:p>
            <w:pPr>
              <w:jc w:val="center"/>
              <w:rPr>
                <w:rFonts w:ascii="宋体" w:hAnsi="宋体"/>
                <w:color w:val="auto"/>
                <w:szCs w:val="21"/>
                <w:highlight w:val="none"/>
              </w:rPr>
            </w:pPr>
            <w:r>
              <w:rPr>
                <w:rFonts w:hint="eastAsia" w:ascii="宋体" w:hAnsi="宋体"/>
                <w:color w:val="auto"/>
                <w:szCs w:val="21"/>
                <w:highlight w:val="none"/>
              </w:rPr>
              <w:t>1.要求提供通过投标人购买的项目负责人</w:t>
            </w:r>
            <w:r>
              <w:rPr>
                <w:rFonts w:hint="eastAsia" w:ascii="宋体" w:hAnsi="宋体"/>
                <w:color w:val="auto"/>
                <w:szCs w:val="21"/>
                <w:highlight w:val="none"/>
                <w:shd w:val="clear"/>
                <w:lang w:val="en-US" w:eastAsia="zh-CN"/>
              </w:rPr>
              <w:t>2021年4月至2021年6月</w:t>
            </w:r>
            <w:r>
              <w:rPr>
                <w:rFonts w:hint="eastAsia" w:ascii="宋体" w:hAnsi="宋体"/>
                <w:color w:val="auto"/>
                <w:szCs w:val="21"/>
                <w:highlight w:val="none"/>
                <w:shd w:val="clear"/>
              </w:rPr>
              <w:t>的社保证明及相关证明资料作为得分依据</w:t>
            </w:r>
            <w:r>
              <w:rPr>
                <w:rFonts w:hint="eastAsia" w:ascii="宋体" w:hAnsi="宋体"/>
                <w:color w:val="auto"/>
                <w:szCs w:val="21"/>
                <w:highlight w:val="none"/>
              </w:rPr>
              <w:t>。</w:t>
            </w:r>
          </w:p>
          <w:p>
            <w:pPr>
              <w:jc w:val="center"/>
              <w:rPr>
                <w:rFonts w:ascii="宋体" w:hAnsi="宋体"/>
                <w:color w:val="auto"/>
                <w:szCs w:val="21"/>
                <w:highlight w:val="none"/>
              </w:rPr>
            </w:pPr>
            <w:r>
              <w:rPr>
                <w:rFonts w:hint="eastAsia" w:ascii="宋体" w:hAnsi="宋体"/>
                <w:color w:val="auto"/>
                <w:szCs w:val="21"/>
                <w:highlight w:val="none"/>
              </w:rPr>
              <w:t>2.以上资料均要求提供复印件（或官方网站截图），原件备查。评分中出现无证明资料或专家无法凭所提供资料判断是否得分的情况，一律作不得分处理。</w:t>
            </w:r>
          </w:p>
          <w:p>
            <w:pPr>
              <w:jc w:val="center"/>
              <w:rPr>
                <w:rFonts w:ascii="宋体" w:hAnsi="宋体"/>
                <w:color w:val="auto"/>
                <w:szCs w:val="21"/>
                <w:highlight w:val="none"/>
              </w:rPr>
            </w:pPr>
            <w:r>
              <w:rPr>
                <w:rFonts w:hint="eastAsia" w:ascii="宋体" w:hAnsi="宋体"/>
                <w:color w:val="auto"/>
                <w:szCs w:val="21"/>
                <w:highlight w:val="none"/>
              </w:rPr>
              <w:t>3. 社保证明资料应当至少包含养老保险或医疗保险（补缴的社保不予计算)，证明资料可为社保收缴部门盖章证明资料、社保窗口打印资料或社保官网截图。</w:t>
            </w:r>
          </w:p>
          <w:p>
            <w:pPr>
              <w:rPr>
                <w:rFonts w:ascii="宋体" w:hAnsi="宋体"/>
                <w:color w:val="auto"/>
                <w:szCs w:val="21"/>
                <w:highlight w:val="none"/>
              </w:rPr>
            </w:pPr>
            <w:r>
              <w:rPr>
                <w:rFonts w:hint="eastAsia" w:ascii="宋体" w:hAnsi="宋体"/>
                <w:color w:val="auto"/>
                <w:szCs w:val="21"/>
                <w:highlight w:val="none"/>
              </w:rPr>
              <w:t>4.要求提供项目负责人学历证书复印件及相关的安全证书复印件作为考察依据。</w:t>
            </w:r>
          </w:p>
          <w:p>
            <w:pPr>
              <w:jc w:val="center"/>
              <w:rPr>
                <w:rFonts w:ascii="宋体" w:hAnsi="宋体"/>
                <w:szCs w:val="21"/>
              </w:rPr>
            </w:pPr>
            <w:r>
              <w:rPr>
                <w:rFonts w:hint="eastAsia" w:ascii="宋体" w:hAnsi="宋体"/>
                <w:color w:val="auto"/>
                <w:szCs w:val="21"/>
                <w:highlight w:val="none"/>
              </w:rPr>
              <w:t>5.如涉及考察人员工作经验，要求提供项目合同关键信息作为得分依据，通过合同关键信息无法判断是否得分的，还须同时提供合同甲方出具的证明文件。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4</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12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（一）评分内容：</w:t>
            </w:r>
          </w:p>
          <w:p>
            <w:pPr>
              <w:jc w:val="center"/>
              <w:rPr>
                <w:rFonts w:ascii="宋体" w:hAnsi="宋体"/>
                <w:color w:val="auto"/>
                <w:szCs w:val="21"/>
                <w:highlight w:val="none"/>
              </w:rPr>
            </w:pPr>
            <w:r>
              <w:rPr>
                <w:rFonts w:hint="eastAsia" w:ascii="宋体" w:hAnsi="宋体"/>
                <w:color w:val="auto"/>
                <w:szCs w:val="21"/>
                <w:highlight w:val="none"/>
              </w:rPr>
              <w:t>1.团队成员总人数要求至少20人，得50分，未达到人数要求的，本项不得分；</w:t>
            </w:r>
          </w:p>
          <w:p>
            <w:pPr>
              <w:jc w:val="center"/>
              <w:rPr>
                <w:rFonts w:ascii="宋体" w:hAnsi="宋体"/>
                <w:color w:val="auto"/>
                <w:szCs w:val="21"/>
                <w:highlight w:val="none"/>
              </w:rPr>
            </w:pPr>
            <w:r>
              <w:rPr>
                <w:rFonts w:hint="eastAsia" w:ascii="宋体" w:hAnsi="宋体"/>
                <w:color w:val="auto"/>
                <w:szCs w:val="21"/>
                <w:highlight w:val="none"/>
              </w:rPr>
              <w:t>2.团队成员中有能为本项目服务的电工人员且能持低压电工作业证上岗每有1人得10分，此项得分不超过50分；</w:t>
            </w:r>
          </w:p>
          <w:p>
            <w:pPr>
              <w:jc w:val="center"/>
              <w:rPr>
                <w:rFonts w:ascii="宋体" w:hAnsi="宋体"/>
                <w:color w:val="auto"/>
                <w:szCs w:val="21"/>
                <w:highlight w:val="none"/>
              </w:rPr>
            </w:pPr>
            <w:r>
              <w:rPr>
                <w:rFonts w:hint="eastAsia" w:ascii="宋体" w:hAnsi="宋体"/>
                <w:color w:val="auto"/>
                <w:szCs w:val="21"/>
                <w:highlight w:val="none"/>
              </w:rPr>
              <w:t>（二）评分依据：</w:t>
            </w:r>
          </w:p>
          <w:p>
            <w:pPr>
              <w:jc w:val="center"/>
              <w:rPr>
                <w:rFonts w:ascii="宋体" w:hAnsi="宋体"/>
                <w:color w:val="auto"/>
                <w:szCs w:val="21"/>
                <w:highlight w:val="none"/>
              </w:rPr>
            </w:pPr>
            <w:r>
              <w:rPr>
                <w:rFonts w:hint="eastAsia" w:ascii="宋体" w:hAnsi="宋体"/>
                <w:color w:val="auto"/>
                <w:szCs w:val="21"/>
                <w:highlight w:val="none"/>
              </w:rPr>
              <w:t>1.要求提供通过投标人购买的项目主要团队成员（主要技术人员）</w:t>
            </w:r>
            <w:r>
              <w:rPr>
                <w:rFonts w:hint="eastAsia"/>
                <w:color w:val="auto"/>
                <w:highlight w:val="none"/>
              </w:rPr>
              <w:t>在</w:t>
            </w:r>
            <w:r>
              <w:rPr>
                <w:rFonts w:hint="eastAsia"/>
                <w:color w:val="auto"/>
                <w:highlight w:val="none"/>
                <w:lang w:val="en-US" w:eastAsia="zh-CN"/>
              </w:rPr>
              <w:t>2021年4月至2021年6月</w:t>
            </w:r>
            <w:r>
              <w:rPr>
                <w:rFonts w:hint="eastAsia" w:ascii="宋体" w:hAnsi="宋体"/>
                <w:color w:val="auto"/>
                <w:szCs w:val="21"/>
                <w:highlight w:val="none"/>
              </w:rPr>
              <w:t>的社保证明及相关证明资料作为得分依据。</w:t>
            </w:r>
          </w:p>
          <w:p>
            <w:pPr>
              <w:jc w:val="center"/>
              <w:rPr>
                <w:rFonts w:ascii="宋体" w:hAnsi="宋体"/>
                <w:color w:val="auto"/>
                <w:szCs w:val="21"/>
                <w:highlight w:val="none"/>
              </w:rPr>
            </w:pPr>
            <w:r>
              <w:rPr>
                <w:rFonts w:hint="eastAsia" w:ascii="宋体" w:hAnsi="宋体"/>
                <w:color w:val="auto"/>
                <w:szCs w:val="21"/>
                <w:highlight w:val="none"/>
              </w:rPr>
              <w:t>2.要求提供</w:t>
            </w:r>
            <w:r>
              <w:rPr>
                <w:rFonts w:hint="eastAsia" w:ascii="宋体" w:hAnsi="宋体"/>
                <w:color w:val="auto"/>
                <w:szCs w:val="21"/>
                <w:highlight w:val="none"/>
                <w:lang w:val="en-US" w:eastAsia="zh-CN"/>
              </w:rPr>
              <w:t>低压电工作业证</w:t>
            </w:r>
            <w:r>
              <w:rPr>
                <w:rFonts w:hint="eastAsia" w:ascii="宋体" w:hAnsi="宋体"/>
                <w:color w:val="auto"/>
                <w:szCs w:val="21"/>
                <w:highlight w:val="none"/>
              </w:rPr>
              <w:t>复印件（或官方网站截图），原件备查。评分中出现无证明资料或专家无法凭所提供资料判断是否得分的情况，一律作不得分处理。</w:t>
            </w:r>
          </w:p>
          <w:p>
            <w:pPr>
              <w:jc w:val="left"/>
              <w:rPr>
                <w:rFonts w:ascii="宋体" w:hAnsi="宋体"/>
                <w:szCs w:val="21"/>
              </w:rPr>
            </w:pPr>
            <w:r>
              <w:rPr>
                <w:rFonts w:hint="eastAsia" w:ascii="宋体" w:hAnsi="宋体"/>
                <w:color w:val="auto"/>
                <w:szCs w:val="21"/>
                <w:highlight w:val="none"/>
              </w:rPr>
              <w:t>3. 社保证明资料应当至少包含养老保险或医疗保险（补缴的社保不予计算)，证明资料可为社保收缴部门盖章证明资料、社保窗口打印资料或社保官网截图。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项目拟使用的车辆（场地、工具、机器）情况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（一）评分内容：</w:t>
            </w:r>
          </w:p>
          <w:p>
            <w:pPr>
              <w:jc w:val="center"/>
              <w:rPr>
                <w:rFonts w:ascii="宋体" w:hAnsi="宋体"/>
                <w:color w:val="auto"/>
                <w:szCs w:val="21"/>
                <w:highlight w:val="none"/>
              </w:rPr>
            </w:pPr>
            <w:r>
              <w:rPr>
                <w:rFonts w:hint="eastAsia" w:ascii="宋体" w:hAnsi="宋体"/>
                <w:color w:val="auto"/>
                <w:szCs w:val="21"/>
                <w:highlight w:val="none"/>
              </w:rPr>
              <w:t>1.投标人能提供为本项目服务的（运输车）货车（自有、租赁均可）；</w:t>
            </w:r>
          </w:p>
          <w:p>
            <w:pPr>
              <w:jc w:val="center"/>
              <w:rPr>
                <w:rFonts w:ascii="宋体" w:hAnsi="宋体"/>
                <w:color w:val="auto"/>
                <w:szCs w:val="21"/>
                <w:highlight w:val="none"/>
              </w:rPr>
            </w:pPr>
            <w:r>
              <w:rPr>
                <w:rFonts w:hint="eastAsia" w:ascii="宋体" w:hAnsi="宋体"/>
                <w:color w:val="auto"/>
                <w:szCs w:val="21"/>
                <w:highlight w:val="none"/>
              </w:rPr>
              <w:t>2.投标人具有GPS定位系统对所提供的货车进行运输定位。</w:t>
            </w:r>
          </w:p>
          <w:p>
            <w:pPr>
              <w:jc w:val="center"/>
              <w:rPr>
                <w:rFonts w:ascii="宋体" w:hAnsi="宋体"/>
                <w:color w:val="auto"/>
                <w:szCs w:val="21"/>
                <w:highlight w:val="none"/>
              </w:rPr>
            </w:pPr>
            <w:r>
              <w:rPr>
                <w:rFonts w:hint="eastAsia" w:ascii="宋体" w:hAnsi="宋体"/>
                <w:color w:val="auto"/>
                <w:szCs w:val="21"/>
                <w:highlight w:val="none"/>
              </w:rPr>
              <w:t>（二）评分依据:</w:t>
            </w:r>
          </w:p>
          <w:p>
            <w:pPr>
              <w:jc w:val="center"/>
              <w:rPr>
                <w:rFonts w:ascii="宋体" w:hAnsi="宋体"/>
                <w:szCs w:val="21"/>
              </w:rPr>
            </w:pPr>
            <w:r>
              <w:rPr>
                <w:rFonts w:hint="eastAsia" w:ascii="宋体" w:hAnsi="宋体"/>
                <w:color w:val="auto"/>
                <w:szCs w:val="21"/>
                <w:highlight w:val="none"/>
              </w:rPr>
              <w:t>1.</w:t>
            </w:r>
            <w:r>
              <w:rPr>
                <w:rFonts w:hint="eastAsia" w:ascii="宋体" w:hAnsi="宋体"/>
                <w:color w:val="auto"/>
                <w:szCs w:val="21"/>
                <w:highlight w:val="none"/>
                <w:shd w:val="clear"/>
              </w:rPr>
              <w:t>每提供1台货车得5分，最高得50分。（提供行驶证作</w:t>
            </w:r>
            <w:r>
              <w:rPr>
                <w:rFonts w:hint="eastAsia" w:ascii="宋体" w:hAnsi="宋体"/>
                <w:color w:val="auto"/>
                <w:szCs w:val="21"/>
                <w:highlight w:val="none"/>
              </w:rPr>
              <w:t>为证明材料，如为租赁车辆则需提供租赁合同关键页复印件及车辆行驶证作为证明文件）。2.投标人具有GPS定位系统能对所提供的货车进行运输定位的得50分，提供投标人GPS定位系统截图和投标人购买GPS签署的合同或自行开发软件证明或开源软件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val="en-US" w:eastAsia="zh-CN"/>
              </w:rPr>
            </w:pPr>
            <w:r>
              <w:rPr>
                <w:rFonts w:hint="eastAsia" w:ascii="宋体" w:hAnsi="宋体"/>
                <w:szCs w:val="21"/>
                <w:lang w:val="en-US" w:eastAsia="zh-CN"/>
              </w:rPr>
              <w:t>6</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开标一览表"/>
      <w:bookmarkEnd w:id="1"/>
      <w:bookmarkStart w:id="2" w:name="bt说明"/>
      <w:bookmarkEnd w:id="2"/>
      <w:bookmarkStart w:id="3" w:name="bt本工程承诺书"/>
      <w:bookmarkEnd w:id="3"/>
      <w:bookmarkStart w:id="4" w:name="bt其他资料由投标人自定"/>
      <w:bookmarkEnd w:id="4"/>
      <w:bookmarkStart w:id="5" w:name="bt合同条款"/>
      <w:bookmarkEnd w:id="5"/>
      <w:bookmarkStart w:id="6" w:name="bt投标函"/>
      <w:bookmarkEnd w:id="6"/>
      <w:bookmarkStart w:id="7" w:name="bt其他资料2"/>
      <w:bookmarkEnd w:id="7"/>
      <w:bookmarkStart w:id="8" w:name="bt商务标投标文件格式"/>
      <w:bookmarkEnd w:id="8"/>
      <w:bookmarkStart w:id="9" w:name="合同格式"/>
      <w:bookmarkEnd w:id="9"/>
      <w:bookmarkStart w:id="10" w:name="bt投标文件签署授权委托书"/>
      <w:bookmarkEnd w:id="10"/>
      <w:bookmarkStart w:id="11" w:name="bt合同格式"/>
      <w:bookmarkEnd w:id="11"/>
      <w:bookmarkStart w:id="12" w:name="bt投标人情况介绍"/>
      <w:bookmarkEnd w:id="12"/>
      <w:bookmarkStart w:id="13" w:name="bt投标报价汇总表"/>
      <w:bookmarkEnd w:id="13"/>
      <w:bookmarkStart w:id="14" w:name="bt项目管理班子配备情况"/>
      <w:bookmarkEnd w:id="14"/>
      <w:bookmarkStart w:id="15" w:name="bt投标人须知"/>
      <w:bookmarkEnd w:id="15"/>
      <w:bookmarkStart w:id="16" w:name="bt合同条款及格式"/>
      <w:bookmarkEnd w:id="16"/>
      <w:bookmarkStart w:id="17" w:name="bt技术标投标文件格式"/>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经济学院搬迁服务</w:t>
      </w:r>
      <w:r>
        <w:rPr>
          <w:rFonts w:hint="eastAsia" w:ascii="宋体" w:hAnsi="宋体" w:eastAsia="宋体" w:cs="宋体"/>
          <w:kern w:val="0"/>
          <w:szCs w:val="21"/>
          <w:u w:val="single"/>
        </w:rPr>
        <w:t xml:space="preserve">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numPr>
          <w:ilvl w:val="0"/>
          <w:numId w:val="7"/>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lang w:eastAsia="zh-CN"/>
        </w:rPr>
        <w:t>SZUCG20211637FW</w:t>
      </w:r>
      <w:r>
        <w:rPr>
          <w:rFonts w:hint="eastAsia" w:ascii="Times New Roman" w:hAnsi="Times New Roman" w:eastAsia="宋体" w:cs="Times New Roman"/>
          <w:color w:val="FF0000"/>
          <w:szCs w:val="24"/>
        </w:rPr>
        <w:t xml:space="preserve"> </w:t>
      </w:r>
    </w:p>
    <w:p>
      <w:pPr>
        <w:numPr>
          <w:ilvl w:val="0"/>
          <w:numId w:val="7"/>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lang w:eastAsia="zh-CN"/>
        </w:rPr>
        <w:t>经济学院搬迁服务</w:t>
      </w:r>
    </w:p>
    <w:p>
      <w:pPr>
        <w:numPr>
          <w:ilvl w:val="0"/>
          <w:numId w:val="7"/>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7"/>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7"/>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7"/>
        </w:numPr>
        <w:rPr>
          <w:rFonts w:ascii="宋体" w:hAnsi="宋体" w:eastAsia="宋体" w:cs="宋体"/>
          <w:kern w:val="0"/>
          <w:szCs w:val="21"/>
        </w:rPr>
      </w:pPr>
      <w:r>
        <w:rPr>
          <w:rFonts w:ascii="宋体" w:hAnsi="宋体" w:eastAsia="宋体" w:cs="宋体"/>
          <w:kern w:val="0"/>
          <w:szCs w:val="21"/>
        </w:rPr>
        <w:t>投标人近三年内（即至少从2018年0</w:t>
      </w:r>
      <w:r>
        <w:rPr>
          <w:rFonts w:hint="eastAsia" w:ascii="宋体" w:hAnsi="宋体" w:eastAsia="宋体" w:cs="宋体"/>
          <w:kern w:val="0"/>
          <w:szCs w:val="21"/>
          <w:lang w:val="en-US" w:eastAsia="zh-CN"/>
        </w:rPr>
        <w:t>8</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7"/>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7"/>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7"/>
        </w:numPr>
        <w:adjustRightInd w:val="0"/>
        <w:snapToGrid w:val="0"/>
        <w:spacing w:line="360" w:lineRule="auto"/>
        <w:ind w:firstLineChars="0"/>
        <w:rPr>
          <w:rFonts w:ascii="宋体" w:hAnsi="宋体" w:cs="宋体"/>
          <w:b/>
          <w:color w:val="FF0000"/>
          <w:kern w:val="0"/>
          <w:szCs w:val="21"/>
        </w:rPr>
      </w:pPr>
      <w:r>
        <w:rPr>
          <w:kern w:val="0"/>
          <w:szCs w:val="21"/>
        </w:rPr>
        <w:t>标书获得方法</w:t>
      </w:r>
      <w:r>
        <w:rPr>
          <w:rFonts w:hint="eastAsia"/>
          <w:kern w:val="0"/>
          <w:szCs w:val="21"/>
        </w:rPr>
        <w:t>：</w:t>
      </w: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08</w:t>
      </w:r>
      <w:r>
        <w:rPr>
          <w:kern w:val="0"/>
          <w:szCs w:val="21"/>
        </w:rPr>
        <w:t>月</w:t>
      </w:r>
      <w:r>
        <w:rPr>
          <w:rFonts w:hint="eastAsia"/>
          <w:kern w:val="0"/>
          <w:szCs w:val="21"/>
          <w:lang w:val="en-US" w:eastAsia="zh-CN"/>
        </w:rPr>
        <w:t>13</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08</w:t>
      </w:r>
      <w:r>
        <w:rPr>
          <w:kern w:val="0"/>
          <w:szCs w:val="21"/>
        </w:rPr>
        <w:t>月</w:t>
      </w:r>
      <w:r>
        <w:rPr>
          <w:rFonts w:hint="eastAsia"/>
          <w:kern w:val="0"/>
          <w:szCs w:val="21"/>
          <w:lang w:val="en-US" w:eastAsia="zh-CN"/>
        </w:rPr>
        <w:t>16</w:t>
      </w:r>
      <w:r>
        <w:rPr>
          <w:kern w:val="0"/>
          <w:szCs w:val="21"/>
        </w:rPr>
        <w:t xml:space="preserve">日 16:00 前将答疑结果在网站http://bidding.szu.edu.cn “招标公告”中公布，望投标人予以关注。 </w:t>
      </w:r>
    </w:p>
    <w:p>
      <w:pPr>
        <w:pStyle w:val="214"/>
        <w:numPr>
          <w:ilvl w:val="0"/>
          <w:numId w:val="7"/>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b/>
          <w:color w:val="FF0000"/>
          <w:kern w:val="0"/>
          <w:szCs w:val="21"/>
        </w:rPr>
        <w:t>2021</w:t>
      </w:r>
      <w:r>
        <w:rPr>
          <w:rFonts w:hint="eastAsia"/>
          <w:b/>
          <w:color w:val="FF0000"/>
          <w:kern w:val="0"/>
          <w:szCs w:val="21"/>
        </w:rPr>
        <w:t>年</w:t>
      </w:r>
      <w:r>
        <w:rPr>
          <w:rFonts w:hint="eastAsia"/>
          <w:b/>
          <w:color w:val="FF0000"/>
          <w:kern w:val="0"/>
          <w:szCs w:val="21"/>
          <w:lang w:val="en-US" w:eastAsia="zh-CN"/>
        </w:rPr>
        <w:t>08</w:t>
      </w:r>
      <w:r>
        <w:rPr>
          <w:rFonts w:hint="eastAsia"/>
          <w:b/>
          <w:color w:val="FF0000"/>
          <w:kern w:val="0"/>
          <w:szCs w:val="21"/>
        </w:rPr>
        <w:t>月</w:t>
      </w:r>
      <w:r>
        <w:rPr>
          <w:rFonts w:hint="eastAsia"/>
          <w:b/>
          <w:color w:val="FF0000"/>
          <w:kern w:val="0"/>
          <w:szCs w:val="21"/>
          <w:lang w:val="en-US" w:eastAsia="zh-CN"/>
        </w:rPr>
        <w:t>17</w:t>
      </w:r>
      <w:r>
        <w:rPr>
          <w:rFonts w:hint="eastAsia"/>
          <w:b/>
          <w:color w:val="FF0000"/>
          <w:kern w:val="0"/>
          <w:szCs w:val="21"/>
        </w:rPr>
        <w:t>日</w:t>
      </w:r>
      <w:r>
        <w:rPr>
          <w:b/>
          <w:color w:val="FF0000"/>
          <w:kern w:val="0"/>
          <w:szCs w:val="21"/>
        </w:rPr>
        <w:t>09</w:t>
      </w:r>
      <w:r>
        <w:rPr>
          <w:rFonts w:hint="eastAsia"/>
          <w:b/>
          <w:color w:val="FF0000"/>
          <w:kern w:val="0"/>
          <w:szCs w:val="21"/>
        </w:rPr>
        <w:t>:00</w:t>
      </w:r>
      <w:r>
        <w:rPr>
          <w:rFonts w:hint="eastAsia"/>
          <w:color w:val="FF0000"/>
          <w:kern w:val="0"/>
          <w:szCs w:val="21"/>
        </w:rPr>
        <w:t xml:space="preserve"> </w:t>
      </w:r>
      <w:r>
        <w:rPr>
          <w:rFonts w:hint="eastAsia"/>
          <w:b/>
          <w:bCs/>
          <w:color w:val="FF0000"/>
          <w:kern w:val="0"/>
          <w:szCs w:val="21"/>
          <w:lang w:val="en-US" w:eastAsia="zh-CN"/>
        </w:rPr>
        <w:t>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b/>
          <w:color w:val="FF0000"/>
          <w:kern w:val="0"/>
          <w:szCs w:val="21"/>
        </w:rPr>
        <w:t>2021</w:t>
      </w:r>
      <w:r>
        <w:rPr>
          <w:rFonts w:hint="eastAsia"/>
          <w:b/>
          <w:color w:val="FF0000"/>
          <w:kern w:val="0"/>
          <w:szCs w:val="21"/>
        </w:rPr>
        <w:t>年</w:t>
      </w:r>
      <w:r>
        <w:rPr>
          <w:rFonts w:hint="eastAsia"/>
          <w:b/>
          <w:color w:val="FF0000"/>
          <w:kern w:val="0"/>
          <w:szCs w:val="21"/>
          <w:lang w:val="en-US" w:eastAsia="zh-CN"/>
        </w:rPr>
        <w:t>08</w:t>
      </w:r>
      <w:r>
        <w:rPr>
          <w:rFonts w:hint="eastAsia"/>
          <w:b/>
          <w:color w:val="FF0000"/>
          <w:kern w:val="0"/>
          <w:szCs w:val="21"/>
        </w:rPr>
        <w:t>月</w:t>
      </w:r>
      <w:r>
        <w:rPr>
          <w:rFonts w:hint="eastAsia"/>
          <w:b/>
          <w:color w:val="FF0000"/>
          <w:kern w:val="0"/>
          <w:szCs w:val="21"/>
          <w:lang w:val="en-US" w:eastAsia="zh-CN"/>
        </w:rPr>
        <w:t>17</w:t>
      </w:r>
      <w:r>
        <w:rPr>
          <w:rFonts w:hint="eastAsia"/>
          <w:b/>
          <w:color w:val="FF0000"/>
          <w:kern w:val="0"/>
          <w:szCs w:val="21"/>
        </w:rPr>
        <w:t>日</w:t>
      </w:r>
      <w:r>
        <w:rPr>
          <w:b/>
          <w:color w:val="FF0000"/>
          <w:kern w:val="0"/>
          <w:szCs w:val="21"/>
        </w:rPr>
        <w:t>09</w:t>
      </w:r>
      <w:r>
        <w:rPr>
          <w:rFonts w:hint="eastAsia"/>
          <w:b/>
          <w:color w:val="FF0000"/>
          <w:kern w:val="0"/>
          <w:szCs w:val="21"/>
        </w:rPr>
        <w:t>:00</w:t>
      </w:r>
      <w:r>
        <w:rPr>
          <w:rFonts w:hint="eastAsia"/>
          <w:color w:val="FF0000"/>
          <w:kern w:val="0"/>
          <w:szCs w:val="21"/>
        </w:rPr>
        <w:t xml:space="preserve"> </w:t>
      </w:r>
      <w:r>
        <w:rPr>
          <w:rFonts w:hint="eastAsia"/>
          <w:b/>
          <w:bCs/>
          <w:color w:val="FF0000"/>
          <w:kern w:val="0"/>
          <w:szCs w:val="21"/>
          <w:lang w:val="en-US" w:eastAsia="zh-CN"/>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7"/>
        </w:numPr>
        <w:spacing w:before="100" w:beforeAutospacing="1" w:after="100" w:afterAutospacing="1"/>
        <w:jc w:val="left"/>
        <w:rPr>
          <w:rFonts w:ascii="Times New Roman" w:hAnsi="Times New Roman" w:eastAsia="宋体" w:cs="Times New Roman"/>
          <w:szCs w:val="21"/>
          <w:u w:val="single"/>
        </w:rPr>
      </w:pPr>
      <w:r>
        <w:rPr>
          <w:rFonts w:hint="eastAsia" w:ascii="Times New Roman" w:hAnsi="Times New Roman" w:eastAsia="宋体" w:cs="Times New Roman"/>
          <w:kern w:val="0"/>
          <w:szCs w:val="21"/>
        </w:rPr>
        <w:t xml:space="preserve">交纳投标保证金：本项目无须交纳投标保证金。 </w:t>
      </w: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08</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bookmarkStart w:id="27" w:name="_GoBack"/>
      <w:bookmarkEnd w:id="27"/>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73521547"/>
      <w:bookmarkStart w:id="19" w:name="_Toc60631620"/>
      <w:bookmarkStart w:id="20" w:name="_Toc60560625"/>
      <w:bookmarkStart w:id="21" w:name="_Toc100052364"/>
      <w:bookmarkStart w:id="22" w:name="_Toc73517639"/>
      <w:bookmarkStart w:id="23" w:name="_Toc73521635"/>
      <w:bookmarkStart w:id="24" w:name="_Toc73518117"/>
      <w:bookmarkStart w:id="25" w:name="_Toc101074876"/>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财政预算限额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eastAsia="宋体" w:cs="Times New Roman"/>
                <w:szCs w:val="24"/>
              </w:rPr>
            </w:pPr>
            <w:r>
              <w:rPr>
                <w:rFonts w:hint="eastAsia" w:ascii="宋体" w:hAnsi="宋体" w:eastAsia="宋体" w:cs="Times New Roman"/>
                <w:color w:val="FF0000"/>
                <w:szCs w:val="24"/>
                <w:lang w:eastAsia="zh-CN"/>
              </w:rPr>
              <w:t>220,000.00</w:t>
            </w:r>
            <w:r>
              <w:rPr>
                <w:rFonts w:hint="eastAsia" w:ascii="宋体" w:hAnsi="宋体" w:eastAsia="宋体" w:cs="Times New Roman"/>
                <w:color w:val="FF0000"/>
                <w:szCs w:val="24"/>
              </w:rPr>
              <w:t>元</w:t>
            </w:r>
            <w:r>
              <w:rPr>
                <w:rFonts w:hint="eastAsia" w:ascii="宋体" w:hAnsi="宋体" w:eastAsia="宋体" w:cs="Times New Roman"/>
                <w:szCs w:val="24"/>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hint="eastAsia" w:ascii="宋体" w:hAnsi="宋体" w:eastAsia="宋体" w:cs="Times New Roman"/>
                <w:szCs w:val="24"/>
                <w:lang w:eastAsia="zh-CN"/>
              </w:rPr>
            </w:pPr>
            <w:r>
              <w:rPr>
                <w:rFonts w:hint="eastAsia" w:ascii="宋体" w:hAnsi="宋体" w:eastAsia="宋体" w:cs="Times New Roman"/>
                <w:color w:val="FF0000"/>
                <w:szCs w:val="24"/>
                <w:lang w:val="en-US" w:eastAsia="zh-CN"/>
              </w:rPr>
              <w:t>无</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西丽校区新教学楼已建设完工，现将粤海校区</w:t>
      </w:r>
      <w:r>
        <w:rPr>
          <w:rFonts w:hint="eastAsia" w:asciiTheme="minorEastAsia" w:hAnsiTheme="minorEastAsia" w:cstheme="minorEastAsia"/>
          <w:sz w:val="24"/>
          <w:szCs w:val="24"/>
          <w:lang w:val="en-US" w:eastAsia="zh-CN"/>
        </w:rPr>
        <w:t>经济</w:t>
      </w:r>
      <w:r>
        <w:rPr>
          <w:rFonts w:hint="eastAsia" w:asciiTheme="minorEastAsia" w:hAnsiTheme="minorEastAsia" w:cstheme="minorEastAsia"/>
          <w:sz w:val="24"/>
          <w:szCs w:val="24"/>
        </w:rPr>
        <w:t>学院位于文科楼、科技楼、汇文楼等处约</w:t>
      </w:r>
      <w:r>
        <w:rPr>
          <w:rFonts w:hint="eastAsia" w:asciiTheme="minorEastAsia" w:hAnsiTheme="minorEastAsia" w:cstheme="minorEastAsia"/>
          <w:sz w:val="24"/>
          <w:szCs w:val="24"/>
          <w:lang w:val="en-US" w:eastAsia="zh-CN"/>
        </w:rPr>
        <w:t>15</w:t>
      </w:r>
      <w:r>
        <w:rPr>
          <w:rFonts w:asciiTheme="minorEastAsia" w:hAnsiTheme="minorEastAsia" w:cstheme="minorEastAsia"/>
          <w:sz w:val="24"/>
          <w:szCs w:val="24"/>
        </w:rPr>
        <w:t>0</w:t>
      </w:r>
      <w:r>
        <w:rPr>
          <w:rFonts w:hint="eastAsia" w:asciiTheme="minorEastAsia" w:hAnsiTheme="minorEastAsia" w:cstheme="minorEastAsia"/>
          <w:sz w:val="24"/>
          <w:szCs w:val="24"/>
        </w:rPr>
        <w:t>位老师的办公教学物资、设备、库房档案等搬迁至丽湖校区新教学楼指定位置。</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（一）本项目主要为深圳大学粤海校区</w:t>
      </w:r>
      <w:r>
        <w:rPr>
          <w:rFonts w:hint="eastAsia" w:asciiTheme="minorEastAsia" w:hAnsiTheme="minorEastAsia" w:cstheme="minorEastAsia"/>
          <w:sz w:val="24"/>
          <w:szCs w:val="24"/>
          <w:lang w:val="en-US" w:eastAsia="zh-CN"/>
        </w:rPr>
        <w:t>经济</w:t>
      </w:r>
      <w:r>
        <w:rPr>
          <w:rFonts w:hint="eastAsia" w:asciiTheme="minorEastAsia" w:hAnsiTheme="minorEastAsia" w:cstheme="minorEastAsia"/>
          <w:sz w:val="24"/>
          <w:szCs w:val="24"/>
        </w:rPr>
        <w:t>学院文科楼、金工坊、办公楼、汇文楼及汇元楼等各处的办公教学物资设备搬迁至丽湖校区新教学楼指定位置安装摆放到位。</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（二）本项目需求清单要求如下：</w:t>
      </w:r>
    </w:p>
    <w:tbl>
      <w:tblPr>
        <w:tblStyle w:val="42"/>
        <w:tblW w:w="5000" w:type="pct"/>
        <w:tblInd w:w="0" w:type="dxa"/>
        <w:shd w:val="clear" w:color="auto" w:fill="auto"/>
        <w:tblLayout w:type="autofit"/>
        <w:tblCellMar>
          <w:top w:w="0" w:type="dxa"/>
          <w:left w:w="108" w:type="dxa"/>
          <w:bottom w:w="0" w:type="dxa"/>
          <w:right w:w="108" w:type="dxa"/>
        </w:tblCellMar>
      </w:tblPr>
      <w:tblGrid>
        <w:gridCol w:w="696"/>
        <w:gridCol w:w="1475"/>
        <w:gridCol w:w="696"/>
        <w:gridCol w:w="696"/>
        <w:gridCol w:w="696"/>
        <w:gridCol w:w="1415"/>
        <w:gridCol w:w="2855"/>
      </w:tblGrid>
      <w:tr>
        <w:tblPrEx>
          <w:tblCellMar>
            <w:top w:w="0" w:type="dxa"/>
            <w:left w:w="108" w:type="dxa"/>
            <w:bottom w:w="0" w:type="dxa"/>
            <w:right w:w="108" w:type="dxa"/>
          </w:tblCellMar>
        </w:tblPrEx>
        <w:trPr>
          <w:trHeight w:val="519" w:hRule="atLeast"/>
        </w:trPr>
        <w:tc>
          <w:tcPr>
            <w:tcW w:w="5000" w:type="pct"/>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搬迁物资清单</w:t>
            </w:r>
          </w:p>
        </w:tc>
      </w:tr>
      <w:tr>
        <w:tblPrEx>
          <w:shd w:val="clear" w:color="auto" w:fill="auto"/>
          <w:tblCellMar>
            <w:top w:w="0" w:type="dxa"/>
            <w:left w:w="108" w:type="dxa"/>
            <w:bottom w:w="0" w:type="dxa"/>
            <w:right w:w="108" w:type="dxa"/>
          </w:tblCellMar>
        </w:tblPrEx>
        <w:trPr>
          <w:trHeight w:val="639"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规格（cm）</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拆装打包搬运安放到位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饮水机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35*35*130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45*45*20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投影幕布</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45*45*20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130*60*75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取暖器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70*40*65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130*70*75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45*45*20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电饭煲</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45*45*40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2523-3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4米会议桌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打包标识、搬运摆放到位</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拆装、标记、搬运到位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拆装、标记、搬运到位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拆装、标记、搬运到位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80*70*130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160*80*80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拆装打包、搬运到位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2523-7前台</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拆装、标记、搬运到位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圆餐桌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150*90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拆装打包、搬运到位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双人沙发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140*80*80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电脑支架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40*30*30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小桌子</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120*60*70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2523-11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拆装、标记、搬运到位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45*45*20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投影幕布</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拆卸包装搬运安放到位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取暖器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70*40*65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小冰柜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微波炉</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40*40*30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60*50*110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拆装包装、搬运到位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碎纸机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40*35*70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行李床</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打包搬运、安放到位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90*45*180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130*60*75</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拆装打包、搬运到位</w:t>
            </w:r>
          </w:p>
        </w:tc>
      </w:tr>
      <w:tr>
        <w:tblPrEx>
          <w:tblCellMar>
            <w:top w:w="0" w:type="dxa"/>
            <w:left w:w="108" w:type="dxa"/>
            <w:bottom w:w="0" w:type="dxa"/>
            <w:right w:w="108" w:type="dxa"/>
          </w:tblCellMar>
        </w:tblPrEx>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H6-502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200*60*200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拆装、标记、搬运到位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55*55*80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打包搬运、摆放到位</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shd w:val="clear" w:color="auto" w:fill="auto"/>
          <w:tblCellMar>
            <w:top w:w="0" w:type="dxa"/>
            <w:left w:w="108" w:type="dxa"/>
            <w:bottom w:w="0" w:type="dxa"/>
            <w:right w:w="108" w:type="dxa"/>
          </w:tblCellMar>
        </w:tblPrEx>
        <w:trPr>
          <w:trHeight w:val="570"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科技楼319</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办公椅（未拆封）</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60*60*80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搬运安装、摆放到位</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52*30*42</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拆装调试接线、打包搬运</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50*42*40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拆装接线、打包搬运</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打包标识、搬运摆放到位</w:t>
            </w:r>
          </w:p>
        </w:tc>
      </w:tr>
      <w:tr>
        <w:tblPrEx>
          <w:tblCellMar>
            <w:top w:w="0" w:type="dxa"/>
            <w:left w:w="108" w:type="dxa"/>
            <w:bottom w:w="0" w:type="dxa"/>
            <w:right w:w="108" w:type="dxa"/>
          </w:tblCellMar>
        </w:tblPrEx>
        <w:trPr>
          <w:trHeight w:val="441"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辅导员宿舍</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下架包装搬运上架</w:t>
            </w:r>
          </w:p>
        </w:tc>
      </w:tr>
      <w:tr>
        <w:trPr>
          <w:trHeight w:val="285"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包材</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提供纸箱</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60*40*50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搬运包装材料</w:t>
            </w:r>
          </w:p>
        </w:tc>
      </w:tr>
      <w:tr>
        <w:tblPrEx>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提供胶纸</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搬运包装材料</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提供气泡膜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10000*100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搬运包装材料</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提供拉伸膜</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10000*40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搬运包装材料</w:t>
            </w:r>
          </w:p>
        </w:tc>
      </w:tr>
      <w:tr>
        <w:tblPrEx>
          <w:shd w:val="clear" w:color="auto" w:fill="auto"/>
          <w:tblCellMar>
            <w:top w:w="0" w:type="dxa"/>
            <w:left w:w="108" w:type="dxa"/>
            <w:bottom w:w="0" w:type="dxa"/>
            <w:right w:w="108" w:type="dxa"/>
          </w:tblCellMar>
        </w:tblPrEx>
        <w:trPr>
          <w:trHeight w:val="285"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提供标识</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w:t>
            </w:r>
          </w:p>
        </w:tc>
        <w:tc>
          <w:tcPr>
            <w:tcW w:w="1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搬运包装材料</w:t>
            </w:r>
          </w:p>
        </w:tc>
      </w:tr>
    </w:tbl>
    <w:p/>
    <w:p>
      <w:pPr>
        <w:widowControl/>
        <w:spacing w:line="360" w:lineRule="auto"/>
        <w:ind w:firstLine="480" w:firstLineChars="200"/>
        <w:rPr>
          <w:color w:val="auto"/>
          <w:kern w:val="0"/>
          <w:sz w:val="24"/>
          <w:szCs w:val="21"/>
          <w:highlight w:val="none"/>
        </w:rPr>
      </w:pPr>
      <w:r>
        <w:rPr>
          <w:rFonts w:hint="eastAsia"/>
          <w:kern w:val="0"/>
          <w:sz w:val="24"/>
          <w:szCs w:val="21"/>
        </w:rPr>
        <w:t>备注：</w:t>
      </w:r>
      <w:r>
        <w:rPr>
          <w:kern w:val="0"/>
          <w:sz w:val="24"/>
          <w:szCs w:val="21"/>
        </w:rPr>
        <w:t>因届时</w:t>
      </w:r>
      <w:r>
        <w:rPr>
          <w:rFonts w:hint="eastAsia"/>
          <w:kern w:val="0"/>
          <w:sz w:val="24"/>
          <w:szCs w:val="21"/>
        </w:rPr>
        <w:t>办公</w:t>
      </w:r>
      <w:r>
        <w:rPr>
          <w:kern w:val="0"/>
          <w:sz w:val="24"/>
          <w:szCs w:val="21"/>
        </w:rPr>
        <w:t>室有可能调整</w:t>
      </w:r>
      <w:r>
        <w:rPr>
          <w:color w:val="auto"/>
          <w:kern w:val="0"/>
          <w:sz w:val="24"/>
          <w:szCs w:val="21"/>
          <w:highlight w:val="none"/>
        </w:rPr>
        <w:t>，故具体搬迁物质清单及数</w:t>
      </w:r>
      <w:r>
        <w:rPr>
          <w:rFonts w:hint="eastAsia"/>
          <w:color w:val="auto"/>
          <w:kern w:val="0"/>
          <w:sz w:val="24"/>
          <w:szCs w:val="21"/>
          <w:highlight w:val="none"/>
        </w:rPr>
        <w:t>量</w:t>
      </w:r>
      <w:r>
        <w:rPr>
          <w:color w:val="auto"/>
          <w:kern w:val="0"/>
          <w:sz w:val="24"/>
          <w:szCs w:val="21"/>
          <w:highlight w:val="none"/>
        </w:rPr>
        <w:t>可能有10%左右浮动</w:t>
      </w:r>
      <w:r>
        <w:rPr>
          <w:rFonts w:hint="eastAsia"/>
          <w:color w:val="auto"/>
          <w:kern w:val="0"/>
          <w:sz w:val="24"/>
          <w:szCs w:val="21"/>
          <w:highlight w:val="none"/>
        </w:rPr>
        <w:t>，一旦中标，浮动范围内付款金额不作调整</w:t>
      </w:r>
      <w:r>
        <w:rPr>
          <w:color w:val="auto"/>
          <w:kern w:val="0"/>
          <w:sz w:val="24"/>
          <w:szCs w:val="21"/>
          <w:highlight w:val="none"/>
        </w:rPr>
        <w:t>。</w:t>
      </w:r>
      <w:r>
        <w:rPr>
          <w:rFonts w:hint="eastAsia"/>
          <w:color w:val="auto"/>
          <w:kern w:val="0"/>
          <w:sz w:val="24"/>
          <w:szCs w:val="21"/>
          <w:highlight w:val="none"/>
        </w:rPr>
        <w:t xml:space="preserve">供应商报价应充分考虑疫情人工工资浮动、工期紧张人员加班工资费率上浮等因素。 </w:t>
      </w:r>
    </w:p>
    <w:p>
      <w:pPr>
        <w:widowControl/>
        <w:spacing w:line="360" w:lineRule="auto"/>
        <w:ind w:firstLine="480" w:firstLineChars="200"/>
        <w:rPr>
          <w:rFonts w:asciiTheme="minorEastAsia" w:hAnsiTheme="minorEastAsia"/>
          <w:b/>
          <w:color w:val="auto"/>
          <w:sz w:val="24"/>
          <w:szCs w:val="24"/>
          <w:highlight w:val="none"/>
        </w:rPr>
      </w:pPr>
    </w:p>
    <w:p>
      <w:pPr>
        <w:jc w:val="left"/>
        <w:rPr>
          <w:rFonts w:asciiTheme="minorEastAsia" w:hAnsiTheme="minorEastAsia"/>
          <w:b/>
          <w:sz w:val="30"/>
          <w:szCs w:val="30"/>
        </w:rPr>
      </w:pPr>
      <w:r>
        <w:rPr>
          <w:rFonts w:hint="eastAsia" w:asciiTheme="minorEastAsia" w:hAnsiTheme="minorEastAsia"/>
          <w:b/>
          <w:sz w:val="30"/>
          <w:szCs w:val="30"/>
        </w:rPr>
        <w:t>（三）具体技术要求</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办公电器如电脑、打印机、复印机、智慧屏、投影仪、一体机及会议室设备等拆装、打包、调试及安装过程中的耗材均需由供应商负责；</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个人办公物资、文件资料等由学院老师自行负责打包贴标识，公共部分的文件资料、书籍、图书、档案等由中标供应商负责打包、档案需要供应商负责下架。</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部分家具如文件柜、沙发、办公桌等按学院要求搬运、拆装、安放到位。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供应商须在签订合同后两天内将包装耗材（2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00个纸箱、及打包辅助材料）提供到粤海校区指定地点。</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供应商须提供足够的运输车辆及搬运工人在5天内将学院办公教学设备从粤海校区安全搬运至丽湖校区指定的位置。</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疫情期间，严格遵守学校外来人员防疫管控机制。供应商提供服务人员须是自有固定员工，不得到社会上临时拼凑闲散人员进行施工。</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投标人在服务期间能提供安全有保障的防疫措施，确保搬运人员无发烧、咳嗽等异常情况，搬运前七天，参与搬运人员每天要进行体温检测一次，并留存检测结果。</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搬运要求：</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包装：选择结实、合适的包装箱，外包装要牢固。</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标识：外包装上标识明确摆放位置和内容。</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防水: 搬运过程不得淋雨水。</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数量：保证如数搬运，不得丢失。</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完好：包装箱不得损坏，保持运输中的完好。按用户要求放置到位。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搬迁时因学院配合的师生人员有限，所以在装卸车及运输过程中无法派足够的老师来监督和押运，故要求供应商对学校的行驶线路、泊车装卸区非常熟悉，并且有足够的安全保障措施来保证货物的安全。</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因工期紧，任务量大，故要求供应商需为粤海校区及丽湖校区的每一个作业点，配置足够的人员、足够的板车、足够数量的搬运叉车等。</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供应商需为本项目配置足量的运输货车，自行办理市内通行证，不得因为交通管控对学校计划造成影响。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供应商须为所有搬迁的物资设备、办公设施投保财产损失保险。为本项目服务人员购买意外伤害保险。</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发生以下情况，采购人可以追责：</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运输过程中，出现车辆事故意外，导致物品丢失或损坏的，必须照价赔偿。</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kern w:val="0"/>
          <w:sz w:val="24"/>
          <w:szCs w:val="24"/>
        </w:rPr>
        <w:t>出现人为盗窃现象的，除赔偿责任外，需要中标人及相关人员承担相关法律责任。</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因搬运失误，导致物资损坏的，必须按原价赔偿；</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bCs/>
          <w:sz w:val="24"/>
          <w:szCs w:val="24"/>
        </w:rPr>
        <w:t>搬迁工作结束后，搬迁单位必须及时清理完现场搬迁时所产生的搬迁垃圾。</w:t>
      </w:r>
    </w:p>
    <w:p>
      <w:pPr>
        <w:numPr>
          <w:ilvl w:val="0"/>
          <w:numId w:val="8"/>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搬运安装所需工具设施物料由搬迁单位自备、自费运到现场，完工后自费搬走。</w:t>
      </w:r>
    </w:p>
    <w:p>
      <w:pPr>
        <w:numPr>
          <w:ilvl w:val="0"/>
          <w:numId w:val="8"/>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对施工单位要求</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对项目团队的要求：</w:t>
      </w:r>
    </w:p>
    <w:p>
      <w:pPr>
        <w:numPr>
          <w:ilvl w:val="0"/>
          <w:numId w:val="12"/>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施工人员要形象整齐、服装统一，服从安排，服务意识强。</w:t>
      </w:r>
    </w:p>
    <w:p>
      <w:pPr>
        <w:numPr>
          <w:ilvl w:val="0"/>
          <w:numId w:val="11"/>
        </w:numPr>
        <w:spacing w:line="360" w:lineRule="auto"/>
        <w:rPr>
          <w:rFonts w:asciiTheme="minorEastAsia" w:hAnsiTheme="minorEastAsia" w:cstheme="minorEastAsia"/>
          <w:bCs/>
          <w:sz w:val="24"/>
          <w:szCs w:val="24"/>
          <w:highlight w:val="none"/>
        </w:rPr>
      </w:pPr>
      <w:r>
        <w:rPr>
          <w:rFonts w:hint="eastAsia" w:asciiTheme="minorEastAsia" w:hAnsiTheme="minorEastAsia" w:cstheme="minorEastAsia"/>
          <w:bCs/>
          <w:sz w:val="24"/>
          <w:szCs w:val="24"/>
          <w:highlight w:val="none"/>
        </w:rPr>
        <w:t>对项目施工单位运输车辆的要求</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a、施工单位必须具备实施本项目的基本工具：如包装材料、包装设备、搬运工具等。</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b、施工单位必须具有足够的运输能力</w:t>
      </w:r>
      <w:r>
        <w:rPr>
          <w:rFonts w:hint="eastAsia" w:asciiTheme="minorEastAsia" w:hAnsiTheme="minorEastAsia" w:cstheme="minorEastAsia"/>
          <w:bCs/>
          <w:sz w:val="24"/>
          <w:szCs w:val="24"/>
          <w:lang w:eastAsia="zh-CN"/>
        </w:rPr>
        <w:t>。</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遵纪守法。由中标公司施工，不挂靠、不转包，不以任何方式弄虚作假。</w:t>
      </w:r>
    </w:p>
    <w:p>
      <w:pPr>
        <w:rPr>
          <w:rFonts w:ascii="仿宋_GB2312" w:eastAsia="仿宋_GB2312" w:cs="仿宋_GB2312"/>
          <w:sz w:val="28"/>
          <w:szCs w:val="28"/>
        </w:rPr>
      </w:pPr>
    </w:p>
    <w:p>
      <w:pPr>
        <w:rPr>
          <w:rFonts w:ascii="仿宋_GB2312" w:eastAsia="仿宋_GB2312" w:cs="仿宋_GB2312"/>
          <w:sz w:val="28"/>
          <w:szCs w:val="28"/>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（一）服务期限：五天完成</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具体以校方通知为准。</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（二）付款方式：</w:t>
      </w:r>
      <w:r>
        <w:rPr>
          <w:rFonts w:hint="eastAsia" w:asciiTheme="minorEastAsia" w:hAnsiTheme="minorEastAsia" w:cstheme="minorEastAsia"/>
          <w:kern w:val="0"/>
          <w:sz w:val="24"/>
          <w:szCs w:val="24"/>
        </w:rPr>
        <w:t>所有货物验收合格后，10个工作日内，采购人整理相关付款资料（中标人需先提供完税发票），按校方付款流程进行办理付款。</w:t>
      </w: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（9）项目拟使用的车辆（场地、工具、机器）情况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（7）详细分项报价（格式自定）</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投标总价（元/人民币）</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firstLine="420" w:firstLineChars="200"/>
        <w:rPr>
          <w:rFonts w:ascii="Times New Roman" w:hAnsi="Times New Roman" w:eastAsia="宋体" w:cs="Times New Roman"/>
          <w:snapToGrid w:val="0"/>
          <w:color w:val="FF0000"/>
          <w:kern w:val="0"/>
          <w:szCs w:val="24"/>
        </w:rPr>
      </w:pPr>
      <w:r>
        <w:rPr>
          <w:rFonts w:hint="eastAsia" w:ascii="Times New Roman" w:hAnsi="Times New Roman" w:eastAsia="宋体" w:cs="Times New Roman"/>
          <w:snapToGrid w:val="0"/>
          <w:color w:val="FF0000"/>
          <w:kern w:val="0"/>
          <w:szCs w:val="24"/>
        </w:rPr>
        <w:t>4、</w:t>
      </w:r>
      <w:r>
        <w:rPr>
          <w:rFonts w:hint="eastAsia" w:ascii="宋体" w:hAnsi="宋体"/>
          <w:color w:val="FF0000"/>
        </w:rPr>
        <w:t>此表</w:t>
      </w:r>
      <w:r>
        <w:rPr>
          <w:rFonts w:hint="eastAsia" w:ascii="宋体" w:hAnsi="宋体"/>
          <w:color w:val="FF0000"/>
          <w:szCs w:val="21"/>
        </w:rPr>
        <w:t>需装订</w:t>
      </w:r>
      <w:r>
        <w:rPr>
          <w:rFonts w:ascii="宋体" w:hAnsi="宋体"/>
          <w:color w:val="FF0000"/>
          <w:szCs w:val="21"/>
        </w:rPr>
        <w:t>在投标文件中，且</w:t>
      </w:r>
      <w:r>
        <w:rPr>
          <w:rFonts w:hint="eastAsia" w:ascii="宋体" w:hAnsi="宋体"/>
          <w:color w:val="FF0000"/>
          <w:szCs w:val="21"/>
        </w:rPr>
        <w:t>另外再单独密封一份提交。</w:t>
      </w:r>
    </w:p>
    <w:p>
      <w:pPr>
        <w:spacing w:line="360" w:lineRule="auto"/>
        <w:ind w:left="153" w:hanging="153"/>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九、项目拟使用的车辆（场地、工具、机器）情况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十、</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sz w:val="24"/>
          <w:szCs w:val="24"/>
        </w:rPr>
        <w:t>七、详细分项报价</w:t>
      </w:r>
      <w:r>
        <w:rPr>
          <w:rFonts w:hint="eastAsia" w:ascii="黑体" w:hAnsi="宋体" w:eastAsia="黑体" w:cs="Times New Roman"/>
          <w:bCs/>
          <w:kern w:val="0"/>
          <w:sz w:val="24"/>
          <w:szCs w:val="24"/>
        </w:rPr>
        <w:t>（格式自定）</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10</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w:t>
    </w:r>
    <w:r>
      <w:rPr>
        <w:rFonts w:hint="eastAsia"/>
        <w:lang w:val="en-US" w:eastAsia="zh-CN"/>
      </w:rPr>
      <w:t>20211637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w:t>
    </w:r>
    <w:r>
      <w:rPr>
        <w:rFonts w:hint="eastAsia"/>
        <w:lang w:val="en-US" w:eastAsia="zh-CN"/>
      </w:rPr>
      <w:t>20211637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D0BC2"/>
    <w:multiLevelType w:val="singleLevel"/>
    <w:tmpl w:val="BFBD0BC2"/>
    <w:lvl w:ilvl="0" w:tentative="0">
      <w:start w:val="1"/>
      <w:numFmt w:val="decimal"/>
      <w:lvlText w:val="(%1)"/>
      <w:lvlJc w:val="left"/>
      <w:pPr>
        <w:ind w:left="425" w:hanging="425"/>
      </w:pPr>
      <w:rPr>
        <w:rFonts w:hint="default"/>
      </w:rPr>
    </w:lvl>
  </w:abstractNum>
  <w:abstractNum w:abstractNumId="1">
    <w:nsid w:val="D30F7026"/>
    <w:multiLevelType w:val="singleLevel"/>
    <w:tmpl w:val="D30F7026"/>
    <w:lvl w:ilvl="0" w:tentative="0">
      <w:start w:val="1"/>
      <w:numFmt w:val="decimal"/>
      <w:lvlText w:val="(%1)"/>
      <w:lvlJc w:val="left"/>
      <w:pPr>
        <w:ind w:left="425" w:hanging="425"/>
      </w:pPr>
      <w:rPr>
        <w:rFonts w:hint="default"/>
      </w:rPr>
    </w:lvl>
  </w:abstractNum>
  <w:abstractNum w:abstractNumId="2">
    <w:nsid w:val="D5498BB8"/>
    <w:multiLevelType w:val="singleLevel"/>
    <w:tmpl w:val="D5498BB8"/>
    <w:lvl w:ilvl="0" w:tentative="0">
      <w:start w:val="1"/>
      <w:numFmt w:val="decimal"/>
      <w:lvlText w:val="(%1)"/>
      <w:lvlJc w:val="left"/>
      <w:pPr>
        <w:ind w:left="425" w:hanging="425"/>
      </w:pPr>
      <w:rPr>
        <w:rFonts w:hint="default"/>
      </w:rPr>
    </w:lvl>
  </w:abstractNum>
  <w:abstractNum w:abstractNumId="3">
    <w:nsid w:val="E502563B"/>
    <w:multiLevelType w:val="singleLevel"/>
    <w:tmpl w:val="E502563B"/>
    <w:lvl w:ilvl="0" w:tentative="0">
      <w:start w:val="1"/>
      <w:numFmt w:val="decimal"/>
      <w:lvlText w:val="%1."/>
      <w:lvlJc w:val="left"/>
      <w:pPr>
        <w:ind w:left="425" w:hanging="425"/>
      </w:pPr>
      <w:rPr>
        <w:rFonts w:hint="default"/>
      </w:rPr>
    </w:lvl>
  </w:abstractNum>
  <w:abstractNum w:abstractNumId="4">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6">
    <w:nsid w:val="08ED546B"/>
    <w:multiLevelType w:val="singleLevel"/>
    <w:tmpl w:val="08ED546B"/>
    <w:lvl w:ilvl="0" w:tentative="0">
      <w:start w:val="1"/>
      <w:numFmt w:val="lowerLetter"/>
      <w:lvlText w:val="%1."/>
      <w:lvlJc w:val="left"/>
      <w:pPr>
        <w:ind w:left="425" w:hanging="425"/>
      </w:pPr>
      <w:rPr>
        <w:rFonts w:hint="default"/>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2"/>
  </w:num>
  <w:num w:numId="6">
    <w:abstractNumId w:val="10"/>
  </w:num>
  <w:num w:numId="7">
    <w:abstractNumId w:val="11"/>
  </w:num>
  <w:num w:numId="8">
    <w:abstractNumId w:val="3"/>
  </w:num>
  <w:num w:numId="9">
    <w:abstractNumId w:val="2"/>
  </w:num>
  <w:num w:numId="10">
    <w:abstractNumId w:val="1"/>
  </w:num>
  <w:num w:numId="11">
    <w:abstractNumId w:val="0"/>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6F75"/>
    <w:rsid w:val="0010431D"/>
    <w:rsid w:val="00111F24"/>
    <w:rsid w:val="00115FDF"/>
    <w:rsid w:val="00124937"/>
    <w:rsid w:val="00144CC3"/>
    <w:rsid w:val="00150B66"/>
    <w:rsid w:val="0015172F"/>
    <w:rsid w:val="00160CCD"/>
    <w:rsid w:val="00163005"/>
    <w:rsid w:val="00164F97"/>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7914"/>
    <w:rsid w:val="0024303A"/>
    <w:rsid w:val="0024305E"/>
    <w:rsid w:val="00245A69"/>
    <w:rsid w:val="0025082F"/>
    <w:rsid w:val="00252881"/>
    <w:rsid w:val="00262B19"/>
    <w:rsid w:val="00263EF2"/>
    <w:rsid w:val="00274246"/>
    <w:rsid w:val="00277CB9"/>
    <w:rsid w:val="00281C6E"/>
    <w:rsid w:val="002820D3"/>
    <w:rsid w:val="00282A21"/>
    <w:rsid w:val="002944C3"/>
    <w:rsid w:val="0029680D"/>
    <w:rsid w:val="00296D75"/>
    <w:rsid w:val="002B1192"/>
    <w:rsid w:val="002B6DF4"/>
    <w:rsid w:val="002C21B1"/>
    <w:rsid w:val="002C6056"/>
    <w:rsid w:val="002D000D"/>
    <w:rsid w:val="002D327A"/>
    <w:rsid w:val="002E656D"/>
    <w:rsid w:val="0030253F"/>
    <w:rsid w:val="00303DF9"/>
    <w:rsid w:val="00304B55"/>
    <w:rsid w:val="00307ED1"/>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30F2"/>
    <w:rsid w:val="005F6841"/>
    <w:rsid w:val="0060609A"/>
    <w:rsid w:val="00627803"/>
    <w:rsid w:val="0063220C"/>
    <w:rsid w:val="00670168"/>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5779F"/>
    <w:rsid w:val="008732C7"/>
    <w:rsid w:val="008744C1"/>
    <w:rsid w:val="00882A47"/>
    <w:rsid w:val="00883097"/>
    <w:rsid w:val="00883E51"/>
    <w:rsid w:val="008853C5"/>
    <w:rsid w:val="00885980"/>
    <w:rsid w:val="0089395C"/>
    <w:rsid w:val="008A5C3C"/>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46356"/>
    <w:rsid w:val="00B53AE5"/>
    <w:rsid w:val="00B55B4A"/>
    <w:rsid w:val="00B773E5"/>
    <w:rsid w:val="00B80B95"/>
    <w:rsid w:val="00B83028"/>
    <w:rsid w:val="00B85918"/>
    <w:rsid w:val="00B9315D"/>
    <w:rsid w:val="00B93F32"/>
    <w:rsid w:val="00B97A3C"/>
    <w:rsid w:val="00BA2D79"/>
    <w:rsid w:val="00BB094E"/>
    <w:rsid w:val="00BB2A14"/>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56F12"/>
    <w:rsid w:val="00C64393"/>
    <w:rsid w:val="00C723AE"/>
    <w:rsid w:val="00C730D8"/>
    <w:rsid w:val="00C92BE8"/>
    <w:rsid w:val="00C95533"/>
    <w:rsid w:val="00C969A5"/>
    <w:rsid w:val="00CC06C6"/>
    <w:rsid w:val="00CC54E4"/>
    <w:rsid w:val="00CC72FA"/>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7B03"/>
    <w:rsid w:val="00F8184F"/>
    <w:rsid w:val="00F918D3"/>
    <w:rsid w:val="00F921AB"/>
    <w:rsid w:val="00FA78CD"/>
    <w:rsid w:val="00FB13A0"/>
    <w:rsid w:val="00FC57AC"/>
    <w:rsid w:val="00FC6D3D"/>
    <w:rsid w:val="00FE0F33"/>
    <w:rsid w:val="018C60E5"/>
    <w:rsid w:val="04D051D4"/>
    <w:rsid w:val="07500F7E"/>
    <w:rsid w:val="0C320701"/>
    <w:rsid w:val="0C83788A"/>
    <w:rsid w:val="137308A3"/>
    <w:rsid w:val="141D751E"/>
    <w:rsid w:val="152619DF"/>
    <w:rsid w:val="15A63B4B"/>
    <w:rsid w:val="17AC7570"/>
    <w:rsid w:val="19803DC4"/>
    <w:rsid w:val="1F4744F6"/>
    <w:rsid w:val="204C499B"/>
    <w:rsid w:val="23814C2B"/>
    <w:rsid w:val="26CF3363"/>
    <w:rsid w:val="28182AAA"/>
    <w:rsid w:val="2C714E97"/>
    <w:rsid w:val="2E065A05"/>
    <w:rsid w:val="2E7A1AAA"/>
    <w:rsid w:val="2FC372B6"/>
    <w:rsid w:val="31177A04"/>
    <w:rsid w:val="31CF3EE6"/>
    <w:rsid w:val="333C7567"/>
    <w:rsid w:val="3A450732"/>
    <w:rsid w:val="3C8C4D75"/>
    <w:rsid w:val="3EC15E30"/>
    <w:rsid w:val="3FFA07DF"/>
    <w:rsid w:val="41646F93"/>
    <w:rsid w:val="424F0347"/>
    <w:rsid w:val="44472DD6"/>
    <w:rsid w:val="44944FAD"/>
    <w:rsid w:val="4505648C"/>
    <w:rsid w:val="50D9141F"/>
    <w:rsid w:val="53A26E4B"/>
    <w:rsid w:val="54394B9C"/>
    <w:rsid w:val="563E6B8B"/>
    <w:rsid w:val="591112B2"/>
    <w:rsid w:val="5B6A60D1"/>
    <w:rsid w:val="5BA17A2C"/>
    <w:rsid w:val="62D21640"/>
    <w:rsid w:val="63DB44D0"/>
    <w:rsid w:val="67572781"/>
    <w:rsid w:val="689E48C9"/>
    <w:rsid w:val="6E5442DA"/>
    <w:rsid w:val="6E7F741D"/>
    <w:rsid w:val="746733D8"/>
    <w:rsid w:val="787950E9"/>
    <w:rsid w:val="78C910BA"/>
    <w:rsid w:val="7A8C7496"/>
    <w:rsid w:val="7E2B6A8C"/>
    <w:rsid w:val="7E77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uiPriority w:val="0"/>
    <w:rPr>
      <w:rFonts w:ascii="Times New Roman" w:hAnsi="Times New Roman" w:eastAsia="宋体" w:cs="Times New Roman"/>
      <w:sz w:val="18"/>
      <w:szCs w:val="18"/>
    </w:rPr>
  </w:style>
  <w:style w:type="paragraph" w:styleId="27">
    <w:name w:val="footer"/>
    <w:basedOn w:val="1"/>
    <w:link w:val="11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uiPriority w:val="0"/>
    <w:pPr>
      <w:ind w:left="630"/>
      <w:jc w:val="left"/>
    </w:pPr>
    <w:rPr>
      <w:rFonts w:ascii="Times New Roman" w:hAnsi="Times New Roman" w:eastAsia="宋体" w:cs="Times New Roman"/>
      <w:szCs w:val="21"/>
    </w:rPr>
  </w:style>
  <w:style w:type="paragraph" w:styleId="31">
    <w:name w:val="toc 6"/>
    <w:basedOn w:val="1"/>
    <w:next w:val="1"/>
    <w:semiHidden/>
    <w:uiPriority w:val="0"/>
    <w:pPr>
      <w:ind w:left="1050"/>
      <w:jc w:val="left"/>
    </w:pPr>
    <w:rPr>
      <w:rFonts w:ascii="Times New Roman" w:hAnsi="Times New Roman" w:eastAsia="宋体" w:cs="Times New Roman"/>
      <w:szCs w:val="21"/>
    </w:rPr>
  </w:style>
  <w:style w:type="paragraph" w:styleId="32">
    <w:name w:val="Body Text Indent 3"/>
    <w:basedOn w:val="1"/>
    <w:link w:val="115"/>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uiPriority w:val="0"/>
    <w:pPr>
      <w:ind w:left="1680"/>
      <w:jc w:val="left"/>
    </w:pPr>
    <w:rPr>
      <w:rFonts w:ascii="Times New Roman" w:hAnsi="Times New Roman" w:eastAsia="宋体" w:cs="Times New Roman"/>
      <w:szCs w:val="21"/>
    </w:rPr>
  </w:style>
  <w:style w:type="paragraph" w:styleId="35">
    <w:name w:val="Body Text 2"/>
    <w:basedOn w:val="1"/>
    <w:link w:val="116"/>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uiPriority w:val="0"/>
    <w:rPr>
      <w:rFonts w:ascii="Times New Roman" w:hAnsi="Times New Roman" w:eastAsia="宋体" w:cs="Times New Roman"/>
      <w:sz w:val="24"/>
      <w:szCs w:val="24"/>
    </w:rPr>
  </w:style>
  <w:style w:type="paragraph" w:styleId="38">
    <w:name w:val="index 1"/>
    <w:basedOn w:val="1"/>
    <w:next w:val="1"/>
    <w:semiHidden/>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uiPriority w:val="0"/>
    <w:pPr>
      <w:autoSpaceDE/>
      <w:autoSpaceDN/>
      <w:adjustRightInd/>
      <w:textAlignment w:val="auto"/>
    </w:pPr>
    <w:rPr>
      <w:b/>
      <w:bCs/>
      <w:kern w:val="2"/>
      <w:sz w:val="21"/>
      <w:szCs w:val="24"/>
    </w:rPr>
  </w:style>
  <w:style w:type="paragraph" w:styleId="41">
    <w:name w:val="Body Text First Indent"/>
    <w:basedOn w:val="18"/>
    <w:link w:val="152"/>
    <w:uiPriority w:val="0"/>
    <w:pPr>
      <w:spacing w:after="120" w:line="240" w:lineRule="auto"/>
      <w:ind w:firstLine="420" w:firstLineChars="100"/>
    </w:pPr>
    <w:rPr>
      <w:sz w:val="21"/>
    </w:rPr>
  </w:style>
  <w:style w:type="table" w:styleId="43">
    <w:name w:val="Table Grid"/>
    <w:basedOn w:val="42"/>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uiPriority w:val="9"/>
    <w:rPr>
      <w:b/>
      <w:bCs/>
      <w:kern w:val="44"/>
      <w:sz w:val="44"/>
      <w:szCs w:val="44"/>
    </w:rPr>
  </w:style>
  <w:style w:type="character" w:customStyle="1" w:styleId="50">
    <w:name w:val="标题 2 字符"/>
    <w:basedOn w:val="44"/>
    <w:semiHidden/>
    <w:uiPriority w:val="9"/>
    <w:rPr>
      <w:rFonts w:asciiTheme="majorHAnsi" w:hAnsiTheme="majorHAnsi" w:eastAsiaTheme="majorEastAsia" w:cstheme="majorBidi"/>
      <w:b/>
      <w:bCs/>
      <w:sz w:val="32"/>
      <w:szCs w:val="32"/>
    </w:rPr>
  </w:style>
  <w:style w:type="character" w:customStyle="1" w:styleId="51">
    <w:name w:val="标题 3 字符"/>
    <w:basedOn w:val="44"/>
    <w:semiHidden/>
    <w:uiPriority w:val="9"/>
    <w:rPr>
      <w:b/>
      <w:bCs/>
      <w:sz w:val="32"/>
      <w:szCs w:val="32"/>
    </w:rPr>
  </w:style>
  <w:style w:type="character" w:customStyle="1" w:styleId="52">
    <w:name w:val="标题 4 字符"/>
    <w:basedOn w:val="44"/>
    <w:semiHidden/>
    <w:uiPriority w:val="9"/>
    <w:rPr>
      <w:rFonts w:asciiTheme="majorHAnsi" w:hAnsiTheme="majorHAnsi" w:eastAsiaTheme="majorEastAsia" w:cstheme="majorBidi"/>
      <w:b/>
      <w:bCs/>
      <w:sz w:val="28"/>
      <w:szCs w:val="28"/>
    </w:rPr>
  </w:style>
  <w:style w:type="character" w:customStyle="1" w:styleId="53">
    <w:name w:val="标题 5 字符"/>
    <w:basedOn w:val="44"/>
    <w:semiHidden/>
    <w:uiPriority w:val="9"/>
    <w:rPr>
      <w:b/>
      <w:bCs/>
      <w:sz w:val="28"/>
      <w:szCs w:val="28"/>
    </w:rPr>
  </w:style>
  <w:style w:type="character" w:customStyle="1" w:styleId="54">
    <w:name w:val="标题 6 字符"/>
    <w:basedOn w:val="44"/>
    <w:semiHidden/>
    <w:uiPriority w:val="9"/>
    <w:rPr>
      <w:rFonts w:asciiTheme="majorHAnsi" w:hAnsiTheme="majorHAnsi" w:eastAsiaTheme="majorEastAsia" w:cstheme="majorBidi"/>
      <w:b/>
      <w:bCs/>
      <w:sz w:val="24"/>
      <w:szCs w:val="24"/>
    </w:rPr>
  </w:style>
  <w:style w:type="character" w:customStyle="1" w:styleId="55">
    <w:name w:val="标题 7 字符"/>
    <w:basedOn w:val="44"/>
    <w:semiHidden/>
    <w:uiPriority w:val="9"/>
    <w:rPr>
      <w:b/>
      <w:bCs/>
      <w:sz w:val="24"/>
      <w:szCs w:val="24"/>
    </w:rPr>
  </w:style>
  <w:style w:type="character" w:customStyle="1" w:styleId="56">
    <w:name w:val="标题 8 字符"/>
    <w:basedOn w:val="44"/>
    <w:semiHidden/>
    <w:uiPriority w:val="9"/>
    <w:rPr>
      <w:rFonts w:asciiTheme="majorHAnsi" w:hAnsiTheme="majorHAnsi" w:eastAsiaTheme="majorEastAsia" w:cstheme="majorBidi"/>
      <w:sz w:val="24"/>
      <w:szCs w:val="24"/>
    </w:rPr>
  </w:style>
  <w:style w:type="character" w:customStyle="1" w:styleId="57">
    <w:name w:val="标题 9 字符"/>
    <w:basedOn w:val="44"/>
    <w:semiHidden/>
    <w:uiPriority w:val="9"/>
    <w:rPr>
      <w:rFonts w:asciiTheme="majorHAnsi" w:hAnsiTheme="majorHAnsi" w:eastAsiaTheme="majorEastAsia" w:cstheme="majorBidi"/>
      <w:szCs w:val="21"/>
    </w:rPr>
  </w:style>
  <w:style w:type="character" w:customStyle="1" w:styleId="58">
    <w:name w:val="标题 4 Char"/>
    <w:link w:val="4"/>
    <w:uiPriority w:val="0"/>
    <w:rPr>
      <w:rFonts w:ascii="Arial" w:hAnsi="Arial" w:eastAsia="黑体" w:cs="Times New Roman"/>
      <w:b/>
      <w:bCs/>
      <w:sz w:val="28"/>
      <w:szCs w:val="28"/>
    </w:rPr>
  </w:style>
  <w:style w:type="paragraph" w:customStyle="1" w:styleId="59">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uiPriority w:val="0"/>
    <w:rPr>
      <w:rFonts w:ascii="宋体" w:hAnsi="宋体" w:eastAsia="宋体" w:cs="Times New Roman"/>
      <w:b/>
      <w:bCs/>
      <w:sz w:val="28"/>
      <w:szCs w:val="32"/>
    </w:rPr>
  </w:style>
  <w:style w:type="character" w:customStyle="1" w:styleId="61">
    <w:name w:val="标题 1 Char"/>
    <w:link w:val="2"/>
    <w:uiPriority w:val="0"/>
    <w:rPr>
      <w:rFonts w:ascii="宋体" w:hAnsi="宋体" w:eastAsia="黑体" w:cs="Times New Roman"/>
      <w:b/>
      <w:bCs/>
      <w:kern w:val="44"/>
      <w:sz w:val="28"/>
      <w:szCs w:val="44"/>
    </w:rPr>
  </w:style>
  <w:style w:type="character" w:customStyle="1" w:styleId="62">
    <w:name w:val="正文缩进 Char"/>
    <w:link w:val="7"/>
    <w:uiPriority w:val="0"/>
    <w:rPr>
      <w:rFonts w:ascii="Times New Roman" w:hAnsi="Times New Roman" w:eastAsia="宋体" w:cs="Times New Roman"/>
      <w:szCs w:val="20"/>
    </w:rPr>
  </w:style>
  <w:style w:type="character" w:customStyle="1" w:styleId="63">
    <w:name w:val="标题 字符"/>
    <w:basedOn w:val="44"/>
    <w:uiPriority w:val="10"/>
    <w:rPr>
      <w:rFonts w:asciiTheme="majorHAnsi" w:hAnsiTheme="majorHAnsi" w:eastAsiaTheme="majorEastAsia" w:cstheme="majorBidi"/>
      <w:b/>
      <w:bCs/>
      <w:sz w:val="32"/>
      <w:szCs w:val="32"/>
    </w:rPr>
  </w:style>
  <w:style w:type="character" w:customStyle="1" w:styleId="64">
    <w:name w:val="日期 字符"/>
    <w:basedOn w:val="44"/>
    <w:semiHidden/>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uiPriority w:val="99"/>
    <w:rPr>
      <w:rFonts w:hAnsi="Courier New" w:cs="Courier New" w:asciiTheme="minorEastAsia"/>
    </w:rPr>
  </w:style>
  <w:style w:type="character" w:customStyle="1" w:styleId="67">
    <w:name w:val="正文文本缩进 字符"/>
    <w:basedOn w:val="44"/>
    <w:semiHidden/>
    <w:uiPriority w:val="99"/>
  </w:style>
  <w:style w:type="character" w:customStyle="1" w:styleId="68">
    <w:name w:val="正文文本 字符"/>
    <w:basedOn w:val="44"/>
    <w:semiHidden/>
    <w:uiPriority w:val="99"/>
  </w:style>
  <w:style w:type="character" w:customStyle="1" w:styleId="69">
    <w:name w:val="正文文本缩进 2 字符"/>
    <w:basedOn w:val="44"/>
    <w:semiHidden/>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uiPriority w:val="99"/>
  </w:style>
  <w:style w:type="character" w:customStyle="1" w:styleId="72">
    <w:name w:val="正文文本缩进 3 字符"/>
    <w:basedOn w:val="44"/>
    <w:semiHidden/>
    <w:uiPriority w:val="99"/>
    <w:rPr>
      <w:sz w:val="16"/>
      <w:szCs w:val="16"/>
    </w:rPr>
  </w:style>
  <w:style w:type="character" w:customStyle="1" w:styleId="73">
    <w:name w:val="正文文本 2 字符"/>
    <w:basedOn w:val="44"/>
    <w:semiHidden/>
    <w:uiPriority w:val="99"/>
  </w:style>
  <w:style w:type="character" w:customStyle="1" w:styleId="74">
    <w:name w:val="页脚 字符"/>
    <w:basedOn w:val="44"/>
    <w:semiHidden/>
    <w:uiPriority w:val="99"/>
    <w:rPr>
      <w:sz w:val="18"/>
      <w:szCs w:val="18"/>
    </w:rPr>
  </w:style>
  <w:style w:type="character" w:customStyle="1" w:styleId="75">
    <w:name w:val="已访问的超链接1"/>
    <w:uiPriority w:val="0"/>
    <w:rPr>
      <w:color w:val="800080"/>
      <w:u w:val="single"/>
    </w:rPr>
  </w:style>
  <w:style w:type="character" w:customStyle="1" w:styleId="76">
    <w:name w:val="文档结构图 Char"/>
    <w:basedOn w:val="44"/>
    <w:link w:val="15"/>
    <w:semiHidden/>
    <w:uiPriority w:val="0"/>
    <w:rPr>
      <w:rFonts w:ascii="Times New Roman" w:hAnsi="Times New Roman" w:eastAsia="宋体" w:cs="Times New Roman"/>
      <w:szCs w:val="24"/>
      <w:shd w:val="clear" w:color="auto" w:fill="000080"/>
    </w:rPr>
  </w:style>
  <w:style w:type="character" w:customStyle="1" w:styleId="77">
    <w:name w:val="标题 3 Char"/>
    <w:uiPriority w:val="0"/>
    <w:rPr>
      <w:rFonts w:ascii="黑体" w:eastAsia="黑体"/>
      <w:bCs/>
      <w:sz w:val="30"/>
    </w:rPr>
  </w:style>
  <w:style w:type="character" w:customStyle="1" w:styleId="78">
    <w:name w:val="正文文本 3 字符"/>
    <w:basedOn w:val="44"/>
    <w:semiHidden/>
    <w:uiPriority w:val="99"/>
    <w:rPr>
      <w:sz w:val="16"/>
      <w:szCs w:val="16"/>
    </w:rPr>
  </w:style>
  <w:style w:type="paragraph" w:customStyle="1" w:styleId="79">
    <w:name w:val="样式41"/>
    <w:basedOn w:val="1"/>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uiPriority w:val="0"/>
    <w:rPr>
      <w:rFonts w:ascii="Tahoma" w:hAnsi="Tahoma" w:eastAsia="宋体" w:cs="Times New Roman"/>
      <w:sz w:val="24"/>
      <w:szCs w:val="20"/>
    </w:rPr>
  </w:style>
  <w:style w:type="paragraph" w:customStyle="1" w:styleId="88">
    <w:name w:val="小标题 1"/>
    <w:basedOn w:val="1"/>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uiPriority w:val="0"/>
    <w:rPr>
      <w:rFonts w:ascii="Tahoma" w:hAnsi="Tahoma" w:eastAsia="宋体" w:cs="Times New Roman"/>
      <w:sz w:val="24"/>
      <w:szCs w:val="20"/>
    </w:rPr>
  </w:style>
  <w:style w:type="paragraph" w:customStyle="1" w:styleId="90">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uiPriority w:val="0"/>
    <w:pPr>
      <w:adjustRightInd/>
      <w:spacing w:before="0" w:after="0"/>
      <w:jc w:val="both"/>
      <w:textAlignment w:val="auto"/>
    </w:pPr>
    <w:rPr>
      <w:rFonts w:ascii="Cambria" w:hAnsi="Cambria" w:cs="宋体"/>
      <w:kern w:val="2"/>
      <w:sz w:val="32"/>
    </w:rPr>
  </w:style>
  <w:style w:type="character" w:customStyle="1" w:styleId="98">
    <w:name w:val="H4 Char2"/>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uiPriority w:val="0"/>
    <w:rPr>
      <w:rFonts w:ascii="Times New Roman" w:hAnsi="Times New Roman" w:eastAsia="宋体" w:cs="Times New Roman"/>
      <w:b/>
      <w:sz w:val="28"/>
      <w:szCs w:val="20"/>
    </w:rPr>
  </w:style>
  <w:style w:type="character" w:customStyle="1" w:styleId="101">
    <w:name w:val="第*章 Char"/>
    <w:uiPriority w:val="0"/>
    <w:rPr>
      <w:rFonts w:ascii="Arial" w:hAnsi="Arial" w:eastAsia="黑体"/>
      <w:b/>
      <w:bCs/>
      <w:kern w:val="2"/>
      <w:sz w:val="32"/>
      <w:szCs w:val="32"/>
    </w:rPr>
  </w:style>
  <w:style w:type="character" w:customStyle="1" w:styleId="102">
    <w:name w:val="章标题1 Char"/>
    <w:uiPriority w:val="0"/>
    <w:rPr>
      <w:rFonts w:eastAsia="宋体"/>
      <w:b/>
      <w:bCs/>
      <w:kern w:val="2"/>
      <w:sz w:val="32"/>
      <w:szCs w:val="32"/>
      <w:lang w:val="en-US" w:eastAsia="zh-CN" w:bidi="ar-SA"/>
    </w:rPr>
  </w:style>
  <w:style w:type="character" w:customStyle="1" w:styleId="103">
    <w:name w:val="标题 6 Char"/>
    <w:link w:val="8"/>
    <w:uiPriority w:val="0"/>
    <w:rPr>
      <w:rFonts w:ascii="Arial" w:hAnsi="Arial" w:eastAsia="黑体" w:cs="Times New Roman"/>
      <w:b/>
      <w:sz w:val="24"/>
      <w:szCs w:val="20"/>
    </w:rPr>
  </w:style>
  <w:style w:type="character" w:customStyle="1" w:styleId="104">
    <w:name w:val="标题 7 Char"/>
    <w:link w:val="9"/>
    <w:uiPriority w:val="0"/>
    <w:rPr>
      <w:rFonts w:ascii="Times New Roman" w:hAnsi="Times New Roman" w:eastAsia="宋体" w:cs="Times New Roman"/>
      <w:b/>
      <w:sz w:val="24"/>
      <w:szCs w:val="20"/>
    </w:rPr>
  </w:style>
  <w:style w:type="character" w:customStyle="1" w:styleId="105">
    <w:name w:val="标题 8 Char"/>
    <w:link w:val="10"/>
    <w:uiPriority w:val="0"/>
    <w:rPr>
      <w:rFonts w:ascii="Arial" w:hAnsi="Arial" w:eastAsia="黑体" w:cs="Times New Roman"/>
      <w:sz w:val="24"/>
      <w:szCs w:val="20"/>
    </w:rPr>
  </w:style>
  <w:style w:type="character" w:customStyle="1" w:styleId="106">
    <w:name w:val="标题 9 Char"/>
    <w:link w:val="11"/>
    <w:uiPriority w:val="0"/>
    <w:rPr>
      <w:rFonts w:ascii="Arial" w:hAnsi="Arial" w:eastAsia="黑体" w:cs="Times New Roman"/>
      <w:szCs w:val="20"/>
    </w:rPr>
  </w:style>
  <w:style w:type="character" w:customStyle="1" w:styleId="107">
    <w:name w:val="标题 Char"/>
    <w:link w:val="39"/>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uiPriority w:val="0"/>
    <w:rPr>
      <w:rFonts w:ascii="Arial Unicode MS" w:hAnsi="Arial Unicode MS" w:eastAsia="Arial Unicode MS" w:cs="Times New Roman"/>
      <w:color w:val="000000"/>
      <w:kern w:val="0"/>
      <w:sz w:val="20"/>
      <w:szCs w:val="20"/>
    </w:rPr>
  </w:style>
  <w:style w:type="character" w:customStyle="1" w:styleId="110">
    <w:name w:val="纯文本 Char"/>
    <w:link w:val="22"/>
    <w:uiPriority w:val="0"/>
    <w:rPr>
      <w:rFonts w:ascii="宋体" w:hAnsi="Courier New" w:eastAsia="宋体" w:cs="Times New Roman"/>
      <w:szCs w:val="20"/>
    </w:rPr>
  </w:style>
  <w:style w:type="character" w:customStyle="1" w:styleId="111">
    <w:name w:val="正文文字首行缩进 Char"/>
    <w:uiPriority w:val="0"/>
    <w:rPr>
      <w:kern w:val="2"/>
      <w:sz w:val="21"/>
      <w:szCs w:val="24"/>
    </w:rPr>
  </w:style>
  <w:style w:type="character" w:customStyle="1" w:styleId="112">
    <w:name w:val="正文文本 Char"/>
    <w:link w:val="18"/>
    <w:uiPriority w:val="0"/>
    <w:rPr>
      <w:rFonts w:ascii="Times New Roman" w:hAnsi="Times New Roman" w:eastAsia="宋体" w:cs="Times New Roman"/>
      <w:b/>
      <w:bCs/>
      <w:sz w:val="24"/>
      <w:szCs w:val="24"/>
    </w:rPr>
  </w:style>
  <w:style w:type="character" w:customStyle="1" w:styleId="113">
    <w:name w:val="正文文本缩进 2 Char"/>
    <w:link w:val="25"/>
    <w:uiPriority w:val="0"/>
    <w:rPr>
      <w:rFonts w:ascii="宋体" w:hAnsi="宋体" w:eastAsia="宋体" w:cs="Times New Roman"/>
      <w:szCs w:val="24"/>
    </w:rPr>
  </w:style>
  <w:style w:type="character" w:customStyle="1" w:styleId="114">
    <w:name w:val="页眉 Char"/>
    <w:link w:val="28"/>
    <w:uiPriority w:val="0"/>
    <w:rPr>
      <w:rFonts w:ascii="Times New Roman" w:hAnsi="Times New Roman" w:eastAsia="宋体" w:cs="Times New Roman"/>
      <w:sz w:val="18"/>
      <w:szCs w:val="18"/>
    </w:rPr>
  </w:style>
  <w:style w:type="character" w:customStyle="1" w:styleId="115">
    <w:name w:val="正文文本缩进 3 Char"/>
    <w:link w:val="32"/>
    <w:uiPriority w:val="0"/>
    <w:rPr>
      <w:rFonts w:ascii="宋体" w:hAnsi="Times New Roman" w:eastAsia="宋体" w:cs="Times New Roman"/>
      <w:b/>
      <w:bCs/>
      <w:sz w:val="24"/>
      <w:szCs w:val="24"/>
    </w:rPr>
  </w:style>
  <w:style w:type="character" w:customStyle="1" w:styleId="116">
    <w:name w:val="正文文本 2 Char"/>
    <w:link w:val="35"/>
    <w:uiPriority w:val="0"/>
    <w:rPr>
      <w:rFonts w:ascii="Times New Roman" w:hAnsi="Times New Roman" w:eastAsia="宋体" w:cs="Times New Roman"/>
      <w:sz w:val="24"/>
      <w:szCs w:val="24"/>
    </w:rPr>
  </w:style>
  <w:style w:type="character" w:customStyle="1" w:styleId="117">
    <w:name w:val="页脚 Char"/>
    <w:link w:val="27"/>
    <w:uiPriority w:val="0"/>
    <w:rPr>
      <w:rFonts w:ascii="Times New Roman" w:hAnsi="Times New Roman" w:eastAsia="宋体" w:cs="Times New Roman"/>
      <w:sz w:val="18"/>
      <w:szCs w:val="18"/>
    </w:rPr>
  </w:style>
  <w:style w:type="character" w:customStyle="1" w:styleId="118">
    <w:name w:val="正文文本 3 Char"/>
    <w:link w:val="17"/>
    <w:uiPriority w:val="0"/>
    <w:rPr>
      <w:rFonts w:ascii="Times New Roman" w:hAnsi="Times New Roman" w:eastAsia="宋体" w:cs="Times New Roman"/>
      <w:sz w:val="16"/>
      <w:szCs w:val="16"/>
    </w:rPr>
  </w:style>
  <w:style w:type="character" w:customStyle="1" w:styleId="119">
    <w:name w:val="批注框文本 字符"/>
    <w:basedOn w:val="44"/>
    <w:semiHidden/>
    <w:uiPriority w:val="99"/>
    <w:rPr>
      <w:sz w:val="18"/>
      <w:szCs w:val="18"/>
    </w:rPr>
  </w:style>
  <w:style w:type="character" w:customStyle="1" w:styleId="120">
    <w:name w:val="批注框文本 Char"/>
    <w:link w:val="26"/>
    <w:semiHidden/>
    <w:uiPriority w:val="0"/>
    <w:rPr>
      <w:rFonts w:ascii="Times New Roman" w:hAnsi="Times New Roman" w:eastAsia="宋体" w:cs="Times New Roman"/>
      <w:sz w:val="18"/>
      <w:szCs w:val="18"/>
    </w:rPr>
  </w:style>
  <w:style w:type="paragraph" w:customStyle="1" w:styleId="121">
    <w:name w:val="样式1"/>
    <w:basedOn w:val="39"/>
    <w:uiPriority w:val="0"/>
    <w:pPr>
      <w:spacing w:before="120" w:after="120"/>
    </w:pPr>
    <w:rPr>
      <w:rFonts w:eastAsia="黑体"/>
      <w:b w:val="0"/>
      <w:sz w:val="30"/>
      <w:szCs w:val="21"/>
    </w:rPr>
  </w:style>
  <w:style w:type="paragraph" w:customStyle="1" w:styleId="122">
    <w:name w:val="样式2"/>
    <w:basedOn w:val="39"/>
    <w:next w:val="121"/>
    <w:uiPriority w:val="0"/>
    <w:pPr>
      <w:spacing w:before="120" w:after="120"/>
    </w:pPr>
    <w:rPr>
      <w:rFonts w:eastAsia="黑体"/>
      <w:b w:val="0"/>
      <w:sz w:val="30"/>
      <w:szCs w:val="30"/>
    </w:rPr>
  </w:style>
  <w:style w:type="character" w:customStyle="1" w:styleId="123">
    <w:name w:val="标题 3 Char Char"/>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uiPriority w:val="0"/>
    <w:pPr>
      <w:spacing w:line="240" w:lineRule="auto"/>
      <w:ind w:firstLine="0" w:firstLineChars="0"/>
    </w:pPr>
    <w:rPr>
      <w:sz w:val="20"/>
    </w:rPr>
  </w:style>
  <w:style w:type="paragraph" w:customStyle="1" w:styleId="132">
    <w:name w:val="--规划-表格-居中"/>
    <w:basedOn w:val="126"/>
    <w:uiPriority w:val="0"/>
    <w:pPr>
      <w:spacing w:line="240" w:lineRule="auto"/>
      <w:ind w:firstLine="0" w:firstLineChars="0"/>
      <w:jc w:val="center"/>
    </w:pPr>
    <w:rPr>
      <w:sz w:val="20"/>
    </w:rPr>
  </w:style>
  <w:style w:type="paragraph" w:customStyle="1" w:styleId="133">
    <w:name w:val="--编号内缩进"/>
    <w:basedOn w:val="1"/>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uiPriority w:val="0"/>
    <w:rPr>
      <w:rFonts w:eastAsia="宋体"/>
      <w:kern w:val="2"/>
      <w:sz w:val="24"/>
      <w:szCs w:val="24"/>
      <w:lang w:val="en-US" w:eastAsia="zh-CN" w:bidi="ar-SA"/>
    </w:rPr>
  </w:style>
  <w:style w:type="paragraph" w:customStyle="1" w:styleId="141">
    <w:name w:val="样式3"/>
    <w:basedOn w:val="2"/>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uiPriority w:val="0"/>
    <w:rPr>
      <w:rFonts w:eastAsia="宋体"/>
      <w:kern w:val="2"/>
      <w:sz w:val="21"/>
      <w:lang w:val="en-US" w:eastAsia="zh-CN" w:bidi="ar-SA"/>
    </w:rPr>
  </w:style>
  <w:style w:type="paragraph" w:customStyle="1" w:styleId="143">
    <w:name w:val="word"/>
    <w:basedOn w:val="1"/>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uiPriority w:val="0"/>
    <w:rPr>
      <w:rFonts w:hint="default" w:ascii="??" w:hAnsi="??"/>
      <w:sz w:val="16"/>
      <w:szCs w:val="16"/>
      <w:u w:val="none"/>
    </w:rPr>
  </w:style>
  <w:style w:type="character" w:customStyle="1" w:styleId="146">
    <w:name w:val="unnamed4"/>
    <w:basedOn w:val="44"/>
    <w:uiPriority w:val="0"/>
  </w:style>
  <w:style w:type="character" w:customStyle="1" w:styleId="147">
    <w:name w:val="font2"/>
    <w:basedOn w:val="44"/>
    <w:uiPriority w:val="0"/>
  </w:style>
  <w:style w:type="character" w:customStyle="1" w:styleId="148">
    <w:name w:val="font41"/>
    <w:uiPriority w:val="0"/>
    <w:rPr>
      <w:color w:val="000000"/>
      <w:sz w:val="18"/>
      <w:szCs w:val="18"/>
      <w:u w:val="none"/>
    </w:rPr>
  </w:style>
  <w:style w:type="paragraph" w:customStyle="1" w:styleId="149">
    <w:name w:val="正文(首行缩进)"/>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uiPriority w:val="99"/>
  </w:style>
  <w:style w:type="character" w:customStyle="1" w:styleId="152">
    <w:name w:val="正文首行缩进 Char"/>
    <w:link w:val="41"/>
    <w:uiPriority w:val="0"/>
    <w:rPr>
      <w:rFonts w:ascii="Times New Roman" w:hAnsi="Times New Roman" w:eastAsia="宋体" w:cs="Times New Roman"/>
      <w:b/>
      <w:bCs/>
      <w:szCs w:val="24"/>
    </w:rPr>
  </w:style>
  <w:style w:type="paragraph" w:customStyle="1" w:styleId="153">
    <w:name w:val="正文(首行缩进) Char"/>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uiPriority w:val="0"/>
  </w:style>
  <w:style w:type="paragraph" w:customStyle="1" w:styleId="157">
    <w:name w:val="9"/>
    <w:basedOn w:val="1"/>
    <w:next w:val="7"/>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uiPriority w:val="0"/>
  </w:style>
  <w:style w:type="paragraph" w:customStyle="1" w:styleId="159">
    <w:name w:val="8"/>
    <w:basedOn w:val="1"/>
    <w:next w:val="19"/>
    <w:uiPriority w:val="0"/>
    <w:pPr>
      <w:spacing w:after="120"/>
      <w:ind w:left="420" w:leftChars="200"/>
    </w:pPr>
    <w:rPr>
      <w:rFonts w:ascii="Times New Roman" w:hAnsi="Times New Roman" w:eastAsia="宋体" w:cs="Times New Roman"/>
      <w:szCs w:val="24"/>
    </w:rPr>
  </w:style>
  <w:style w:type="paragraph" w:customStyle="1" w:styleId="160">
    <w:name w:val="7"/>
    <w:basedOn w:val="1"/>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uiPriority w:val="0"/>
    <w:pPr>
      <w:spacing w:line="270" w:lineRule="atLeast"/>
      <w:jc w:val="both"/>
    </w:pPr>
    <w:rPr>
      <w:b w:val="0"/>
      <w:bCs w:val="0"/>
    </w:rPr>
  </w:style>
  <w:style w:type="paragraph" w:customStyle="1" w:styleId="164">
    <w:name w:val="产品描述"/>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uiPriority w:val="0"/>
    <w:pPr>
      <w:spacing w:line="240" w:lineRule="atLeast"/>
      <w:ind w:firstLine="567"/>
    </w:pPr>
    <w:rPr>
      <w:rFonts w:ascii="Times New Roman" w:hAnsi="Times New Roman" w:eastAsia="宋体" w:cs="Times New Roman"/>
      <w:szCs w:val="20"/>
    </w:rPr>
  </w:style>
  <w:style w:type="paragraph" w:customStyle="1" w:styleId="166">
    <w:name w:val="Defaul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uiPriority w:val="0"/>
    <w:pPr>
      <w:spacing w:line="200" w:lineRule="atLeast"/>
    </w:pPr>
    <w:rPr>
      <w:rFonts w:ascii="Arial" w:hAnsi="Arial" w:eastAsia="宋体" w:cs="Times New Roman"/>
      <w:color w:val="auto"/>
    </w:rPr>
  </w:style>
  <w:style w:type="paragraph" w:customStyle="1" w:styleId="168">
    <w:name w:val="Normal Paragraph"/>
    <w:basedOn w:val="1"/>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uiPriority w:val="0"/>
  </w:style>
  <w:style w:type="paragraph" w:customStyle="1" w:styleId="170">
    <w:name w:val="blu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uiPriority w:val="0"/>
  </w:style>
  <w:style w:type="character" w:customStyle="1" w:styleId="172">
    <w:name w:val="font11"/>
    <w:uiPriority w:val="0"/>
    <w:rPr>
      <w:rFonts w:hint="default" w:ascii="ˎ̥" w:hAnsi="ˎ̥"/>
    </w:rPr>
  </w:style>
  <w:style w:type="paragraph" w:customStyle="1" w:styleId="173">
    <w:name w:val="a14"/>
    <w:basedOn w:val="1"/>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uiPriority w:val="0"/>
  </w:style>
  <w:style w:type="character" w:customStyle="1" w:styleId="175">
    <w:name w:val="prodheadlines"/>
    <w:basedOn w:val="44"/>
    <w:uiPriority w:val="0"/>
  </w:style>
  <w:style w:type="character" w:customStyle="1" w:styleId="176">
    <w:name w:val="text"/>
    <w:basedOn w:val="44"/>
    <w:uiPriority w:val="0"/>
  </w:style>
  <w:style w:type="paragraph" w:customStyle="1" w:styleId="177">
    <w:name w:val="tex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uiPriority w:val="0"/>
    <w:rPr>
      <w:rFonts w:ascii="Arial" w:hAnsi="Arial" w:eastAsia="宋体" w:cs="Arial"/>
      <w:vanish/>
      <w:kern w:val="0"/>
      <w:sz w:val="16"/>
      <w:szCs w:val="16"/>
    </w:rPr>
  </w:style>
  <w:style w:type="paragraph" w:customStyle="1" w:styleId="180">
    <w:name w:val="z-窗体底端1"/>
    <w:basedOn w:val="1"/>
    <w:next w:val="1"/>
    <w:link w:val="181"/>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uiPriority w:val="0"/>
    <w:rPr>
      <w:rFonts w:ascii="Arial" w:hAnsi="Arial" w:eastAsia="宋体" w:cs="Arial"/>
      <w:vanish/>
      <w:kern w:val="0"/>
      <w:sz w:val="16"/>
      <w:szCs w:val="16"/>
    </w:rPr>
  </w:style>
  <w:style w:type="paragraph" w:customStyle="1" w:styleId="182">
    <w:name w:val="正文样式"/>
    <w:basedOn w:val="1"/>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uiPriority w:val="0"/>
    <w:pPr>
      <w:ind w:firstLine="560" w:firstLineChars="200"/>
    </w:pPr>
    <w:rPr>
      <w:sz w:val="28"/>
    </w:rPr>
  </w:style>
  <w:style w:type="character" w:customStyle="1" w:styleId="185">
    <w:name w:val="gray6"/>
    <w:basedOn w:val="44"/>
    <w:uiPriority w:val="0"/>
  </w:style>
  <w:style w:type="character" w:customStyle="1" w:styleId="186">
    <w:name w:val="style9"/>
    <w:basedOn w:val="44"/>
    <w:uiPriority w:val="0"/>
  </w:style>
  <w:style w:type="paragraph" w:customStyle="1" w:styleId="187">
    <w:name w:val="2册标题4"/>
    <w:basedOn w:val="1"/>
    <w:next w:val="1"/>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uiPriority w:val="0"/>
  </w:style>
  <w:style w:type="paragraph" w:customStyle="1" w:styleId="189">
    <w:name w:val="style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uiPriority w:val="0"/>
    <w:pPr>
      <w:jc w:val="left"/>
    </w:pPr>
    <w:rPr>
      <w:rFonts w:ascii="Tahoma" w:hAnsi="Tahoma" w:eastAsia="宋体" w:cs="Times New Roman"/>
      <w:sz w:val="24"/>
      <w:szCs w:val="20"/>
    </w:rPr>
  </w:style>
  <w:style w:type="paragraph" w:customStyle="1" w:styleId="191">
    <w:name w:val="编号1"/>
    <w:basedOn w:val="1"/>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uiPriority w:val="0"/>
    <w:pPr>
      <w:adjustRightInd w:val="0"/>
      <w:jc w:val="center"/>
    </w:pPr>
    <w:rPr>
      <w:rFonts w:ascii="宋体" w:hAnsi="Times New Roman" w:eastAsia="宋体" w:cs="Times New Roman"/>
      <w:sz w:val="24"/>
      <w:szCs w:val="20"/>
    </w:rPr>
  </w:style>
  <w:style w:type="character" w:customStyle="1" w:styleId="199">
    <w:name w:val="样式 小三 加粗"/>
    <w:uiPriority w:val="0"/>
    <w:rPr>
      <w:rFonts w:eastAsia="宋体"/>
      <w:b/>
      <w:bCs/>
      <w:sz w:val="32"/>
    </w:rPr>
  </w:style>
  <w:style w:type="paragraph" w:customStyle="1" w:styleId="20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uiPriority w:val="0"/>
    <w:rPr>
      <w:rFonts w:ascii="Tahoma" w:hAnsi="Tahoma" w:eastAsia="宋体" w:cs="Times New Roman"/>
      <w:sz w:val="24"/>
      <w:szCs w:val="20"/>
    </w:rPr>
  </w:style>
  <w:style w:type="paragraph" w:customStyle="1" w:styleId="203">
    <w:name w:val="Char2"/>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uiPriority w:val="0"/>
  </w:style>
  <w:style w:type="paragraph" w:customStyle="1" w:styleId="205">
    <w:name w:val="缩进正文"/>
    <w:basedOn w:val="1"/>
    <w:link w:val="206"/>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uiPriority w:val="99"/>
    <w:rPr>
      <w:b/>
      <w:bCs/>
    </w:rPr>
  </w:style>
  <w:style w:type="character" w:customStyle="1" w:styleId="210">
    <w:name w:val="批注文字 Char"/>
    <w:link w:val="16"/>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34"/>
    <w:pPr>
      <w:ind w:firstLine="420" w:firstLineChars="200"/>
    </w:pPr>
  </w:style>
  <w:style w:type="character" w:customStyle="1" w:styleId="215">
    <w:name w:val="列出段落 Char"/>
    <w:link w:val="214"/>
    <w:qFormat/>
    <w:locked/>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3718</Words>
  <Characters>21197</Characters>
  <Lines>176</Lines>
  <Paragraphs>49</Paragraphs>
  <TotalTime>1</TotalTime>
  <ScaleCrop>false</ScaleCrop>
  <LinksUpToDate>false</LinksUpToDate>
  <CharactersWithSpaces>24866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2016-12-08T09:43:00Z</dcterms:created>
  <dc:creator>41747</dc:creator>
  <cp:lastModifiedBy>41747</cp:lastModifiedBy>
  <cp:lastPrinted>2016-12-12T03:41:00Z</cp:lastPrinted>
  <dcterms:modified xsi:type="dcterms:W3CDTF">2021-08-06T06:50:00Z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DE8ED9BCB9D146FF9DE90122AD4C0AE4</vt:lpwstr>
  </property>
</Properties>
</file>