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sz w:val="80"/>
          <w:szCs w:val="80"/>
        </w:rPr>
      </w:pPr>
    </w:p>
    <w:p>
      <w:pPr>
        <w:spacing w:line="276" w:lineRule="auto"/>
        <w:jc w:val="center"/>
        <w:rPr>
          <w:rFonts w:ascii="宋体" w:hAnsi="宋体"/>
          <w:color w:val="0000FF"/>
          <w:sz w:val="56"/>
        </w:rPr>
      </w:pPr>
      <w:r>
        <w:rPr>
          <w:rFonts w:hint="eastAsia" w:ascii="宋体" w:hAnsi="宋体"/>
          <w:color w:val="0000FF"/>
          <w:sz w:val="56"/>
        </w:rPr>
        <w:t>深圳大学</w:t>
      </w:r>
    </w:p>
    <w:p>
      <w:pPr>
        <w:spacing w:line="276" w:lineRule="auto"/>
        <w:jc w:val="center"/>
        <w:rPr>
          <w:rFonts w:ascii="宋体" w:hAnsi="宋体"/>
          <w:b/>
          <w:color w:val="000000"/>
          <w:sz w:val="90"/>
        </w:rPr>
      </w:pPr>
      <w:r>
        <w:rPr>
          <w:rFonts w:hint="eastAsia" w:ascii="宋体" w:hAnsi="宋体"/>
          <w:b/>
          <w:color w:val="000000"/>
          <w:sz w:val="90"/>
        </w:rPr>
        <w:t>采 购 文 件</w:t>
      </w:r>
    </w:p>
    <w:p>
      <w:pPr>
        <w:spacing w:line="276" w:lineRule="auto"/>
        <w:jc w:val="center"/>
        <w:rPr>
          <w:b/>
          <w:sz w:val="32"/>
          <w:szCs w:val="32"/>
        </w:rPr>
      </w:pPr>
      <w:r>
        <w:rPr>
          <w:rFonts w:hint="eastAsia"/>
          <w:b/>
          <w:sz w:val="32"/>
          <w:szCs w:val="32"/>
        </w:rPr>
        <w:t>（货物类-设备）</w:t>
      </w:r>
    </w:p>
    <w:p>
      <w:pPr>
        <w:spacing w:line="276" w:lineRule="auto"/>
      </w:pPr>
    </w:p>
    <w:p/>
    <w:p/>
    <w:p/>
    <w:p/>
    <w:p/>
    <w:p/>
    <w:p>
      <w:pPr>
        <w:spacing w:line="360" w:lineRule="auto"/>
        <w:jc w:val="center"/>
        <w:rPr>
          <w:sz w:val="32"/>
          <w:szCs w:val="32"/>
        </w:rPr>
      </w:pPr>
      <w:r>
        <w:rPr>
          <w:rFonts w:hint="eastAsia" w:ascii="宋体" w:hAnsi="宋体"/>
          <w:sz w:val="32"/>
          <w:szCs w:val="32"/>
        </w:rPr>
        <w:t>项目名称</w:t>
      </w:r>
      <w:r>
        <w:rPr>
          <w:rFonts w:ascii="宋体" w:hAnsi="宋体"/>
          <w:sz w:val="32"/>
          <w:szCs w:val="32"/>
        </w:rPr>
        <w:t>：</w:t>
      </w:r>
      <w:r>
        <w:rPr>
          <w:rFonts w:hint="eastAsia" w:ascii="宋体" w:hAnsi="宋体"/>
          <w:color w:val="FF0000"/>
          <w:sz w:val="32"/>
          <w:szCs w:val="32"/>
        </w:rPr>
        <w:t>微藻光合反应器及自动检测与温控系统</w:t>
      </w:r>
    </w:p>
    <w:p/>
    <w:p>
      <w:pPr>
        <w:spacing w:line="360" w:lineRule="auto"/>
        <w:jc w:val="center"/>
        <w:rPr>
          <w:rFonts w:ascii="宋体" w:hAnsi="宋体"/>
          <w:color w:val="FF0000"/>
          <w:sz w:val="32"/>
          <w:szCs w:val="32"/>
        </w:rPr>
      </w:pPr>
      <w:r>
        <w:rPr>
          <w:rFonts w:hint="eastAsia" w:ascii="宋体" w:hAnsi="宋体"/>
          <w:color w:val="000000"/>
          <w:sz w:val="32"/>
          <w:szCs w:val="32"/>
        </w:rPr>
        <w:t>招标编号：</w:t>
      </w:r>
      <w:r>
        <w:rPr>
          <w:rFonts w:hint="eastAsia" w:ascii="宋体" w:hAnsi="宋体"/>
          <w:color w:val="FF0000"/>
          <w:sz w:val="32"/>
          <w:szCs w:val="32"/>
        </w:rPr>
        <w:t>SZUCG20211585EQ</w:t>
      </w:r>
    </w:p>
    <w:p>
      <w:pPr>
        <w:spacing w:line="360" w:lineRule="auto"/>
        <w:jc w:val="center"/>
        <w:rPr>
          <w:rFonts w:ascii="宋体" w:hAnsi="宋体"/>
          <w:color w:val="FF0000"/>
          <w:sz w:val="32"/>
          <w:szCs w:val="32"/>
        </w:rPr>
      </w:pPr>
      <w:r>
        <w:rPr>
          <w:rFonts w:hint="eastAsia" w:ascii="宋体" w:hAnsi="宋体"/>
          <w:color w:val="FF0000"/>
          <w:sz w:val="32"/>
          <w:szCs w:val="32"/>
        </w:rPr>
        <w:t>（</w:t>
      </w:r>
      <w:r>
        <w:rPr>
          <w:rFonts w:ascii="宋体" w:hAnsi="宋体"/>
          <w:color w:val="FF0000"/>
          <w:sz w:val="32"/>
          <w:szCs w:val="32"/>
        </w:rPr>
        <w:t>PLAN-2021-440301-0108001001-02054</w:t>
      </w:r>
      <w:r>
        <w:rPr>
          <w:rFonts w:hint="eastAsia" w:ascii="宋体" w:hAnsi="宋体"/>
          <w:color w:val="FF0000"/>
          <w:sz w:val="32"/>
          <w:szCs w:val="32"/>
        </w:rPr>
        <w:t>）</w:t>
      </w:r>
    </w:p>
    <w:p>
      <w:pPr>
        <w:spacing w:line="360" w:lineRule="auto"/>
      </w:pPr>
    </w:p>
    <w:p/>
    <w:p/>
    <w:p/>
    <w:p/>
    <w:p/>
    <w:p/>
    <w:p/>
    <w:p/>
    <w:p/>
    <w:p/>
    <w:p/>
    <w:p/>
    <w:p/>
    <w:p/>
    <w:p/>
    <w:p/>
    <w:p/>
    <w:p/>
    <w:p>
      <w:pPr>
        <w:spacing w:line="360" w:lineRule="auto"/>
        <w:jc w:val="center"/>
        <w:rPr>
          <w:rFonts w:ascii="宋体" w:hAnsi="宋体"/>
          <w:color w:val="000000"/>
          <w:sz w:val="32"/>
        </w:rPr>
      </w:pPr>
      <w:r>
        <w:rPr>
          <w:rFonts w:hint="eastAsia" w:ascii="宋体" w:hAnsi="宋体"/>
          <w:color w:val="000000"/>
          <w:sz w:val="32"/>
        </w:rPr>
        <w:t>深圳大学招投标管理中心</w:t>
      </w:r>
    </w:p>
    <w:p>
      <w:pPr>
        <w:spacing w:line="360" w:lineRule="auto"/>
        <w:jc w:val="center"/>
        <w:rPr>
          <w:rFonts w:ascii="宋体" w:hAnsi="宋体"/>
          <w:color w:val="000000"/>
          <w:sz w:val="32"/>
        </w:rPr>
      </w:pPr>
      <w:r>
        <w:rPr>
          <w:rFonts w:hint="eastAsia" w:ascii="宋体" w:hAnsi="宋体"/>
          <w:color w:val="FF0000"/>
          <w:sz w:val="32"/>
        </w:rPr>
        <w:t>二零二一年七月</w:t>
      </w:r>
    </w:p>
    <w:p>
      <w:pPr>
        <w:jc w:val="center"/>
      </w:pPr>
    </w:p>
    <w:p>
      <w:pPr>
        <w:pStyle w:val="2"/>
      </w:pPr>
      <w:r>
        <w:rPr>
          <w:rFonts w:hint="eastAsia"/>
        </w:rPr>
        <w:t>关键信息</w:t>
      </w:r>
    </w:p>
    <w:p>
      <w:pPr>
        <w:pStyle w:val="5"/>
        <w:rPr>
          <w:sz w:val="36"/>
          <w:szCs w:val="36"/>
        </w:rPr>
      </w:pPr>
      <w:r>
        <w:rPr>
          <w:rFonts w:hint="eastAsia"/>
          <w:sz w:val="36"/>
          <w:szCs w:val="36"/>
        </w:rPr>
        <w:t>项目信息</w:t>
      </w:r>
    </w:p>
    <w:p>
      <w:pPr>
        <w:rPr>
          <w:rFonts w:ascii="宋体" w:hAnsi="宋体"/>
          <w:sz w:val="32"/>
        </w:rPr>
      </w:pPr>
      <w:r>
        <w:rPr>
          <w:rFonts w:ascii="宋体" w:hAnsi="宋体"/>
          <w:sz w:val="32"/>
        </w:rPr>
        <w:t xml:space="preserve">      项目编号：  </w:t>
      </w:r>
      <w:r>
        <w:rPr>
          <w:rFonts w:hint="eastAsia" w:ascii="宋体" w:hAnsi="宋体"/>
          <w:color w:val="FF0000"/>
          <w:sz w:val="32"/>
          <w:szCs w:val="32"/>
        </w:rPr>
        <w:t>SZUCG20211585EQ</w:t>
      </w:r>
    </w:p>
    <w:p>
      <w:pPr>
        <w:ind w:left="2880" w:hanging="2880" w:hangingChars="900"/>
        <w:rPr>
          <w:rFonts w:ascii="宋体" w:hAnsi="宋体"/>
          <w:sz w:val="32"/>
        </w:rPr>
      </w:pPr>
      <w:r>
        <w:rPr>
          <w:rFonts w:ascii="宋体" w:hAnsi="宋体"/>
          <w:sz w:val="32"/>
        </w:rPr>
        <w:t xml:space="preserve">      项目名称：  </w:t>
      </w:r>
      <w:r>
        <w:rPr>
          <w:rFonts w:hint="eastAsia" w:ascii="宋体" w:hAnsi="宋体"/>
          <w:color w:val="FF0000"/>
          <w:sz w:val="32"/>
          <w:szCs w:val="32"/>
        </w:rPr>
        <w:t>微藻光合反应器及自动检测与温控系统</w:t>
      </w:r>
    </w:p>
    <w:p>
      <w:pPr>
        <w:rPr>
          <w:rFonts w:ascii="宋体" w:hAnsi="宋体"/>
          <w:sz w:val="32"/>
        </w:rPr>
      </w:pPr>
      <w:r>
        <w:rPr>
          <w:rFonts w:ascii="宋体" w:hAnsi="宋体"/>
          <w:sz w:val="32"/>
        </w:rPr>
        <w:t xml:space="preserve">      包   号：   </w:t>
      </w:r>
      <w:r>
        <w:rPr>
          <w:rFonts w:hint="eastAsia" w:ascii="宋体" w:hAnsi="宋体"/>
          <w:sz w:val="32"/>
        </w:rPr>
        <w:t>A</w:t>
      </w:r>
    </w:p>
    <w:p>
      <w:pPr>
        <w:rPr>
          <w:rFonts w:ascii="宋体" w:hAnsi="宋体"/>
          <w:sz w:val="32"/>
        </w:rPr>
      </w:pPr>
      <w:r>
        <w:rPr>
          <w:rFonts w:ascii="宋体" w:hAnsi="宋体"/>
          <w:sz w:val="32"/>
        </w:rPr>
        <w:t xml:space="preserve">      项目类型：  货物类</w:t>
      </w:r>
    </w:p>
    <w:p>
      <w:pPr>
        <w:rPr>
          <w:rFonts w:ascii="宋体" w:hAnsi="宋体"/>
          <w:sz w:val="32"/>
        </w:rPr>
      </w:pPr>
      <w:r>
        <w:rPr>
          <w:rFonts w:ascii="宋体" w:hAnsi="宋体"/>
          <w:sz w:val="32"/>
        </w:rPr>
        <w:t xml:space="preserve">      采购方式：  公开招标</w:t>
      </w:r>
    </w:p>
    <w:p>
      <w:pPr>
        <w:rPr>
          <w:rFonts w:ascii="宋体" w:hAnsi="宋体"/>
          <w:sz w:val="32"/>
        </w:rPr>
      </w:pPr>
      <w:r>
        <w:rPr>
          <w:rFonts w:ascii="宋体" w:hAnsi="宋体"/>
          <w:sz w:val="32"/>
        </w:rPr>
        <w:t xml:space="preserve">      货币类型：  人民币</w:t>
      </w:r>
    </w:p>
    <w:p>
      <w:pPr>
        <w:rPr>
          <w:rFonts w:ascii="宋体" w:hAnsi="宋体"/>
          <w:sz w:val="32"/>
        </w:rPr>
      </w:pPr>
      <w:r>
        <w:rPr>
          <w:rFonts w:hint="eastAsia" w:ascii="宋体" w:hAnsi="宋体"/>
          <w:sz w:val="32"/>
        </w:rPr>
        <w:t xml:space="preserve">      评标方法：</w:t>
      </w:r>
      <w:r>
        <w:rPr>
          <w:rFonts w:hint="eastAsia" w:ascii="宋体" w:hAnsi="宋体"/>
          <w:sz w:val="32"/>
        </w:rPr>
        <w:tab/>
      </w:r>
      <w:r>
        <w:rPr>
          <w:rFonts w:hint="eastAsia" w:ascii="宋体" w:hAnsi="宋体"/>
          <w:sz w:val="32"/>
        </w:rPr>
        <w:t>综合评分法</w:t>
      </w:r>
    </w:p>
    <w:p>
      <w:pPr>
        <w:ind w:firstLine="551" w:firstLineChars="196"/>
        <w:rPr>
          <w:b/>
          <w:color w:val="FF0000"/>
          <w:sz w:val="28"/>
          <w:szCs w:val="28"/>
        </w:rPr>
      </w:pPr>
    </w:p>
    <w:p>
      <w:pPr>
        <w:pStyle w:val="5"/>
        <w:rPr>
          <w:sz w:val="36"/>
        </w:rPr>
      </w:pPr>
      <w:r>
        <w:rPr>
          <w:rFonts w:hint="eastAsia"/>
          <w:sz w:val="36"/>
        </w:rPr>
        <w:t>投标文件初审表</w:t>
      </w:r>
    </w:p>
    <w:p>
      <w:pPr>
        <w:jc w:val="center"/>
        <w:rPr>
          <w:b/>
          <w:sz w:val="28"/>
          <w:szCs w:val="28"/>
        </w:rPr>
      </w:pPr>
      <w:r>
        <w:rPr>
          <w:rFonts w:hint="eastAsia"/>
          <w:b/>
          <w:sz w:val="28"/>
          <w:szCs w:val="28"/>
        </w:rPr>
        <w:t>资格性检查表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p>
      <w:pPr>
        <w:jc w:val="center"/>
        <w:rPr>
          <w:b/>
          <w:sz w:val="28"/>
          <w:szCs w:val="28"/>
        </w:rPr>
      </w:pPr>
      <w:r>
        <w:rPr>
          <w:rFonts w:hint="eastAsia"/>
          <w:b/>
          <w:sz w:val="28"/>
          <w:szCs w:val="28"/>
        </w:rPr>
        <w:t>符合性检查表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r>
              <w:rPr>
                <w:rFonts w:hint="eastAsia"/>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2</w:t>
            </w:r>
          </w:p>
        </w:tc>
        <w:tc>
          <w:tcPr>
            <w:tcW w:w="7457" w:type="dxa"/>
          </w:tcPr>
          <w:p>
            <w:r>
              <w:rPr>
                <w:rFonts w:hint="eastAsia"/>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3</w:t>
            </w:r>
          </w:p>
        </w:tc>
        <w:tc>
          <w:tcPr>
            <w:tcW w:w="7457" w:type="dxa"/>
          </w:tcPr>
          <w:p>
            <w:r>
              <w:rPr>
                <w:rFonts w:hint="eastAsia"/>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4</w:t>
            </w:r>
          </w:p>
        </w:tc>
        <w:tc>
          <w:tcPr>
            <w:tcW w:w="7457" w:type="dxa"/>
          </w:tcPr>
          <w:p>
            <w:r>
              <w:rPr>
                <w:rFonts w:hint="eastAsia"/>
              </w:rPr>
              <w:t>同一项目出现两个及以上报价，且根据招标文件通用条款“34.错误的修正”内容，无法确定有效报价的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5</w:t>
            </w:r>
          </w:p>
        </w:tc>
        <w:tc>
          <w:tcPr>
            <w:tcW w:w="7457" w:type="dxa"/>
          </w:tcPr>
          <w:p>
            <w:r>
              <w:rPr>
                <w:rFonts w:hint="eastAsia" w:ascii="宋体" w:hAnsi="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6</w:t>
            </w:r>
          </w:p>
        </w:tc>
        <w:tc>
          <w:tcPr>
            <w:tcW w:w="7457" w:type="dxa"/>
          </w:tcPr>
          <w:p>
            <w:r>
              <w:rPr>
                <w:rFonts w:hint="eastAsia"/>
              </w:rPr>
              <w:t>未按照货物明细清单要求逐项报价，投标报价有严重缺漏项目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7</w:t>
            </w:r>
          </w:p>
        </w:tc>
        <w:tc>
          <w:tcPr>
            <w:tcW w:w="7457" w:type="dxa"/>
          </w:tcPr>
          <w:p>
            <w:pPr>
              <w:rPr>
                <w:b/>
              </w:rPr>
            </w:pPr>
            <w:r>
              <w:rPr>
                <w:rFonts w:hint="eastAsia"/>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8</w:t>
            </w:r>
          </w:p>
        </w:tc>
        <w:tc>
          <w:tcPr>
            <w:tcW w:w="7457" w:type="dxa"/>
          </w:tcPr>
          <w:p>
            <w:pPr>
              <w:rPr>
                <w:b/>
              </w:rPr>
            </w:pPr>
            <w:r>
              <w:rPr>
                <w:rFonts w:hint="eastAsia"/>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9</w:t>
            </w:r>
          </w:p>
        </w:tc>
        <w:tc>
          <w:tcPr>
            <w:tcW w:w="7457" w:type="dxa"/>
          </w:tcPr>
          <w:p>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10</w:t>
            </w:r>
          </w:p>
        </w:tc>
        <w:tc>
          <w:tcPr>
            <w:tcW w:w="7457" w:type="dxa"/>
          </w:tcPr>
          <w:p>
            <w:pPr>
              <w:rPr>
                <w:b/>
              </w:rPr>
            </w:pPr>
            <w:r>
              <w:rPr>
                <w:rFonts w:hint="eastAsia"/>
                <w:color w:val="000000"/>
              </w:rPr>
              <w:t>对于拒绝进口的项目采用进口产品投标的；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11</w:t>
            </w:r>
          </w:p>
        </w:tc>
        <w:tc>
          <w:tcPr>
            <w:tcW w:w="7457" w:type="dxa"/>
          </w:tcPr>
          <w:p>
            <w:pPr>
              <w:rPr>
                <w:color w:val="000000"/>
              </w:rPr>
            </w:pPr>
            <w:r>
              <w:rPr>
                <w:rFonts w:hint="eastAsia"/>
                <w:color w:val="000000"/>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2</w:t>
            </w:r>
          </w:p>
        </w:tc>
        <w:tc>
          <w:tcPr>
            <w:tcW w:w="7457" w:type="dxa"/>
          </w:tcPr>
          <w:p>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3</w:t>
            </w:r>
          </w:p>
        </w:tc>
        <w:tc>
          <w:tcPr>
            <w:tcW w:w="7457" w:type="dxa"/>
          </w:tcPr>
          <w:p>
            <w:pPr>
              <w:rPr>
                <w:b/>
              </w:rPr>
            </w:pPr>
            <w:r>
              <w:rPr>
                <w:rFonts w:hint="eastAsia"/>
                <w:b/>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r>
              <w:rPr>
                <w:rFonts w:hint="eastAsia"/>
              </w:rPr>
              <w:t>4</w:t>
            </w:r>
          </w:p>
        </w:tc>
        <w:tc>
          <w:tcPr>
            <w:tcW w:w="7457" w:type="dxa"/>
          </w:tcPr>
          <w:p>
            <w:r>
              <w:rPr>
                <w:rFonts w:hint="eastAsia"/>
              </w:rPr>
              <w:t>法律、法规规定的其他情形</w:t>
            </w:r>
          </w:p>
        </w:tc>
      </w:tr>
    </w:tbl>
    <w:p/>
    <w:p/>
    <w:p>
      <w:pPr>
        <w:pStyle w:val="5"/>
        <w:rPr>
          <w:sz w:val="36"/>
        </w:rPr>
      </w:pPr>
      <w:r>
        <w:rPr>
          <w:sz w:val="36"/>
        </w:rPr>
        <w:t>评标信息</w:t>
      </w:r>
    </w:p>
    <w:p>
      <w:pPr>
        <w:rPr>
          <w:color w:val="FF0000"/>
        </w:rPr>
      </w:pPr>
      <w:bookmarkStart w:id="0" w:name="OLE_LINK2"/>
    </w:p>
    <w:p>
      <w:bookmarkStart w:id="1" w:name="OLE_LINK4"/>
      <w:bookmarkStart w:id="2" w:name="OLE_LINK3"/>
      <w:r>
        <w:rPr>
          <w:rFonts w:hint="eastAsia"/>
          <w:b/>
        </w:rPr>
        <w:t>评标方法：</w:t>
      </w:r>
      <w:r>
        <w:rPr>
          <w:rFonts w:hint="eastAsia"/>
        </w:rPr>
        <w:t>本项目评审方法采用 综合评分法（详见“第二册通用条款第七章”）。</w:t>
      </w:r>
    </w:p>
    <w:p>
      <w:pPr>
        <w:ind w:firstLine="411" w:firstLineChars="196"/>
        <w:rPr>
          <w:rFonts w:ascii="ˎ̥" w:hAnsi="ˎ̥"/>
        </w:rPr>
      </w:pP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rPr>
      </w:pPr>
      <w:r>
        <w:rPr>
          <w:rFonts w:hint="eastAsia" w:ascii="ˎ̥" w:hAnsi="ˎ̥"/>
        </w:rPr>
        <w:t>本项目</w:t>
      </w:r>
      <w:r>
        <w:rPr>
          <w:rFonts w:hint="eastAsia"/>
        </w:rPr>
        <w:t>中标供应商数量为 1 家。</w:t>
      </w:r>
    </w:p>
    <w:p/>
    <w:p/>
    <w:p>
      <w:pPr>
        <w:rPr>
          <w:b/>
        </w:rPr>
      </w:pPr>
      <w:r>
        <w:rPr>
          <w:rFonts w:hint="eastAsia"/>
          <w:b/>
        </w:rPr>
        <w:t>评标方法</w:t>
      </w:r>
      <w:r>
        <w:rPr>
          <w:b/>
        </w:rPr>
        <w:t>说明：</w:t>
      </w:r>
    </w:p>
    <w:p>
      <w:pPr>
        <w:ind w:firstLine="420" w:firstLineChars="200"/>
      </w:pPr>
      <w:r>
        <w:rPr>
          <w:rFonts w:hint="eastAsia"/>
        </w:rPr>
        <w:t>价格分采用低价优先法计算，即满足招标文件要求且投标价格最低的投标报价为评标基准价，其价格分为满分。其他投标人的价格分按照下列公式计算：</w:t>
      </w:r>
    </w:p>
    <w:p>
      <w:pPr>
        <w:ind w:firstLine="420"/>
      </w:pPr>
      <w:r>
        <w:rPr>
          <w:rFonts w:hint="eastAsia"/>
        </w:rPr>
        <w:t>价格分 =</w:t>
      </w:r>
      <w:r>
        <w:t xml:space="preserve"> </w:t>
      </w:r>
      <w:r>
        <w:rPr>
          <w:rFonts w:hint="eastAsia"/>
        </w:rPr>
        <w:t>(评标基准价／投标报价)×100</w:t>
      </w:r>
    </w:p>
    <w:p>
      <w:r>
        <w:rPr>
          <w:rFonts w:hint="eastAsia"/>
        </w:rPr>
        <w:t>　　评标总得分＝F1×A1＋F2×A2＋……＋Fn×An</w:t>
      </w:r>
    </w:p>
    <w:p>
      <w:r>
        <w:rPr>
          <w:rFonts w:hint="eastAsia"/>
        </w:rPr>
        <w:t>　　F1、F2……Fn分别为各项评审因素的得分；</w:t>
      </w:r>
    </w:p>
    <w:p>
      <w:pPr>
        <w:ind w:firstLine="420"/>
      </w:pPr>
      <w:r>
        <w:rPr>
          <w:rFonts w:hint="eastAsia"/>
        </w:rPr>
        <w:t>A1、A2、……An 分别为各项评审因素所占的权重(A1＋A2＋……＋An＝1)。</w:t>
      </w:r>
    </w:p>
    <w:p>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639"/>
        <w:gridCol w:w="2146"/>
        <w:gridCol w:w="913"/>
        <w:gridCol w:w="371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bookmarkStart w:id="3" w:name="OLE_LINK5"/>
            <w:r>
              <w:rPr>
                <w:rFonts w:hint="eastAsia" w:ascii="宋体" w:hAnsi="宋体"/>
                <w:szCs w:val="21"/>
              </w:rPr>
              <w:t>序号</w:t>
            </w:r>
          </w:p>
        </w:tc>
        <w:tc>
          <w:tcPr>
            <w:tcW w:w="3749" w:type="dxa"/>
            <w:gridSpan w:val="3"/>
            <w:vAlign w:val="center"/>
          </w:tcPr>
          <w:p>
            <w:pPr>
              <w:spacing w:line="240" w:lineRule="exact"/>
              <w:jc w:val="center"/>
              <w:rPr>
                <w:rFonts w:ascii="宋体" w:hAnsi="宋体"/>
                <w:szCs w:val="21"/>
              </w:rPr>
            </w:pPr>
            <w:r>
              <w:rPr>
                <w:rFonts w:hint="eastAsia" w:ascii="宋体" w:hAnsi="宋体"/>
                <w:szCs w:val="21"/>
              </w:rPr>
              <w:t>评分项</w:t>
            </w:r>
          </w:p>
        </w:tc>
        <w:tc>
          <w:tcPr>
            <w:tcW w:w="3766" w:type="dxa"/>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1</w:t>
            </w:r>
          </w:p>
        </w:tc>
        <w:tc>
          <w:tcPr>
            <w:tcW w:w="3749" w:type="dxa"/>
            <w:gridSpan w:val="3"/>
            <w:vAlign w:val="center"/>
          </w:tcPr>
          <w:p>
            <w:pPr>
              <w:spacing w:line="240" w:lineRule="exact"/>
              <w:jc w:val="center"/>
              <w:rPr>
                <w:rFonts w:ascii="宋体" w:hAnsi="宋体"/>
                <w:szCs w:val="21"/>
              </w:rPr>
            </w:pPr>
            <w:r>
              <w:rPr>
                <w:rFonts w:hint="eastAsia" w:ascii="宋体" w:hAnsi="宋体"/>
                <w:szCs w:val="21"/>
              </w:rPr>
              <w:t>价格</w:t>
            </w:r>
          </w:p>
        </w:tc>
        <w:tc>
          <w:tcPr>
            <w:tcW w:w="3766" w:type="dxa"/>
            <w:vAlign w:val="center"/>
          </w:tcPr>
          <w:p>
            <w:pPr>
              <w:spacing w:line="240" w:lineRule="exact"/>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2</w:t>
            </w:r>
          </w:p>
        </w:tc>
        <w:tc>
          <w:tcPr>
            <w:tcW w:w="3749" w:type="dxa"/>
            <w:gridSpan w:val="3"/>
            <w:vAlign w:val="center"/>
          </w:tcPr>
          <w:p>
            <w:pPr>
              <w:spacing w:line="240" w:lineRule="exact"/>
              <w:jc w:val="center"/>
              <w:rPr>
                <w:rFonts w:ascii="宋体" w:hAnsi="宋体"/>
                <w:szCs w:val="21"/>
              </w:rPr>
            </w:pPr>
            <w:r>
              <w:rPr>
                <w:rFonts w:hint="eastAsia" w:ascii="宋体" w:hAnsi="宋体"/>
                <w:szCs w:val="21"/>
              </w:rPr>
              <w:t>技术部分</w:t>
            </w:r>
          </w:p>
        </w:tc>
        <w:tc>
          <w:tcPr>
            <w:tcW w:w="3766" w:type="dxa"/>
            <w:vAlign w:val="center"/>
          </w:tcPr>
          <w:p>
            <w:pPr>
              <w:spacing w:line="240" w:lineRule="exact"/>
              <w:ind w:firstLine="1470" w:firstLineChars="700"/>
              <w:rPr>
                <w:rFonts w:ascii="宋体" w:hAnsi="宋体"/>
                <w:szCs w:val="21"/>
              </w:rPr>
            </w:pPr>
            <w:r>
              <w:rPr>
                <w:rFonts w:hint="eastAsia" w:ascii="宋体" w:hAnsi="宋体"/>
                <w:szCs w:val="21"/>
              </w:rPr>
              <w:t>5</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技术保障措施</w:t>
            </w:r>
          </w:p>
        </w:tc>
        <w:tc>
          <w:tcPr>
            <w:tcW w:w="918" w:type="dxa"/>
            <w:vAlign w:val="center"/>
          </w:tcPr>
          <w:p>
            <w:pPr>
              <w:spacing w:line="240" w:lineRule="exact"/>
              <w:jc w:val="center"/>
              <w:rPr>
                <w:rFonts w:ascii="宋体" w:hAnsi="宋体"/>
                <w:szCs w:val="21"/>
                <w:highlight w:val="yellow"/>
              </w:rPr>
            </w:pPr>
            <w:r>
              <w:rPr>
                <w:rFonts w:hint="eastAsia" w:ascii="宋体" w:hAnsi="宋体"/>
                <w:szCs w:val="21"/>
              </w:rPr>
              <w:t>3</w:t>
            </w:r>
          </w:p>
        </w:tc>
        <w:tc>
          <w:tcPr>
            <w:tcW w:w="3766" w:type="dxa"/>
            <w:vAlign w:val="center"/>
          </w:tcPr>
          <w:p>
            <w:pPr>
              <w:widowControl/>
              <w:jc w:val="left"/>
              <w:rPr>
                <w:rFonts w:cs="宋体"/>
              </w:rPr>
            </w:pPr>
            <w:r>
              <w:rPr>
                <w:rFonts w:hint="eastAsia" w:cs="宋体"/>
              </w:rPr>
              <w:t>在投标文件中详细说明技术保障措施（包括技术方案、实施计划、技术团队、管理制度、应急预案、辅助条件）等。</w:t>
            </w:r>
          </w:p>
          <w:p>
            <w:pPr>
              <w:widowControl/>
              <w:jc w:val="left"/>
              <w:rPr>
                <w:rFonts w:cs="宋体"/>
              </w:rPr>
            </w:pPr>
            <w:r>
              <w:rPr>
                <w:rFonts w:hint="eastAsia" w:cs="宋体"/>
              </w:rPr>
              <w:t>评分标准：</w:t>
            </w:r>
          </w:p>
          <w:p>
            <w:pPr>
              <w:widowControl/>
              <w:jc w:val="left"/>
              <w:rPr>
                <w:rFonts w:cs="宋体"/>
              </w:rPr>
            </w:pPr>
            <w:r>
              <w:rPr>
                <w:rFonts w:hint="eastAsia" w:cs="宋体"/>
              </w:rPr>
              <w:t>（1）有具体、完整、可行的技术保障措施且合理、先进、针对性好、抗风险能力强，得100分；</w:t>
            </w:r>
          </w:p>
          <w:p>
            <w:pPr>
              <w:widowControl/>
              <w:jc w:val="left"/>
              <w:rPr>
                <w:rFonts w:cs="宋体"/>
              </w:rPr>
            </w:pPr>
            <w:r>
              <w:rPr>
                <w:rFonts w:hint="eastAsia" w:cs="宋体"/>
              </w:rPr>
              <w:t>（2）有较为具体、完整、可行的技术保障措施且较为合理，但先进性、针对性和抗风险能力一般，得75分；</w:t>
            </w:r>
          </w:p>
          <w:p>
            <w:pPr>
              <w:widowControl/>
              <w:jc w:val="left"/>
              <w:rPr>
                <w:rFonts w:cs="宋体"/>
              </w:rPr>
            </w:pPr>
            <w:r>
              <w:rPr>
                <w:rFonts w:hint="eastAsia" w:cs="宋体"/>
              </w:rPr>
              <w:t>（3）有具体、可行的技术保障措施，但先进性、针对性和抗风险能力差的，得50分；</w:t>
            </w:r>
          </w:p>
          <w:p>
            <w:pPr>
              <w:widowControl/>
              <w:jc w:val="left"/>
              <w:rPr>
                <w:rFonts w:cs="宋体"/>
              </w:rPr>
            </w:pPr>
            <w:r>
              <w:rPr>
                <w:rFonts w:hint="eastAsia" w:cs="宋体"/>
              </w:rPr>
              <w:t>（4）没有技术保障措施的，得0分。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7"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after="160" w:line="240" w:lineRule="exact"/>
              <w:jc w:val="center"/>
              <w:rPr>
                <w:rFonts w:ascii="宋体" w:hAnsi="宋体" w:eastAsia="仿宋_GB2312"/>
                <w:sz w:val="24"/>
                <w:szCs w:val="21"/>
              </w:rPr>
            </w:pPr>
            <w:r>
              <w:rPr>
                <w:rFonts w:ascii="宋体" w:hAnsi="宋体" w:eastAsia="仿宋_GB2312"/>
                <w:sz w:val="24"/>
                <w:szCs w:val="21"/>
              </w:rPr>
              <w:t>2</w:t>
            </w:r>
          </w:p>
        </w:tc>
        <w:tc>
          <w:tcPr>
            <w:tcW w:w="2186" w:type="dxa"/>
            <w:vAlign w:val="center"/>
          </w:tcPr>
          <w:p>
            <w:pPr>
              <w:spacing w:line="240" w:lineRule="exact"/>
              <w:jc w:val="center"/>
              <w:rPr>
                <w:rFonts w:ascii="宋体" w:hAnsi="宋体"/>
                <w:szCs w:val="21"/>
              </w:rPr>
            </w:pPr>
            <w:r>
              <w:rPr>
                <w:rFonts w:hint="eastAsia" w:ascii="宋体" w:hAnsi="宋体" w:cs="宋体"/>
                <w:kern w:val="0"/>
              </w:rPr>
              <w:t>技术规格偏离情况</w:t>
            </w:r>
          </w:p>
        </w:tc>
        <w:tc>
          <w:tcPr>
            <w:tcW w:w="918" w:type="dxa"/>
            <w:vAlign w:val="center"/>
          </w:tcPr>
          <w:p>
            <w:pPr>
              <w:spacing w:after="160" w:line="240" w:lineRule="exact"/>
              <w:jc w:val="center"/>
              <w:rPr>
                <w:rFonts w:ascii="宋体" w:hAnsi="宋体" w:eastAsia="仿宋_GB2312"/>
                <w:sz w:val="24"/>
                <w:szCs w:val="21"/>
              </w:rPr>
            </w:pPr>
            <w:r>
              <w:rPr>
                <w:rFonts w:hint="eastAsia" w:ascii="宋体" w:hAnsi="宋体" w:cs="宋体"/>
                <w:szCs w:val="21"/>
              </w:rPr>
              <w:t>4</w:t>
            </w:r>
            <w:r>
              <w:rPr>
                <w:rFonts w:ascii="宋体" w:hAnsi="宋体" w:cs="宋体"/>
                <w:szCs w:val="21"/>
              </w:rPr>
              <w:t>7</w:t>
            </w:r>
          </w:p>
        </w:tc>
        <w:tc>
          <w:tcPr>
            <w:tcW w:w="3766" w:type="dxa"/>
            <w:vAlign w:val="center"/>
          </w:tcPr>
          <w:p>
            <w:pPr>
              <w:widowControl/>
              <w:jc w:val="left"/>
              <w:rPr>
                <w:rFonts w:ascii="宋体" w:hAnsi="宋体" w:cs="宋体"/>
                <w:color w:val="0000FF"/>
              </w:rPr>
            </w:pPr>
            <w:r>
              <w:rPr>
                <w:rFonts w:hint="eastAsia" w:cs="宋体"/>
              </w:rPr>
              <w:t>投标人应如实填写《技术规格偏离表》，评审委员会根据技术需求参数响应情况进行打分，各项技术参数指标及要求全部满足的得</w:t>
            </w:r>
            <w:r>
              <w:t>100</w:t>
            </w:r>
            <w:r>
              <w:rPr>
                <w:rFonts w:hint="eastAsia" w:cs="宋体"/>
              </w:rPr>
              <w:t>分。带★的参数为不可负偏离项，若负偏离即属于符合性检查表中“所投产品、工程、服务在质量、技术、方案等方面没有实质性满足招标文件要求”，初审不通过。带▲的参数为重要项，每负偏离一项扣</w:t>
            </w:r>
            <w:r>
              <w:rPr>
                <w:rFonts w:hint="eastAsia" w:cs="宋体"/>
                <w:lang w:val="en-US" w:eastAsia="zh-CN"/>
              </w:rPr>
              <w:t>8</w:t>
            </w:r>
            <w:r>
              <w:rPr>
                <w:rFonts w:hint="eastAsia" w:cs="宋体"/>
              </w:rPr>
              <w:t>分；普通参数每负偏离一项扣</w:t>
            </w:r>
            <w:r>
              <w:rPr>
                <w:rFonts w:hint="eastAsia" w:cs="宋体"/>
                <w:lang w:val="en-US" w:eastAsia="zh-CN"/>
              </w:rPr>
              <w:t>4</w:t>
            </w:r>
            <w:r>
              <w:rPr>
                <w:rFonts w:hint="eastAsia"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3</w:t>
            </w:r>
          </w:p>
        </w:tc>
        <w:tc>
          <w:tcPr>
            <w:tcW w:w="3749" w:type="dxa"/>
            <w:gridSpan w:val="3"/>
            <w:vAlign w:val="center"/>
          </w:tcPr>
          <w:p>
            <w:pPr>
              <w:spacing w:line="240" w:lineRule="exact"/>
              <w:jc w:val="center"/>
              <w:rPr>
                <w:rFonts w:ascii="宋体" w:hAnsi="宋体"/>
                <w:szCs w:val="21"/>
              </w:rPr>
            </w:pPr>
            <w:r>
              <w:rPr>
                <w:rFonts w:hint="eastAsia" w:ascii="宋体" w:hAnsi="宋体"/>
                <w:szCs w:val="21"/>
              </w:rPr>
              <w:t>商务需求</w:t>
            </w:r>
          </w:p>
        </w:tc>
        <w:tc>
          <w:tcPr>
            <w:tcW w:w="3766" w:type="dxa"/>
            <w:vAlign w:val="center"/>
          </w:tcPr>
          <w:p>
            <w:pPr>
              <w:spacing w:line="240" w:lineRule="exact"/>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免费保修期内售后服务条款偏离情况</w:t>
            </w:r>
          </w:p>
        </w:tc>
        <w:tc>
          <w:tcPr>
            <w:tcW w:w="918" w:type="dxa"/>
            <w:vAlign w:val="center"/>
          </w:tcPr>
          <w:p>
            <w:pPr>
              <w:spacing w:line="240" w:lineRule="exact"/>
              <w:jc w:val="center"/>
              <w:rPr>
                <w:rFonts w:ascii="宋体" w:hAnsi="宋体"/>
                <w:szCs w:val="21"/>
              </w:rPr>
            </w:pPr>
            <w:r>
              <w:rPr>
                <w:rFonts w:ascii="宋体" w:hAnsi="宋体"/>
                <w:szCs w:val="21"/>
              </w:rPr>
              <w:t>4</w:t>
            </w:r>
          </w:p>
        </w:tc>
        <w:tc>
          <w:tcPr>
            <w:tcW w:w="3766" w:type="dxa"/>
            <w:vAlign w:val="center"/>
          </w:tcPr>
          <w:p>
            <w:pPr>
              <w:rPr>
                <w:rFonts w:cs="宋体"/>
              </w:rPr>
            </w:pPr>
            <w:r>
              <w:rPr>
                <w:rFonts w:hint="eastAsia" w:cs="宋体"/>
              </w:rPr>
              <w:t>投标人应如实填写《免费保修期内售后服务条款偏离表》，评审委员会根据响应情况进行打分，全部满足要求的得</w:t>
            </w:r>
            <w:r>
              <w:t>100</w:t>
            </w:r>
            <w:r>
              <w:rPr>
                <w:rFonts w:hint="eastAsia" w:cs="宋体"/>
              </w:rPr>
              <w:t>分，每负偏离一项扣</w:t>
            </w:r>
            <w:r>
              <w:rPr>
                <w:rFonts w:cs="宋体"/>
              </w:rPr>
              <w:t>25</w:t>
            </w:r>
            <w:r>
              <w:rPr>
                <w:rFonts w:hint="eastAsia" w:cs="宋体"/>
              </w:rPr>
              <w:t>分。带★的参数为不可负偏离项，负偏离即投标无效。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cs="宋体"/>
              </w:rPr>
              <w:t>免费保修期外售后服务条款偏离情况</w:t>
            </w:r>
          </w:p>
        </w:tc>
        <w:tc>
          <w:tcPr>
            <w:tcW w:w="918" w:type="dxa"/>
            <w:vAlign w:val="center"/>
          </w:tcPr>
          <w:p>
            <w:pPr>
              <w:spacing w:line="240" w:lineRule="exact"/>
              <w:jc w:val="center"/>
              <w:rPr>
                <w:rFonts w:ascii="宋体" w:hAnsi="宋体"/>
                <w:szCs w:val="21"/>
              </w:rPr>
            </w:pPr>
            <w:r>
              <w:rPr>
                <w:rFonts w:ascii="宋体" w:hAnsi="宋体"/>
                <w:szCs w:val="21"/>
              </w:rPr>
              <w:t>1</w:t>
            </w:r>
          </w:p>
        </w:tc>
        <w:tc>
          <w:tcPr>
            <w:tcW w:w="3766" w:type="dxa"/>
            <w:vAlign w:val="center"/>
          </w:tcPr>
          <w:p>
            <w:pPr>
              <w:rPr>
                <w:rFonts w:cs="宋体"/>
              </w:rPr>
            </w:pPr>
            <w:r>
              <w:rPr>
                <w:rFonts w:hint="eastAsia" w:cs="宋体"/>
              </w:rPr>
              <w:t>投标人应如实填写《免费保修期外售后服务条款偏离表》，评审委员会根据响应情况进行打分，全部满足要求的得</w:t>
            </w:r>
            <w:r>
              <w:t>100</w:t>
            </w:r>
            <w:r>
              <w:rPr>
                <w:rFonts w:hint="eastAsia" w:cs="宋体"/>
              </w:rPr>
              <w:t>分，每负偏离一项扣100分。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3</w:t>
            </w:r>
          </w:p>
        </w:tc>
        <w:tc>
          <w:tcPr>
            <w:tcW w:w="2186" w:type="dxa"/>
            <w:vAlign w:val="center"/>
          </w:tcPr>
          <w:p>
            <w:pPr>
              <w:spacing w:line="240" w:lineRule="exact"/>
              <w:jc w:val="center"/>
              <w:rPr>
                <w:rFonts w:ascii="宋体" w:hAnsi="宋体"/>
                <w:szCs w:val="21"/>
              </w:rPr>
            </w:pPr>
            <w:r>
              <w:rPr>
                <w:rFonts w:hint="eastAsia" w:ascii="宋体" w:hAnsi="宋体"/>
                <w:szCs w:val="21"/>
              </w:rPr>
              <w:t>其他商务条款偏离情况</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66" w:type="dxa"/>
            <w:vAlign w:val="center"/>
          </w:tcPr>
          <w:p>
            <w:pPr>
              <w:rPr>
                <w:rFonts w:cs="宋体"/>
              </w:rPr>
            </w:pPr>
            <w:r>
              <w:rPr>
                <w:rFonts w:hint="eastAsia" w:cs="宋体"/>
              </w:rPr>
              <w:t>投标人应如实填写《其他商务条款偏离表》，评审委员会根据响应情况进行打分，全部满足要求的得100分，每负偏离一项扣20分。带★的参数为不可负偏离项，负偏离即投标无效。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4</w:t>
            </w:r>
          </w:p>
        </w:tc>
        <w:tc>
          <w:tcPr>
            <w:tcW w:w="374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诚信情况</w:t>
            </w:r>
          </w:p>
        </w:tc>
        <w:tc>
          <w:tcPr>
            <w:tcW w:w="3772" w:type="dxa"/>
            <w:gridSpan w:val="2"/>
            <w:tcBorders>
              <w:top w:val="single" w:color="auto" w:sz="4" w:space="0"/>
              <w:left w:val="single" w:color="auto" w:sz="4" w:space="0"/>
              <w:bottom w:val="single" w:color="auto" w:sz="4" w:space="0"/>
              <w:right w:val="single" w:color="auto" w:sz="4" w:space="0"/>
            </w:tcBorders>
            <w:vAlign w:val="center"/>
          </w:tcPr>
          <w:p>
            <w:pPr>
              <w:pStyle w:val="37"/>
              <w:numPr>
                <w:ilvl w:val="12"/>
                <w:numId w:val="0"/>
              </w:numPr>
              <w:pBdr>
                <w:bottom w:val="none" w:color="auto" w:sz="0" w:space="0"/>
              </w:pBdr>
              <w:tabs>
                <w:tab w:val="left" w:pos="420"/>
              </w:tabs>
              <w:spacing w:line="300" w:lineRule="auto"/>
              <w:rPr>
                <w:rFonts w:ascii="宋体" w:hAnsi="宋体"/>
                <w:sz w:val="21"/>
                <w:szCs w:val="21"/>
              </w:rPr>
            </w:pPr>
            <w:r>
              <w:rPr>
                <w:rFonts w:hint="eastAsia"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诚信</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72" w:type="dxa"/>
            <w:gridSpan w:val="2"/>
          </w:tcPr>
          <w:p>
            <w:pPr>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szCs w:val="21"/>
              </w:rPr>
              <w:t>履约</w:t>
            </w:r>
          </w:p>
        </w:tc>
        <w:tc>
          <w:tcPr>
            <w:tcW w:w="918" w:type="dxa"/>
            <w:vAlign w:val="center"/>
          </w:tcPr>
          <w:p>
            <w:pPr>
              <w:spacing w:line="240" w:lineRule="exact"/>
              <w:jc w:val="center"/>
              <w:rPr>
                <w:rFonts w:ascii="宋体" w:hAnsi="宋体"/>
                <w:szCs w:val="21"/>
              </w:rPr>
            </w:pPr>
            <w:r>
              <w:rPr>
                <w:rFonts w:ascii="宋体" w:hAnsi="宋体"/>
                <w:szCs w:val="21"/>
              </w:rPr>
              <w:t>2</w:t>
            </w:r>
          </w:p>
        </w:tc>
        <w:tc>
          <w:tcPr>
            <w:tcW w:w="3772" w:type="dxa"/>
            <w:gridSpan w:val="2"/>
          </w:tcPr>
          <w:p>
            <w:pPr>
              <w:pStyle w:val="37"/>
              <w:numPr>
                <w:ilvl w:val="12"/>
                <w:numId w:val="0"/>
              </w:numPr>
              <w:pBdr>
                <w:bottom w:val="none" w:color="auto" w:sz="0" w:space="0"/>
              </w:pBdr>
              <w:tabs>
                <w:tab w:val="clear" w:pos="4153"/>
                <w:tab w:val="clear" w:pos="8306"/>
              </w:tabs>
              <w:spacing w:line="300" w:lineRule="auto"/>
              <w:jc w:val="both"/>
              <w:rPr>
                <w:rFonts w:ascii="宋体" w:hAnsi="宋体" w:cs="宋体"/>
                <w:sz w:val="21"/>
                <w:szCs w:val="21"/>
              </w:rPr>
            </w:pPr>
            <w:r>
              <w:rPr>
                <w:rFonts w:hint="eastAsia" w:ascii="宋体" w:hAnsi="宋体"/>
                <w:sz w:val="21"/>
                <w:szCs w:val="21"/>
              </w:rPr>
              <w:t>近三年（以投标截止日期为准）在深圳</w:t>
            </w:r>
            <w:r>
              <w:rPr>
                <w:rFonts w:ascii="宋体" w:hAnsi="宋体"/>
                <w:sz w:val="21"/>
                <w:szCs w:val="21"/>
              </w:rPr>
              <w:t>大学</w:t>
            </w:r>
            <w:r>
              <w:rPr>
                <w:rFonts w:hint="eastAsia" w:ascii="宋体" w:hAnsi="宋体"/>
                <w:sz w:val="21"/>
                <w:szCs w:val="21"/>
              </w:rPr>
              <w:t>组织</w:t>
            </w:r>
            <w:r>
              <w:rPr>
                <w:rFonts w:ascii="宋体" w:hAnsi="宋体"/>
                <w:sz w:val="21"/>
                <w:szCs w:val="21"/>
              </w:rPr>
              <w:t>的采购活动</w:t>
            </w:r>
            <w:r>
              <w:rPr>
                <w:rFonts w:hint="eastAsia" w:ascii="宋体" w:hAnsi="宋体"/>
                <w:sz w:val="21"/>
                <w:szCs w:val="21"/>
              </w:rPr>
              <w:t>中有履约评价为差的记录，本项不得分，否则，得满分。</w:t>
            </w:r>
            <w:r>
              <w:rPr>
                <w:rFonts w:hint="eastAsia" w:ascii="宋体" w:hAnsi="宋体" w:cs="宋体"/>
                <w:sz w:val="21"/>
                <w:szCs w:val="21"/>
              </w:rPr>
              <w:t>投标人无需提供任何证明材料，由工作人员向评委会提供相关信息。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5</w:t>
            </w:r>
          </w:p>
        </w:tc>
        <w:tc>
          <w:tcPr>
            <w:tcW w:w="3749" w:type="dxa"/>
            <w:gridSpan w:val="3"/>
            <w:vAlign w:val="center"/>
          </w:tcPr>
          <w:p>
            <w:pPr>
              <w:spacing w:line="240" w:lineRule="exact"/>
              <w:jc w:val="center"/>
              <w:rPr>
                <w:rFonts w:ascii="宋体" w:hAnsi="宋体"/>
                <w:szCs w:val="21"/>
              </w:rPr>
            </w:pPr>
            <w:r>
              <w:rPr>
                <w:rFonts w:hint="eastAsia" w:ascii="宋体" w:hAnsi="宋体"/>
                <w:szCs w:val="21"/>
              </w:rPr>
              <w:t>综合实力部分</w:t>
            </w:r>
          </w:p>
        </w:tc>
        <w:tc>
          <w:tcPr>
            <w:tcW w:w="3772" w:type="dxa"/>
            <w:gridSpan w:val="2"/>
            <w:vAlign w:val="center"/>
          </w:tcPr>
          <w:p>
            <w:pPr>
              <w:pStyle w:val="37"/>
              <w:numPr>
                <w:ilvl w:val="12"/>
                <w:numId w:val="0"/>
              </w:numPr>
              <w:pBdr>
                <w:bottom w:val="none" w:color="auto" w:sz="0" w:space="0"/>
              </w:pBdr>
              <w:tabs>
                <w:tab w:val="clear" w:pos="4153"/>
                <w:tab w:val="clear" w:pos="8306"/>
              </w:tabs>
              <w:spacing w:line="300" w:lineRule="auto"/>
              <w:rPr>
                <w:rFonts w:ascii="宋体" w:hAnsi="宋体"/>
                <w:sz w:val="21"/>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after="160" w:line="240" w:lineRule="exact"/>
              <w:jc w:val="center"/>
              <w:rPr>
                <w:rFonts w:ascii="宋体" w:hAnsi="宋体" w:eastAsia="仿宋_GB2312"/>
                <w:sz w:val="24"/>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投标人近三年同类业绩（以合同时间为准，截止日为本项目公告发布之日）</w:t>
            </w:r>
          </w:p>
        </w:tc>
        <w:tc>
          <w:tcPr>
            <w:tcW w:w="918" w:type="dxa"/>
            <w:vAlign w:val="center"/>
          </w:tcPr>
          <w:p>
            <w:pPr>
              <w:spacing w:line="240" w:lineRule="exact"/>
              <w:jc w:val="center"/>
              <w:rPr>
                <w:rFonts w:ascii="宋体" w:hAnsi="宋体"/>
                <w:szCs w:val="21"/>
              </w:rPr>
            </w:pPr>
            <w:r>
              <w:rPr>
                <w:rFonts w:hint="eastAsia" w:ascii="宋体" w:hAnsi="宋体"/>
                <w:szCs w:val="21"/>
              </w:rPr>
              <w:t>3</w:t>
            </w:r>
          </w:p>
        </w:tc>
        <w:tc>
          <w:tcPr>
            <w:tcW w:w="3772" w:type="dxa"/>
            <w:gridSpan w:val="2"/>
            <w:vAlign w:val="center"/>
          </w:tcPr>
          <w:p>
            <w:pPr>
              <w:pStyle w:val="37"/>
              <w:numPr>
                <w:ilvl w:val="12"/>
                <w:numId w:val="0"/>
              </w:numPr>
              <w:pBdr>
                <w:bottom w:val="none" w:color="auto" w:sz="0" w:space="0"/>
              </w:pBdr>
              <w:tabs>
                <w:tab w:val="clear" w:pos="4153"/>
                <w:tab w:val="clear" w:pos="8306"/>
              </w:tabs>
              <w:spacing w:line="300" w:lineRule="auto"/>
              <w:jc w:val="both"/>
              <w:rPr>
                <w:rFonts w:ascii="宋体" w:hAnsi="宋体"/>
                <w:sz w:val="21"/>
                <w:szCs w:val="21"/>
              </w:rPr>
            </w:pPr>
            <w:r>
              <w:rPr>
                <w:rFonts w:hint="eastAsia" w:ascii="宋体" w:hAnsi="宋体"/>
                <w:sz w:val="21"/>
                <w:szCs w:val="21"/>
              </w:rPr>
              <w:t>考察投标人近三年（</w:t>
            </w:r>
            <w:r>
              <w:rPr>
                <w:rFonts w:ascii="宋体" w:hAnsi="宋体"/>
                <w:sz w:val="21"/>
                <w:szCs w:val="21"/>
              </w:rPr>
              <w:t>2018</w:t>
            </w:r>
            <w:r>
              <w:rPr>
                <w:rFonts w:hint="eastAsia" w:ascii="宋体" w:hAnsi="宋体"/>
                <w:sz w:val="21"/>
                <w:szCs w:val="21"/>
              </w:rPr>
              <w:t>年</w:t>
            </w:r>
            <w:r>
              <w:rPr>
                <w:rFonts w:ascii="宋体" w:hAnsi="宋体"/>
                <w:sz w:val="21"/>
                <w:szCs w:val="21"/>
              </w:rPr>
              <w:t>07</w:t>
            </w:r>
            <w:r>
              <w:rPr>
                <w:rFonts w:hint="eastAsia" w:ascii="宋体" w:hAnsi="宋体"/>
                <w:sz w:val="21"/>
                <w:szCs w:val="21"/>
              </w:rPr>
              <w:t>月至本项目招标公告发布之日，以合同签订时间为准）同类（同类指的是与投标产品相同品牌相同类型的产品，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pPr>
        <w:widowControl/>
        <w:jc w:val="left"/>
      </w:pPr>
    </w:p>
    <w:p>
      <w:pPr>
        <w:widowControl/>
        <w:jc w:val="left"/>
      </w:pPr>
      <w:r>
        <w:br w:type="page"/>
      </w:r>
    </w:p>
    <w:p>
      <w:pPr>
        <w:pStyle w:val="2"/>
      </w:pPr>
      <w:r>
        <w:rPr>
          <w:rFonts w:hint="eastAsia"/>
        </w:rPr>
        <w:t>目   录</w:t>
      </w:r>
    </w:p>
    <w:p>
      <w:pPr>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第二章  招标项目需求</w:t>
      </w:r>
    </w:p>
    <w:p>
      <w:pPr>
        <w:ind w:left="630" w:leftChars="300" w:firstLine="630" w:firstLineChars="300"/>
        <w:rPr>
          <w:rFonts w:ascii="宋体" w:hAnsi="宋体"/>
          <w:szCs w:val="21"/>
        </w:rPr>
      </w:pPr>
      <w:r>
        <w:rPr>
          <w:rFonts w:hint="eastAsia" w:ascii="宋体" w:hAnsi="宋体"/>
          <w:szCs w:val="21"/>
        </w:rPr>
        <w:t>第三章  投标文件格式、附件</w:t>
      </w:r>
    </w:p>
    <w:p>
      <w:pPr>
        <w:ind w:left="630" w:leftChars="300" w:firstLine="630" w:firstLineChars="300"/>
        <w:rPr>
          <w:rFonts w:ascii="宋体" w:hAnsi="宋体"/>
          <w:szCs w:val="21"/>
        </w:rPr>
      </w:pPr>
      <w:r>
        <w:rPr>
          <w:rFonts w:hint="eastAsia" w:ascii="宋体" w:hAnsi="宋体"/>
          <w:szCs w:val="21"/>
        </w:rPr>
        <w:t>第四章  合同条款及格式</w:t>
      </w:r>
    </w:p>
    <w:p>
      <w:pPr>
        <w:ind w:left="630" w:leftChars="300" w:firstLine="630" w:firstLineChars="300"/>
        <w:rPr>
          <w:rFonts w:ascii="宋体" w:hAnsi="宋体"/>
          <w:szCs w:val="21"/>
        </w:rPr>
      </w:pPr>
      <w:r>
        <w:rPr>
          <w:rFonts w:hint="eastAsia" w:ascii="宋体" w:hAnsi="宋体"/>
          <w:szCs w:val="21"/>
        </w:rPr>
        <w:t>第五章  政府采购履约异常情况反馈表</w:t>
      </w:r>
    </w:p>
    <w:p>
      <w:pPr>
        <w:rPr>
          <w:b/>
          <w:sz w:val="24"/>
        </w:rPr>
      </w:pPr>
    </w:p>
    <w:p>
      <w:pPr>
        <w:rPr>
          <w:b/>
          <w:sz w:val="24"/>
        </w:rPr>
      </w:pPr>
      <w:r>
        <w:rPr>
          <w:rFonts w:hint="eastAsia"/>
          <w:b/>
          <w:sz w:val="24"/>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rPr>
          <w:sz w:val="24"/>
        </w:rPr>
      </w:pPr>
    </w:p>
    <w:p>
      <w:pPr>
        <w:pStyle w:val="2"/>
      </w:pPr>
      <w:r>
        <w:rPr>
          <w:sz w:val="24"/>
        </w:rPr>
        <w:br w:type="page"/>
      </w:r>
      <w:bookmarkStart w:id="4" w:name="bt投标文件签署授权委托书"/>
      <w:bookmarkEnd w:id="4"/>
      <w:bookmarkStart w:id="5" w:name="bt技术标投标文件格式"/>
      <w:bookmarkEnd w:id="5"/>
      <w:bookmarkStart w:id="6" w:name="bt其他资料2"/>
      <w:bookmarkEnd w:id="6"/>
      <w:bookmarkStart w:id="7" w:name="bt开标一览表"/>
      <w:bookmarkEnd w:id="7"/>
      <w:bookmarkStart w:id="8" w:name="bt合同格式"/>
      <w:bookmarkEnd w:id="8"/>
      <w:bookmarkStart w:id="9" w:name="合同格式"/>
      <w:bookmarkEnd w:id="9"/>
      <w:bookmarkStart w:id="10" w:name="bt合同条款及格式"/>
      <w:bookmarkEnd w:id="10"/>
      <w:bookmarkStart w:id="11" w:name="bt其他资料由投标人自定"/>
      <w:bookmarkEnd w:id="11"/>
      <w:bookmarkStart w:id="12" w:name="bt投标报价汇总表"/>
      <w:bookmarkEnd w:id="12"/>
      <w:bookmarkStart w:id="13" w:name="bt商务标投标文件格式"/>
      <w:bookmarkEnd w:id="13"/>
      <w:bookmarkStart w:id="14" w:name="bt本工程承诺书"/>
      <w:bookmarkEnd w:id="14"/>
      <w:bookmarkStart w:id="15" w:name="bt投标人情况介绍"/>
      <w:bookmarkEnd w:id="15"/>
      <w:bookmarkStart w:id="16" w:name="bt合同条款"/>
      <w:bookmarkEnd w:id="16"/>
      <w:bookmarkStart w:id="17" w:name="bt投标人须知"/>
      <w:bookmarkEnd w:id="17"/>
      <w:bookmarkStart w:id="18" w:name="bt投标函"/>
      <w:bookmarkEnd w:id="18"/>
      <w:bookmarkStart w:id="19" w:name="bt说明"/>
      <w:bookmarkEnd w:id="19"/>
      <w:bookmarkStart w:id="20" w:name="bt项目管理班子配备情况"/>
      <w:bookmarkEnd w:id="20"/>
      <w:r>
        <w:rPr>
          <w:rFonts w:hint="eastAsia"/>
        </w:rPr>
        <w:t>第一册  专用条款</w:t>
      </w:r>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cs="宋体"/>
          <w:kern w:val="0"/>
          <w:szCs w:val="21"/>
        </w:rPr>
        <w:t xml:space="preserve">根据《深圳经济特区政府采购条例》和《深圳大学采购管理办法》的有关规定，深圳大学招投标管理中心就 </w:t>
      </w:r>
      <w:r>
        <w:rPr>
          <w:rFonts w:hint="eastAsia" w:ascii="宋体" w:hAnsi="宋体" w:cs="宋体"/>
          <w:color w:val="FF0000"/>
          <w:kern w:val="0"/>
          <w:sz w:val="24"/>
          <w:u w:val="single"/>
        </w:rPr>
        <w:t>微藻光合反应器及自动检测与温控系统</w:t>
      </w:r>
      <w:r>
        <w:rPr>
          <w:rFonts w:hint="eastAsia" w:ascii="宋体" w:hAnsi="宋体" w:cs="宋体"/>
          <w:color w:val="FF0000"/>
          <w:kern w:val="0"/>
          <w:szCs w:val="21"/>
          <w:u w:val="single"/>
        </w:rPr>
        <w:t xml:space="preserve"> </w:t>
      </w:r>
      <w:r>
        <w:rPr>
          <w:rFonts w:hint="eastAsia" w:ascii="宋体" w:hAnsi="宋体" w:cs="宋体"/>
          <w:kern w:val="0"/>
          <w:szCs w:val="21"/>
        </w:rPr>
        <w:t>项目，进行</w:t>
      </w:r>
      <w:r>
        <w:rPr>
          <w:rFonts w:hint="eastAsia" w:ascii="宋体" w:hAnsi="宋体" w:cs="宋体"/>
          <w:color w:val="000000"/>
          <w:kern w:val="0"/>
          <w:szCs w:val="21"/>
        </w:rPr>
        <w:t>公开招标</w:t>
      </w:r>
      <w:r>
        <w:rPr>
          <w:rFonts w:hint="eastAsia" w:ascii="宋体" w:hAnsi="宋体" w:cs="宋体"/>
          <w:kern w:val="0"/>
          <w:szCs w:val="21"/>
        </w:rPr>
        <w:t>，欢迎符合资格的供应商参加投标。</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一、项目编号：</w:t>
      </w:r>
      <w:r>
        <w:rPr>
          <w:rFonts w:ascii="宋体" w:hAnsi="宋体"/>
          <w:color w:val="FF0000"/>
          <w:szCs w:val="21"/>
        </w:rPr>
        <w:t>SZUCG20211585EQ</w:t>
      </w:r>
    </w:p>
    <w:p>
      <w:pPr>
        <w:rPr>
          <w:rFonts w:ascii="宋体" w:hAnsi="宋体" w:cs="宋体"/>
          <w:color w:val="FF0000"/>
          <w:kern w:val="0"/>
          <w:szCs w:val="21"/>
        </w:rPr>
      </w:pPr>
      <w:r>
        <w:rPr>
          <w:rFonts w:hint="eastAsia" w:ascii="宋体" w:hAnsi="宋体" w:cs="宋体"/>
          <w:kern w:val="0"/>
          <w:szCs w:val="21"/>
        </w:rPr>
        <w:t>二、项目名称：</w:t>
      </w:r>
      <w:r>
        <w:rPr>
          <w:rFonts w:hint="eastAsia" w:ascii="宋体" w:hAnsi="宋体" w:cs="宋体"/>
          <w:color w:val="FF0000"/>
          <w:kern w:val="0"/>
          <w:szCs w:val="21"/>
        </w:rPr>
        <w:t>微藻光合反应器及自动检测与温控系统</w:t>
      </w:r>
    </w:p>
    <w:p>
      <w:pPr>
        <w:rPr>
          <w:rFonts w:ascii="宋体" w:hAnsi="宋体" w:cs="宋体"/>
          <w:kern w:val="0"/>
          <w:szCs w:val="21"/>
        </w:rPr>
      </w:pPr>
      <w:r>
        <w:rPr>
          <w:rFonts w:hint="eastAsia" w:ascii="宋体" w:hAnsi="宋体" w:cs="宋体"/>
          <w:kern w:val="0"/>
          <w:szCs w:val="21"/>
        </w:rPr>
        <w:t>三、项目概况：</w:t>
      </w:r>
    </w:p>
    <w:p>
      <w:pPr>
        <w:ind w:firstLine="420" w:firstLineChars="200"/>
        <w:rPr>
          <w:rFonts w:ascii="宋体" w:hAnsi="宋体" w:cs="宋体"/>
          <w:kern w:val="0"/>
          <w:szCs w:val="21"/>
        </w:rPr>
      </w:pPr>
      <w:r>
        <w:rPr>
          <w:rFonts w:hint="eastAsia" w:ascii="宋体" w:hAnsi="宋体" w:cs="宋体"/>
          <w:kern w:val="0"/>
          <w:szCs w:val="21"/>
        </w:rPr>
        <w:t xml:space="preserve">详见招标文件。   </w:t>
      </w:r>
    </w:p>
    <w:p>
      <w:pPr>
        <w:ind w:firstLine="420" w:firstLineChars="200"/>
        <w:rPr>
          <w:rFonts w:ascii="宋体" w:hAnsi="宋体" w:cs="宋体"/>
          <w:kern w:val="0"/>
          <w:szCs w:val="21"/>
        </w:rPr>
      </w:pPr>
      <w:r>
        <w:rPr>
          <w:rFonts w:ascii="宋体" w:hAnsi="宋体" w:cs="宋体"/>
          <w:kern w:val="0"/>
          <w:szCs w:val="21"/>
        </w:rPr>
        <w:t xml:space="preserve">    </w:t>
      </w:r>
    </w:p>
    <w:p>
      <w:pPr>
        <w:rPr>
          <w:rFonts w:ascii="宋体" w:hAnsi="宋体" w:cs="宋体"/>
          <w:kern w:val="0"/>
          <w:szCs w:val="21"/>
        </w:rPr>
      </w:pPr>
      <w:r>
        <w:rPr>
          <w:rFonts w:hint="eastAsia" w:ascii="宋体" w:hAnsi="宋体" w:cs="宋体"/>
          <w:kern w:val="0"/>
          <w:szCs w:val="21"/>
        </w:rPr>
        <w:t>四、投标人资格要求：</w:t>
      </w:r>
    </w:p>
    <w:p>
      <w:pPr>
        <w:ind w:firstLine="420" w:firstLineChars="200"/>
        <w:rPr>
          <w:rFonts w:ascii="宋体" w:hAnsi="宋体" w:cs="宋体"/>
          <w:kern w:val="0"/>
          <w:szCs w:val="21"/>
        </w:rPr>
      </w:pPr>
      <w:r>
        <w:rPr>
          <w:rFonts w:ascii="宋体" w:hAnsi="宋体" w:cs="宋体"/>
          <w:kern w:val="0"/>
          <w:szCs w:val="21"/>
        </w:rPr>
        <w:t xml:space="preserve">      </w:t>
      </w:r>
    </w:p>
    <w:p>
      <w:pPr>
        <w:ind w:firstLine="420" w:firstLineChars="200"/>
        <w:rPr>
          <w:rFonts w:ascii="宋体" w:hAnsi="宋体" w:cs="宋体"/>
          <w:kern w:val="0"/>
          <w:szCs w:val="21"/>
        </w:rPr>
      </w:pPr>
      <w:r>
        <w:rPr>
          <w:rFonts w:hint="eastAsia" w:ascii="宋体" w:hAnsi="宋体" w:cs="宋体"/>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pPr>
        <w:ind w:firstLine="420" w:firstLineChars="200"/>
        <w:rPr>
          <w:rFonts w:ascii="宋体" w:hAnsi="宋体" w:cs="宋体"/>
          <w:kern w:val="0"/>
          <w:szCs w:val="21"/>
        </w:rPr>
      </w:pPr>
      <w:r>
        <w:rPr>
          <w:rFonts w:hint="eastAsia" w:ascii="宋体" w:hAnsi="宋体" w:cs="宋体"/>
          <w:kern w:val="0"/>
          <w:szCs w:val="21"/>
        </w:rPr>
        <w:t>2. 参与本项目投标前三年内，在经营活动中没有重大违法记录（由供应商在《投标及履约承诺函》中作出声明）。</w:t>
      </w:r>
    </w:p>
    <w:p>
      <w:pPr>
        <w:ind w:firstLine="420" w:firstLineChars="200"/>
        <w:rPr>
          <w:rFonts w:ascii="宋体" w:hAnsi="宋体" w:cs="宋体"/>
          <w:kern w:val="0"/>
          <w:szCs w:val="21"/>
        </w:rPr>
      </w:pPr>
      <w:r>
        <w:rPr>
          <w:rFonts w:hint="eastAsia" w:ascii="宋体" w:hAnsi="宋体" w:cs="宋体"/>
          <w:kern w:val="0"/>
          <w:szCs w:val="21"/>
        </w:rPr>
        <w:t>3. 参与本项目政府采购活动时不存在被有关部门禁止参与政府采购活动且在有效期内的情况（由供应商在《投标及履约承诺函》中作出声明）。</w:t>
      </w:r>
    </w:p>
    <w:p>
      <w:pPr>
        <w:ind w:firstLine="420"/>
        <w:rPr>
          <w:rFonts w:ascii="宋体" w:hAnsi="宋体" w:cs="宋体"/>
          <w:kern w:val="0"/>
          <w:szCs w:val="21"/>
        </w:rPr>
      </w:pPr>
      <w:r>
        <w:rPr>
          <w:rFonts w:ascii="宋体" w:hAnsi="宋体" w:cs="宋体"/>
          <w:kern w:val="0"/>
          <w:szCs w:val="21"/>
        </w:rPr>
        <w:t xml:space="preserve">4. </w:t>
      </w:r>
      <w:r>
        <w:rPr>
          <w:rFonts w:hint="eastAsia" w:ascii="宋体" w:hAnsi="宋体" w:cs="宋体"/>
          <w:kern w:val="0"/>
          <w:szCs w:val="21"/>
        </w:rPr>
        <w:t>本项目拒绝投标人选用进口产品参与投标（进口产品是指通过海关验放进入中国境内且产自关境外的进口产品）。</w:t>
      </w:r>
    </w:p>
    <w:p>
      <w:pPr>
        <w:ind w:firstLine="420" w:firstLineChars="200"/>
        <w:rPr>
          <w:rFonts w:ascii="宋体" w:hAnsi="宋体" w:cs="宋体"/>
          <w:kern w:val="0"/>
          <w:szCs w:val="21"/>
        </w:rPr>
      </w:pPr>
      <w:r>
        <w:rPr>
          <w:rFonts w:ascii="宋体" w:hAnsi="宋体" w:cs="宋体"/>
          <w:kern w:val="0"/>
          <w:szCs w:val="21"/>
        </w:rPr>
        <w:t>5</w:t>
      </w:r>
      <w:r>
        <w:rPr>
          <w:rFonts w:hint="eastAsia" w:ascii="宋体" w:hAnsi="宋体" w:cs="宋体"/>
          <w:kern w:val="0"/>
          <w:szCs w:val="21"/>
        </w:rPr>
        <w:t>. 本项目不接受联合体投标。</w:t>
      </w:r>
    </w:p>
    <w:p>
      <w:pPr>
        <w:ind w:firstLine="420" w:firstLineChars="200"/>
        <w:rPr>
          <w:rFonts w:ascii="宋体" w:hAnsi="宋体" w:cs="宋体"/>
          <w:kern w:val="0"/>
          <w:szCs w:val="21"/>
        </w:rPr>
      </w:pPr>
      <w:r>
        <w:rPr>
          <w:rFonts w:hint="eastAsia" w:ascii="宋体" w:hAnsi="宋体" w:cs="宋体"/>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五、采购预算或最高</w:t>
      </w:r>
      <w:r>
        <w:rPr>
          <w:rFonts w:ascii="宋体" w:hAnsi="宋体" w:cs="宋体"/>
          <w:kern w:val="0"/>
          <w:szCs w:val="21"/>
        </w:rPr>
        <w:t>限价</w:t>
      </w:r>
      <w:r>
        <w:rPr>
          <w:rFonts w:hint="eastAsia" w:ascii="宋体" w:hAnsi="宋体" w:cs="宋体"/>
          <w:kern w:val="0"/>
          <w:szCs w:val="21"/>
        </w:rPr>
        <w:t>：</w:t>
      </w:r>
      <w:r>
        <w:t xml:space="preserve"> </w:t>
      </w:r>
      <w:r>
        <w:rPr>
          <w:rFonts w:ascii="宋体" w:hAnsi="宋体" w:cs="宋体"/>
          <w:color w:val="FF0000"/>
          <w:kern w:val="0"/>
          <w:szCs w:val="21"/>
        </w:rPr>
        <w:t>3,200,000.00</w:t>
      </w:r>
      <w:r>
        <w:rPr>
          <w:rFonts w:hint="eastAsia" w:ascii="宋体" w:hAnsi="宋体" w:cs="宋体"/>
          <w:color w:val="FF0000"/>
          <w:kern w:val="0"/>
          <w:szCs w:val="21"/>
        </w:rPr>
        <w:t>元</w:t>
      </w:r>
      <w:r>
        <w:rPr>
          <w:rFonts w:hint="eastAsia" w:ascii="宋体" w:hAnsi="宋体" w:cs="宋体"/>
          <w:kern w:val="0"/>
          <w:szCs w:val="21"/>
        </w:rPr>
        <w:t>（人民币</w:t>
      </w:r>
      <w:r>
        <w:rPr>
          <w:rFonts w:ascii="宋体" w:hAnsi="宋体" w:cs="宋体"/>
          <w:kern w:val="0"/>
          <w:szCs w:val="21"/>
        </w:rPr>
        <w:t>）</w:t>
      </w:r>
      <w:r>
        <w:rPr>
          <w:rFonts w:hint="eastAsia" w:ascii="宋体" w:hAnsi="宋体" w:cs="宋体"/>
          <w:kern w:val="0"/>
          <w:szCs w:val="21"/>
        </w:rPr>
        <w:t>。</w:t>
      </w:r>
    </w:p>
    <w:p>
      <w:pPr>
        <w:ind w:firstLine="420" w:firstLineChars="200"/>
        <w:rPr>
          <w:rFonts w:ascii="宋体" w:hAnsi="宋体" w:cs="宋体"/>
          <w:kern w:val="0"/>
          <w:szCs w:val="21"/>
        </w:rPr>
      </w:pPr>
    </w:p>
    <w:tbl>
      <w:tblPr>
        <w:tblStyle w:val="54"/>
        <w:tblpPr w:leftFromText="180" w:rightFromText="180" w:vertAnchor="text" w:horzAnchor="margin" w:tblpY="1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4"/>
        <w:gridCol w:w="1141"/>
        <w:gridCol w:w="464"/>
        <w:gridCol w:w="464"/>
        <w:gridCol w:w="974"/>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71" w:type="pct"/>
            <w:vAlign w:val="center"/>
          </w:tcPr>
          <w:p>
            <w:pPr>
              <w:jc w:val="center"/>
              <w:rPr>
                <w:bCs/>
                <w:szCs w:val="21"/>
              </w:rPr>
            </w:pPr>
            <w:r>
              <w:rPr>
                <w:rFonts w:hint="eastAsia"/>
                <w:szCs w:val="21"/>
              </w:rPr>
              <w:t>采购计划编号</w:t>
            </w:r>
          </w:p>
        </w:tc>
        <w:tc>
          <w:tcPr>
            <w:tcW w:w="931" w:type="pct"/>
            <w:vAlign w:val="center"/>
          </w:tcPr>
          <w:p>
            <w:pPr>
              <w:jc w:val="center"/>
              <w:rPr>
                <w:bCs/>
                <w:szCs w:val="21"/>
              </w:rPr>
            </w:pPr>
            <w:r>
              <w:rPr>
                <w:rFonts w:hint="eastAsia"/>
                <w:bCs/>
                <w:szCs w:val="21"/>
              </w:rPr>
              <w:t>货物名称</w:t>
            </w:r>
          </w:p>
        </w:tc>
        <w:tc>
          <w:tcPr>
            <w:tcW w:w="517" w:type="pct"/>
            <w:vAlign w:val="center"/>
          </w:tcPr>
          <w:p>
            <w:pPr>
              <w:jc w:val="center"/>
              <w:rPr>
                <w:bCs/>
                <w:szCs w:val="21"/>
              </w:rPr>
            </w:pPr>
            <w:r>
              <w:rPr>
                <w:rFonts w:hint="eastAsia"/>
                <w:bCs/>
                <w:szCs w:val="21"/>
              </w:rPr>
              <w:t>数量</w:t>
            </w:r>
          </w:p>
        </w:tc>
        <w:tc>
          <w:tcPr>
            <w:tcW w:w="517" w:type="pct"/>
            <w:vAlign w:val="center"/>
          </w:tcPr>
          <w:p>
            <w:pPr>
              <w:jc w:val="center"/>
              <w:rPr>
                <w:bCs/>
                <w:szCs w:val="21"/>
              </w:rPr>
            </w:pPr>
            <w:r>
              <w:rPr>
                <w:rFonts w:hint="eastAsia"/>
                <w:bCs/>
                <w:szCs w:val="21"/>
              </w:rPr>
              <w:t>单位</w:t>
            </w:r>
          </w:p>
        </w:tc>
        <w:tc>
          <w:tcPr>
            <w:tcW w:w="828" w:type="pct"/>
            <w:vAlign w:val="center"/>
          </w:tcPr>
          <w:p>
            <w:pPr>
              <w:jc w:val="center"/>
              <w:rPr>
                <w:b/>
                <w:bCs/>
                <w:color w:val="FF0000"/>
                <w:szCs w:val="21"/>
              </w:rPr>
            </w:pPr>
            <w:r>
              <w:rPr>
                <w:rFonts w:hint="eastAsia"/>
                <w:b/>
                <w:bCs/>
                <w:color w:val="FF0000"/>
                <w:szCs w:val="21"/>
              </w:rPr>
              <w:t>备注</w:t>
            </w:r>
          </w:p>
        </w:tc>
        <w:tc>
          <w:tcPr>
            <w:tcW w:w="1035" w:type="pct"/>
            <w:vAlign w:val="center"/>
          </w:tcPr>
          <w:p>
            <w:pPr>
              <w:jc w:val="center"/>
              <w:rPr>
                <w:b/>
                <w:bCs/>
                <w:color w:val="FF0000"/>
                <w:szCs w:val="21"/>
              </w:rPr>
            </w:pPr>
            <w:r>
              <w:rPr>
                <w:rFonts w:hint="eastAsia"/>
                <w:b/>
                <w:bCs/>
                <w:color w:val="FF0000"/>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71" w:type="pct"/>
          </w:tcPr>
          <w:p>
            <w:pPr>
              <w:widowControl/>
              <w:jc w:val="center"/>
              <w:rPr>
                <w:kern w:val="0"/>
                <w:sz w:val="22"/>
                <w:szCs w:val="22"/>
              </w:rPr>
            </w:pPr>
            <w:r>
              <w:rPr>
                <w:sz w:val="22"/>
                <w:szCs w:val="22"/>
              </w:rPr>
              <w:t>PLAN-2021-440301-0108001001-02054</w:t>
            </w:r>
          </w:p>
        </w:tc>
        <w:tc>
          <w:tcPr>
            <w:tcW w:w="931" w:type="pct"/>
            <w:vAlign w:val="center"/>
          </w:tcPr>
          <w:p>
            <w:pPr>
              <w:widowControl/>
              <w:jc w:val="center"/>
              <w:rPr>
                <w:kern w:val="0"/>
                <w:sz w:val="22"/>
                <w:szCs w:val="22"/>
              </w:rPr>
            </w:pPr>
            <w:r>
              <w:rPr>
                <w:sz w:val="22"/>
                <w:szCs w:val="22"/>
              </w:rPr>
              <w:t>微藻光合反应器及自动检测与温控系统</w:t>
            </w:r>
          </w:p>
        </w:tc>
        <w:tc>
          <w:tcPr>
            <w:tcW w:w="517" w:type="pct"/>
            <w:vAlign w:val="center"/>
          </w:tcPr>
          <w:p>
            <w:pPr>
              <w:jc w:val="center"/>
              <w:rPr>
                <w:bCs/>
                <w:szCs w:val="21"/>
              </w:rPr>
            </w:pPr>
            <w:r>
              <w:rPr>
                <w:rFonts w:hint="eastAsia"/>
                <w:bCs/>
                <w:szCs w:val="21"/>
              </w:rPr>
              <w:t>1</w:t>
            </w:r>
          </w:p>
        </w:tc>
        <w:tc>
          <w:tcPr>
            <w:tcW w:w="517" w:type="pct"/>
            <w:vAlign w:val="center"/>
          </w:tcPr>
          <w:p>
            <w:pPr>
              <w:jc w:val="center"/>
              <w:rPr>
                <w:bCs/>
                <w:szCs w:val="21"/>
              </w:rPr>
            </w:pPr>
            <w:r>
              <w:rPr>
                <w:rFonts w:hint="eastAsia"/>
                <w:bCs/>
                <w:szCs w:val="21"/>
              </w:rPr>
              <w:t>套</w:t>
            </w:r>
          </w:p>
        </w:tc>
        <w:tc>
          <w:tcPr>
            <w:tcW w:w="828" w:type="pct"/>
            <w:vAlign w:val="center"/>
          </w:tcPr>
          <w:p>
            <w:pPr>
              <w:jc w:val="center"/>
              <w:rPr>
                <w:b/>
                <w:bCs/>
                <w:color w:val="FF0000"/>
                <w:szCs w:val="21"/>
              </w:rPr>
            </w:pPr>
            <w:r>
              <w:rPr>
                <w:rFonts w:hint="eastAsia"/>
                <w:b/>
                <w:bCs/>
                <w:color w:val="FF0000"/>
                <w:szCs w:val="21"/>
              </w:rPr>
              <w:t>拒绝</w:t>
            </w:r>
            <w:r>
              <w:rPr>
                <w:b/>
                <w:bCs/>
                <w:color w:val="FF0000"/>
                <w:szCs w:val="21"/>
              </w:rPr>
              <w:t>进口</w:t>
            </w:r>
          </w:p>
        </w:tc>
        <w:tc>
          <w:tcPr>
            <w:tcW w:w="1035" w:type="pct"/>
            <w:vAlign w:val="center"/>
          </w:tcPr>
          <w:p>
            <w:pPr>
              <w:jc w:val="center"/>
              <w:rPr>
                <w:bCs/>
                <w:szCs w:val="21"/>
              </w:rPr>
            </w:pPr>
            <w:r>
              <w:rPr>
                <w:bCs/>
                <w:szCs w:val="21"/>
              </w:rPr>
              <w:t>3,200,000.00</w:t>
            </w:r>
          </w:p>
        </w:tc>
      </w:tr>
    </w:tbl>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六、投标与开标注意事项：</w:t>
      </w:r>
    </w:p>
    <w:p>
      <w:pPr>
        <w:ind w:firstLine="420" w:firstLineChars="200"/>
        <w:rPr>
          <w:rFonts w:ascii="宋体" w:hAnsi="宋体" w:cs="宋体"/>
          <w:kern w:val="0"/>
          <w:szCs w:val="21"/>
        </w:rPr>
      </w:pPr>
      <w:r>
        <w:rPr>
          <w:rFonts w:hint="eastAsia" w:ascii="宋体" w:hAnsi="宋体" w:cs="宋体"/>
          <w:kern w:val="0"/>
          <w:szCs w:val="21"/>
        </w:rPr>
        <w:t xml:space="preserve">1. 标书获得方法 </w:t>
      </w:r>
    </w:p>
    <w:p>
      <w:pPr>
        <w:ind w:firstLine="422" w:firstLineChars="200"/>
        <w:rPr>
          <w:rFonts w:ascii="宋体" w:hAnsi="宋体" w:cs="宋体"/>
          <w:b/>
          <w:color w:val="FF0000"/>
          <w:kern w:val="0"/>
          <w:szCs w:val="21"/>
        </w:rPr>
      </w:pPr>
      <w:r>
        <w:rPr>
          <w:rFonts w:hint="eastAsia" w:ascii="宋体" w:hAnsi="宋体" w:cs="宋体"/>
          <w:b/>
          <w:color w:val="FF0000"/>
          <w:kern w:val="0"/>
          <w:szCs w:val="21"/>
        </w:rPr>
        <w:t>出于疫情防控需要，投标人不能现场</w:t>
      </w:r>
      <w:r>
        <w:rPr>
          <w:rFonts w:ascii="宋体" w:hAnsi="宋体" w:cs="宋体"/>
          <w:b/>
          <w:color w:val="FF0000"/>
          <w:kern w:val="0"/>
          <w:szCs w:val="21"/>
        </w:rPr>
        <w:t>购买</w:t>
      </w:r>
      <w:r>
        <w:rPr>
          <w:rFonts w:hint="eastAsia" w:ascii="宋体" w:hAnsi="宋体" w:cs="宋体"/>
          <w:b/>
          <w:color w:val="FF0000"/>
          <w:kern w:val="0"/>
          <w:szCs w:val="21"/>
        </w:rPr>
        <w:t>招标</w:t>
      </w:r>
      <w:r>
        <w:rPr>
          <w:rFonts w:ascii="宋体" w:hAnsi="宋体" w:cs="宋体"/>
          <w:b/>
          <w:color w:val="FF0000"/>
          <w:kern w:val="0"/>
          <w:szCs w:val="21"/>
        </w:rPr>
        <w:t>文件</w:t>
      </w:r>
      <w:r>
        <w:rPr>
          <w:rFonts w:hint="eastAsia" w:ascii="宋体" w:hAnsi="宋体" w:cs="宋体"/>
          <w:b/>
          <w:color w:val="FF0000"/>
          <w:kern w:val="0"/>
          <w:szCs w:val="21"/>
        </w:rPr>
        <w:t>。如需购买招标文件请通过邮件报名，电子版招标文件可以在网站http://bidding.szu.edu.cn“招标公告”的本项目的招标公告页中下载。招标文件售后不退。</w:t>
      </w:r>
    </w:p>
    <w:p>
      <w:pPr>
        <w:ind w:firstLine="420" w:firstLineChars="200"/>
        <w:rPr>
          <w:rFonts w:ascii="宋体" w:hAnsi="宋体" w:cs="宋体"/>
          <w:kern w:val="0"/>
          <w:szCs w:val="21"/>
        </w:rPr>
      </w:pPr>
      <w:r>
        <w:rPr>
          <w:rFonts w:hint="eastAsia" w:ascii="宋体" w:hAnsi="宋体" w:cs="宋体"/>
          <w:kern w:val="0"/>
          <w:szCs w:val="21"/>
        </w:rPr>
        <w:t>任何有兴趣的合格投标人可于</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07</w:t>
      </w:r>
      <w:r>
        <w:rPr>
          <w:rFonts w:hint="eastAsia" w:ascii="宋体" w:hAnsi="宋体" w:cs="宋体"/>
          <w:kern w:val="0"/>
          <w:szCs w:val="21"/>
        </w:rPr>
        <w:t>月</w:t>
      </w:r>
      <w:r>
        <w:rPr>
          <w:rFonts w:hint="eastAsia" w:ascii="宋体" w:hAnsi="宋体" w:cs="宋体"/>
          <w:kern w:val="0"/>
          <w:szCs w:val="21"/>
          <w:lang w:val="en-US" w:eastAsia="zh-CN"/>
        </w:rPr>
        <w:t>30</w:t>
      </w:r>
      <w:r>
        <w:rPr>
          <w:rFonts w:hint="eastAsia" w:ascii="宋体" w:hAnsi="宋体" w:cs="宋体"/>
          <w:kern w:val="0"/>
          <w:szCs w:val="21"/>
        </w:rPr>
        <w:t>日起至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10</w:t>
      </w:r>
      <w:r>
        <w:rPr>
          <w:rFonts w:hint="eastAsia" w:ascii="宋体" w:hAnsi="宋体" w:cs="宋体"/>
          <w:kern w:val="0"/>
          <w:szCs w:val="21"/>
        </w:rPr>
        <w:t>日每天（节假日除外）的9:00—11:</w:t>
      </w:r>
      <w:r>
        <w:rPr>
          <w:rFonts w:ascii="宋体" w:hAnsi="宋体" w:cs="宋体"/>
          <w:kern w:val="0"/>
          <w:szCs w:val="21"/>
        </w:rPr>
        <w:t>3</w:t>
      </w:r>
      <w:r>
        <w:rPr>
          <w:rFonts w:hint="eastAsia" w:ascii="宋体" w:hAnsi="宋体" w:cs="宋体"/>
          <w:kern w:val="0"/>
          <w:szCs w:val="21"/>
        </w:rPr>
        <w:t>0；14:</w:t>
      </w:r>
      <w:r>
        <w:rPr>
          <w:rFonts w:ascii="宋体" w:hAnsi="宋体" w:cs="宋体"/>
          <w:kern w:val="0"/>
          <w:szCs w:val="21"/>
        </w:rPr>
        <w:t>30</w:t>
      </w:r>
      <w:r>
        <w:rPr>
          <w:rFonts w:hint="eastAsia" w:ascii="宋体" w:hAnsi="宋体" w:cs="宋体"/>
          <w:kern w:val="0"/>
          <w:szCs w:val="21"/>
        </w:rPr>
        <w:t>—17:00将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ascii="宋体" w:hAnsi="宋体" w:cs="宋体"/>
          <w:kern w:val="0"/>
          <w:szCs w:val="21"/>
        </w:rPr>
        <w:t>）一并</w:t>
      </w:r>
      <w:r>
        <w:rPr>
          <w:rFonts w:ascii="宋体" w:hAnsi="宋体" w:cs="宋体"/>
          <w:kern w:val="0"/>
          <w:szCs w:val="21"/>
        </w:rPr>
        <w:t>扫描</w:t>
      </w:r>
      <w:r>
        <w:rPr>
          <w:rFonts w:hint="eastAsia" w:ascii="宋体" w:hAnsi="宋体" w:cs="宋体"/>
          <w:kern w:val="0"/>
          <w:szCs w:val="21"/>
        </w:rPr>
        <w:t>发至邮箱</w:t>
      </w:r>
      <w:r>
        <w:rPr>
          <w:rFonts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ind w:firstLine="840" w:firstLineChars="400"/>
        <w:rPr>
          <w:rFonts w:ascii="宋体" w:hAnsi="宋体" w:cs="宋体"/>
          <w:kern w:val="0"/>
          <w:szCs w:val="21"/>
        </w:rPr>
      </w:pPr>
      <w:r>
        <w:rPr>
          <w:rFonts w:hint="eastAsia" w:ascii="宋体" w:hAnsi="宋体" w:cs="宋体"/>
          <w:kern w:val="0"/>
          <w:szCs w:val="21"/>
        </w:rPr>
        <w:t>开户行：中国银行深圳深大支行</w:t>
      </w:r>
    </w:p>
    <w:p>
      <w:pPr>
        <w:ind w:firstLine="840" w:firstLineChars="400"/>
        <w:rPr>
          <w:rFonts w:ascii="宋体" w:hAnsi="宋体" w:cs="宋体"/>
          <w:kern w:val="0"/>
          <w:szCs w:val="21"/>
        </w:rPr>
      </w:pPr>
      <w:r>
        <w:rPr>
          <w:rFonts w:hint="eastAsia" w:ascii="宋体" w:hAnsi="宋体" w:cs="宋体"/>
          <w:kern w:val="0"/>
          <w:szCs w:val="21"/>
        </w:rPr>
        <w:t>户名：深圳大学</w:t>
      </w:r>
    </w:p>
    <w:p>
      <w:pPr>
        <w:ind w:firstLine="840" w:firstLineChars="400"/>
        <w:rPr>
          <w:rFonts w:ascii="宋体" w:hAnsi="宋体" w:cs="宋体"/>
          <w:kern w:val="0"/>
          <w:szCs w:val="21"/>
        </w:rPr>
      </w:pPr>
      <w:r>
        <w:rPr>
          <w:rFonts w:hint="eastAsia" w:ascii="宋体" w:hAnsi="宋体" w:cs="宋体"/>
          <w:kern w:val="0"/>
          <w:szCs w:val="21"/>
        </w:rPr>
        <w:t>账号：</w:t>
      </w:r>
      <w:r>
        <w:rPr>
          <w:rFonts w:ascii="宋体" w:hAnsi="宋体" w:cs="宋体"/>
          <w:kern w:val="0"/>
          <w:szCs w:val="21"/>
        </w:rPr>
        <w:t>7549 6835 0439</w:t>
      </w:r>
    </w:p>
    <w:p>
      <w:pPr>
        <w:ind w:firstLine="840" w:firstLineChars="40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63"/>
          <w:rFonts w:hint="eastAsia" w:ascii="宋体" w:hAnsi="宋体" w:cs="宋体"/>
          <w:kern w:val="0"/>
          <w:szCs w:val="21"/>
        </w:rPr>
        <w:t>http://bidding.szu.edu.cn/listfile.asp</w:t>
      </w:r>
      <w:r>
        <w:rPr>
          <w:rStyle w:val="63"/>
          <w:rFonts w:hint="eastAsia" w:ascii="宋体" w:hAnsi="宋体" w:cs="宋体"/>
          <w:kern w:val="0"/>
          <w:szCs w:val="21"/>
        </w:rPr>
        <w:fldChar w:fldCharType="end"/>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2. 关于</w:t>
      </w:r>
      <w:r>
        <w:rPr>
          <w:rFonts w:ascii="宋体" w:hAnsi="宋体" w:cs="宋体"/>
          <w:kern w:val="0"/>
          <w:szCs w:val="21"/>
        </w:rPr>
        <w:t>质疑</w:t>
      </w:r>
      <w:r>
        <w:rPr>
          <w:rFonts w:hint="eastAsia" w:ascii="宋体" w:hAnsi="宋体" w:cs="宋体"/>
          <w:kern w:val="0"/>
          <w:szCs w:val="21"/>
        </w:rPr>
        <w:t xml:space="preserve"> </w:t>
      </w:r>
    </w:p>
    <w:p>
      <w:pPr>
        <w:ind w:firstLine="840" w:firstLineChars="400"/>
        <w:rPr>
          <w:rFonts w:ascii="宋体" w:hAnsi="宋体" w:cs="宋体"/>
          <w:kern w:val="0"/>
          <w:szCs w:val="21"/>
        </w:rPr>
      </w:pPr>
      <w:r>
        <w:rPr>
          <w:rFonts w:hint="eastAsia" w:ascii="宋体" w:hAnsi="宋体" w:cs="宋体"/>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pPr>
        <w:ind w:firstLine="420" w:firstLineChars="200"/>
        <w:rPr>
          <w:rFonts w:ascii="宋体" w:hAnsi="宋体" w:cs="宋体"/>
          <w:kern w:val="0"/>
          <w:szCs w:val="21"/>
        </w:rPr>
      </w:pPr>
      <w:r>
        <w:rPr>
          <w:rFonts w:hint="eastAsia" w:ascii="宋体" w:hAnsi="宋体" w:cs="宋体"/>
          <w:kern w:val="0"/>
          <w:szCs w:val="21"/>
        </w:rPr>
        <w:t xml:space="preserve">3. 投标截止时间 </w:t>
      </w:r>
    </w:p>
    <w:p>
      <w:pPr>
        <w:ind w:firstLine="840" w:firstLineChars="400"/>
        <w:rPr>
          <w:rFonts w:ascii="宋体" w:hAnsi="宋体" w:cs="宋体"/>
          <w:kern w:val="0"/>
          <w:szCs w:val="21"/>
        </w:rPr>
      </w:pPr>
      <w:r>
        <w:rPr>
          <w:rFonts w:hint="eastAsia" w:ascii="宋体" w:hAnsi="宋体" w:cs="宋体"/>
          <w:kern w:val="0"/>
          <w:szCs w:val="21"/>
        </w:rPr>
        <w:t>所有投标文件应于</w:t>
      </w:r>
      <w:r>
        <w:rPr>
          <w:rFonts w:ascii="宋体" w:hAnsi="宋体" w:cs="宋体"/>
          <w:color w:val="FF0000"/>
          <w:kern w:val="0"/>
          <w:szCs w:val="21"/>
        </w:rPr>
        <w:t>2021</w:t>
      </w:r>
      <w:r>
        <w:rPr>
          <w:rFonts w:hint="eastAsia" w:ascii="宋体" w:hAnsi="宋体" w:cs="宋体"/>
          <w:color w:val="FF0000"/>
          <w:kern w:val="0"/>
          <w:szCs w:val="21"/>
        </w:rPr>
        <w:t>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11</w:t>
      </w:r>
      <w:r>
        <w:rPr>
          <w:rFonts w:hint="eastAsia" w:ascii="宋体" w:hAnsi="宋体" w:cs="宋体"/>
          <w:color w:val="FF0000"/>
          <w:kern w:val="0"/>
          <w:szCs w:val="21"/>
        </w:rPr>
        <w:t>日</w:t>
      </w:r>
      <w:r>
        <w:rPr>
          <w:rFonts w:hint="eastAsia" w:ascii="宋体" w:hAnsi="宋体" w:cs="宋体"/>
          <w:kern w:val="0"/>
          <w:szCs w:val="21"/>
        </w:rPr>
        <w:t xml:space="preserve"> </w:t>
      </w:r>
      <w:r>
        <w:rPr>
          <w:rFonts w:ascii="宋体" w:hAnsi="宋体" w:cs="宋体"/>
          <w:b/>
          <w:color w:val="FF0000"/>
          <w:kern w:val="0"/>
          <w:szCs w:val="21"/>
        </w:rPr>
        <w:t>09</w:t>
      </w:r>
      <w:r>
        <w:rPr>
          <w:rFonts w:hint="eastAsia" w:ascii="宋体" w:hAnsi="宋体" w:cs="宋体"/>
          <w:b/>
          <w:color w:val="FF0000"/>
          <w:kern w:val="0"/>
          <w:szCs w:val="21"/>
        </w:rPr>
        <w:t>：00</w:t>
      </w:r>
      <w:r>
        <w:rPr>
          <w:rFonts w:hint="eastAsia" w:ascii="宋体" w:hAnsi="宋体" w:cs="宋体"/>
          <w:color w:val="FF0000"/>
          <w:kern w:val="0"/>
          <w:szCs w:val="21"/>
        </w:rPr>
        <w:t>时</w:t>
      </w:r>
      <w:r>
        <w:rPr>
          <w:rFonts w:hint="eastAsia" w:ascii="宋体" w:hAnsi="宋体" w:cs="宋体"/>
          <w:kern w:val="0"/>
          <w:szCs w:val="21"/>
        </w:rPr>
        <w:t>之前</w:t>
      </w:r>
      <w:r>
        <w:rPr>
          <w:rFonts w:hint="eastAsia" w:ascii="宋体" w:hAnsi="宋体" w:cs="宋体"/>
          <w:b/>
          <w:color w:val="FF0000"/>
          <w:kern w:val="0"/>
          <w:szCs w:val="21"/>
        </w:rPr>
        <w:t>邮寄</w:t>
      </w:r>
      <w:r>
        <w:t>（EMS，顺丰（不含顺丰同城））</w:t>
      </w:r>
      <w:r>
        <w:rPr>
          <w:rFonts w:hint="eastAsia" w:ascii="宋体" w:hAnsi="宋体" w:cs="宋体"/>
          <w:kern w:val="0"/>
          <w:szCs w:val="21"/>
        </w:rPr>
        <w:t>到深圳大学招投标管理中心</w:t>
      </w:r>
      <w:r>
        <w:rPr>
          <w:rFonts w:hint="eastAsia" w:ascii="宋体" w:hAnsi="宋体" w:cs="宋体"/>
          <w:color w:val="FF0000"/>
          <w:kern w:val="0"/>
          <w:szCs w:val="21"/>
        </w:rPr>
        <w:t>（以快递</w:t>
      </w:r>
      <w:r>
        <w:rPr>
          <w:rFonts w:ascii="宋体" w:hAnsi="宋体" w:cs="宋体"/>
          <w:color w:val="FF0000"/>
          <w:kern w:val="0"/>
          <w:szCs w:val="21"/>
        </w:rPr>
        <w:t>到达时间为准</w:t>
      </w:r>
      <w:r>
        <w:rPr>
          <w:rFonts w:hint="eastAsia" w:ascii="宋体" w:hAnsi="宋体" w:cs="宋体"/>
          <w:color w:val="FF0000"/>
          <w:kern w:val="0"/>
          <w:szCs w:val="21"/>
        </w:rPr>
        <w:t>，</w:t>
      </w:r>
      <w:r>
        <w:rPr>
          <w:rFonts w:ascii="宋体" w:hAnsi="宋体" w:cs="宋体"/>
          <w:color w:val="FF0000"/>
          <w:kern w:val="0"/>
          <w:szCs w:val="21"/>
        </w:rPr>
        <w:t>不接受快递到付</w:t>
      </w:r>
      <w:r>
        <w:rPr>
          <w:rFonts w:hint="eastAsia" w:ascii="宋体" w:hAnsi="宋体" w:cs="宋体"/>
          <w:color w:val="FF0000"/>
          <w:kern w:val="0"/>
          <w:szCs w:val="21"/>
        </w:rPr>
        <w:t>）</w:t>
      </w:r>
      <w:r>
        <w:rPr>
          <w:rFonts w:hint="eastAsia" w:ascii="宋体" w:hAnsi="宋体" w:cs="宋体"/>
          <w:kern w:val="0"/>
          <w:szCs w:val="21"/>
        </w:rPr>
        <w:t>。</w:t>
      </w:r>
    </w:p>
    <w:p>
      <w:pPr>
        <w:ind w:firstLine="843" w:firstLineChars="400"/>
        <w:rPr>
          <w:rFonts w:ascii="宋体" w:hAnsi="宋体" w:cs="宋体"/>
          <w:b/>
          <w:color w:val="FF0000"/>
          <w:kern w:val="0"/>
          <w:szCs w:val="21"/>
        </w:rPr>
      </w:pPr>
      <w:r>
        <w:rPr>
          <w:rFonts w:hint="eastAsia" w:ascii="宋体" w:hAnsi="宋体" w:cs="宋体"/>
          <w:b/>
          <w:color w:val="FF0000"/>
          <w:kern w:val="0"/>
          <w:szCs w:val="21"/>
        </w:rPr>
        <w:t xml:space="preserve"> 投标</w:t>
      </w:r>
      <w:r>
        <w:rPr>
          <w:rFonts w:ascii="宋体" w:hAnsi="宋体" w:cs="宋体"/>
          <w:b/>
          <w:color w:val="FF0000"/>
          <w:kern w:val="0"/>
          <w:szCs w:val="21"/>
        </w:rPr>
        <w:t>文件</w:t>
      </w:r>
      <w:r>
        <w:rPr>
          <w:rFonts w:hint="eastAsia" w:ascii="宋体" w:hAnsi="宋体" w:cs="宋体"/>
          <w:b/>
          <w:color w:val="FF0000"/>
          <w:kern w:val="0"/>
          <w:szCs w:val="21"/>
        </w:rPr>
        <w:t>不</w:t>
      </w:r>
      <w:r>
        <w:rPr>
          <w:rFonts w:ascii="宋体" w:hAnsi="宋体" w:cs="宋体"/>
          <w:b/>
          <w:color w:val="FF0000"/>
          <w:kern w:val="0"/>
          <w:szCs w:val="21"/>
        </w:rPr>
        <w:t>接受现场递交</w:t>
      </w:r>
      <w:r>
        <w:rPr>
          <w:rFonts w:hint="eastAsia" w:ascii="宋体" w:hAnsi="宋体" w:cs="宋体"/>
          <w:b/>
          <w:color w:val="FF0000"/>
          <w:kern w:val="0"/>
          <w:szCs w:val="21"/>
        </w:rPr>
        <w:t>。</w:t>
      </w:r>
    </w:p>
    <w:p>
      <w:pPr>
        <w:ind w:firstLine="840" w:firstLineChars="400"/>
        <w:rPr>
          <w:rFonts w:ascii="宋体" w:hAnsi="宋体" w:cs="宋体"/>
          <w:kern w:val="0"/>
          <w:szCs w:val="21"/>
        </w:rPr>
      </w:pPr>
      <w:r>
        <w:rPr>
          <w:rFonts w:hint="eastAsia" w:ascii="宋体" w:hAnsi="宋体" w:cs="宋体"/>
          <w:kern w:val="0"/>
          <w:szCs w:val="21"/>
        </w:rPr>
        <w:t>邮寄</w:t>
      </w:r>
      <w:r>
        <w:rPr>
          <w:rFonts w:ascii="宋体" w:hAnsi="宋体" w:cs="宋体"/>
          <w:kern w:val="0"/>
          <w:szCs w:val="21"/>
        </w:rPr>
        <w:t>地址：</w:t>
      </w:r>
      <w:r>
        <w:rPr>
          <w:rFonts w:hint="eastAsia" w:ascii="宋体" w:hAnsi="宋体" w:cs="宋体"/>
          <w:kern w:val="0"/>
          <w:szCs w:val="21"/>
        </w:rPr>
        <w:t>深圳市南山区南海大道3688号 深圳大学汇元楼24</w:t>
      </w:r>
      <w:r>
        <w:rPr>
          <w:rFonts w:ascii="宋体" w:hAnsi="宋体" w:cs="宋体"/>
          <w:kern w:val="0"/>
          <w:szCs w:val="21"/>
        </w:rPr>
        <w:t>2</w:t>
      </w:r>
      <w:r>
        <w:rPr>
          <w:rFonts w:hint="eastAsia" w:ascii="宋体" w:hAnsi="宋体" w:cs="宋体"/>
          <w:kern w:val="0"/>
          <w:szCs w:val="21"/>
        </w:rPr>
        <w:t>室</w:t>
      </w:r>
    </w:p>
    <w:p>
      <w:pPr>
        <w:ind w:firstLine="843" w:firstLineChars="400"/>
        <w:rPr>
          <w:rFonts w:ascii="宋体" w:hAnsi="宋体" w:cs="宋体"/>
          <w:b/>
          <w:color w:val="FF0000"/>
          <w:kern w:val="0"/>
          <w:szCs w:val="21"/>
        </w:rPr>
      </w:pPr>
      <w:r>
        <w:rPr>
          <w:rFonts w:hint="eastAsia" w:ascii="宋体" w:hAnsi="宋体" w:cs="宋体"/>
          <w:b/>
          <w:color w:val="FF0000"/>
          <w:kern w:val="0"/>
          <w:szCs w:val="21"/>
        </w:rPr>
        <w:t>收件人</w:t>
      </w:r>
      <w:r>
        <w:rPr>
          <w:rFonts w:ascii="宋体" w:hAnsi="宋体" w:cs="宋体"/>
          <w:b/>
          <w:color w:val="FF0000"/>
          <w:kern w:val="0"/>
          <w:szCs w:val="21"/>
        </w:rPr>
        <w:t>、联系方式：</w:t>
      </w:r>
      <w:r>
        <w:rPr>
          <w:rFonts w:hint="eastAsia" w:ascii="宋体" w:hAnsi="宋体" w:cs="宋体"/>
          <w:b/>
          <w:color w:val="FF0000"/>
          <w:kern w:val="0"/>
          <w:szCs w:val="21"/>
        </w:rPr>
        <w:t>黄</w:t>
      </w:r>
      <w:r>
        <w:rPr>
          <w:rFonts w:ascii="宋体" w:hAnsi="宋体" w:cs="宋体"/>
          <w:b/>
          <w:color w:val="FF0000"/>
          <w:kern w:val="0"/>
          <w:szCs w:val="21"/>
        </w:rPr>
        <w:t>老师，</w:t>
      </w:r>
      <w:r>
        <w:rPr>
          <w:rFonts w:hint="eastAsia" w:ascii="宋体" w:hAnsi="宋体" w:cs="宋体"/>
          <w:b/>
          <w:color w:val="FF0000"/>
          <w:kern w:val="0"/>
          <w:szCs w:val="21"/>
        </w:rPr>
        <w:t>（0755）</w:t>
      </w:r>
      <w:r>
        <w:rPr>
          <w:rFonts w:ascii="宋体" w:hAnsi="宋体" w:cs="宋体"/>
          <w:b/>
          <w:color w:val="FF0000"/>
          <w:kern w:val="0"/>
          <w:szCs w:val="21"/>
        </w:rPr>
        <w:t>2653 2310</w:t>
      </w:r>
    </w:p>
    <w:p>
      <w:pPr>
        <w:adjustRightInd w:val="0"/>
        <w:snapToGrid w:val="0"/>
        <w:spacing w:line="360" w:lineRule="auto"/>
        <w:ind w:firstLine="420" w:firstLineChars="20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ind w:firstLine="420" w:firstLineChars="200"/>
        <w:rPr>
          <w:rFonts w:ascii="宋体" w:hAnsi="宋体" w:cs="宋体"/>
          <w:kern w:val="0"/>
          <w:szCs w:val="21"/>
        </w:rPr>
      </w:pPr>
      <w:r>
        <w:rPr>
          <w:rFonts w:hint="eastAsia" w:ascii="宋体" w:hAnsi="宋体" w:cs="宋体"/>
          <w:kern w:val="0"/>
          <w:szCs w:val="21"/>
        </w:rPr>
        <w:t xml:space="preserve">4. 开标时间和地点 </w:t>
      </w:r>
    </w:p>
    <w:p>
      <w:pPr>
        <w:ind w:firstLine="840" w:firstLineChars="400"/>
        <w:rPr>
          <w:rFonts w:ascii="宋体" w:hAnsi="宋体" w:cs="宋体"/>
          <w:kern w:val="0"/>
          <w:szCs w:val="21"/>
        </w:rPr>
      </w:pPr>
      <w:r>
        <w:rPr>
          <w:rFonts w:hint="eastAsia" w:ascii="宋体" w:hAnsi="宋体" w:cs="宋体"/>
          <w:kern w:val="0"/>
          <w:szCs w:val="21"/>
        </w:rPr>
        <w:t>定于</w:t>
      </w:r>
      <w:r>
        <w:rPr>
          <w:rFonts w:ascii="宋体" w:hAnsi="宋体" w:cs="宋体"/>
          <w:color w:val="FF0000"/>
          <w:kern w:val="0"/>
          <w:szCs w:val="21"/>
        </w:rPr>
        <w:t>2021</w:t>
      </w:r>
      <w:r>
        <w:rPr>
          <w:rFonts w:hint="eastAsia" w:ascii="宋体" w:hAnsi="宋体" w:cs="宋体"/>
          <w:color w:val="FF0000"/>
          <w:kern w:val="0"/>
          <w:szCs w:val="21"/>
        </w:rPr>
        <w:t>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11</w:t>
      </w:r>
      <w:r>
        <w:rPr>
          <w:rFonts w:hint="eastAsia" w:ascii="宋体" w:hAnsi="宋体" w:cs="宋体"/>
          <w:color w:val="FF0000"/>
          <w:kern w:val="0"/>
          <w:szCs w:val="21"/>
        </w:rPr>
        <w:t>日</w:t>
      </w:r>
      <w:r>
        <w:rPr>
          <w:rFonts w:hint="eastAsia" w:ascii="宋体" w:hAnsi="宋体" w:cs="宋体"/>
          <w:kern w:val="0"/>
          <w:szCs w:val="21"/>
        </w:rPr>
        <w:t xml:space="preserve"> </w:t>
      </w:r>
      <w:r>
        <w:rPr>
          <w:rFonts w:ascii="宋体" w:hAnsi="宋体" w:cs="宋体"/>
          <w:b/>
          <w:color w:val="FF0000"/>
          <w:kern w:val="0"/>
          <w:szCs w:val="21"/>
        </w:rPr>
        <w:t>09</w:t>
      </w:r>
      <w:r>
        <w:rPr>
          <w:rFonts w:hint="eastAsia" w:ascii="宋体" w:hAnsi="宋体" w:cs="宋体"/>
          <w:b/>
          <w:color w:val="FF0000"/>
          <w:kern w:val="0"/>
          <w:szCs w:val="21"/>
        </w:rPr>
        <w:t>：00</w:t>
      </w:r>
      <w:r>
        <w:rPr>
          <w:rFonts w:hint="eastAsia" w:ascii="宋体" w:hAnsi="宋体" w:cs="宋体"/>
          <w:color w:val="FF0000"/>
          <w:kern w:val="0"/>
          <w:szCs w:val="21"/>
        </w:rPr>
        <w:t>时</w:t>
      </w:r>
      <w:r>
        <w:rPr>
          <w:rFonts w:hint="eastAsia" w:ascii="宋体" w:hAnsi="宋体" w:cs="宋体"/>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pPr>
        <w:ind w:firstLine="420" w:firstLineChars="200"/>
        <w:rPr>
          <w:rFonts w:ascii="宋体" w:hAnsi="宋体" w:cs="宋体"/>
          <w:kern w:val="0"/>
          <w:szCs w:val="21"/>
        </w:rPr>
      </w:pPr>
      <w:r>
        <w:rPr>
          <w:rFonts w:hint="eastAsia" w:ascii="宋体" w:hAnsi="宋体" w:cs="宋体"/>
          <w:kern w:val="0"/>
          <w:szCs w:val="21"/>
        </w:rPr>
        <w:t>5. 已经购买招标文件的潜在投标人，若不参加投标应在开标截止日前3天以书面形式通知深圳大学招投标管理中心。</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七、重要提示：</w:t>
      </w:r>
    </w:p>
    <w:p>
      <w:pPr>
        <w:ind w:firstLine="420" w:firstLineChars="200"/>
        <w:rPr>
          <w:rFonts w:ascii="宋体" w:hAnsi="宋体" w:cs="宋体"/>
          <w:kern w:val="0"/>
          <w:szCs w:val="21"/>
        </w:rPr>
      </w:pPr>
      <w:r>
        <w:rPr>
          <w:rFonts w:hint="eastAsia" w:ascii="宋体" w:hAnsi="宋体" w:cs="宋体"/>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ind w:firstLine="420" w:firstLineChars="200"/>
        <w:rPr>
          <w:rFonts w:ascii="宋体" w:hAnsi="宋体" w:cs="宋体"/>
          <w:kern w:val="0"/>
          <w:szCs w:val="21"/>
        </w:rPr>
      </w:pPr>
      <w:r>
        <w:rPr>
          <w:rFonts w:hint="eastAsia" w:ascii="宋体" w:hAnsi="宋体" w:cs="宋体"/>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hint="eastAsia" w:ascii="宋体" w:hAnsi="宋体" w:cs="宋体"/>
          <w:kern w:val="0"/>
          <w:szCs w:val="21"/>
        </w:rPr>
        <w:t>管理</w:t>
      </w:r>
      <w:r>
        <w:rPr>
          <w:rFonts w:ascii="宋体" w:hAnsi="宋体" w:cs="宋体"/>
          <w:kern w:val="0"/>
          <w:szCs w:val="21"/>
        </w:rPr>
        <w:t>中心</w:t>
      </w:r>
      <w:r>
        <w:rPr>
          <w:rFonts w:hint="eastAsia" w:ascii="宋体" w:hAnsi="宋体" w:cs="宋体"/>
          <w:kern w:val="0"/>
          <w:szCs w:val="21"/>
        </w:rPr>
        <w:t>网站（http://bidding.szu.edu.cn），在深圳大学</w:t>
      </w:r>
      <w:r>
        <w:rPr>
          <w:rFonts w:ascii="宋体" w:hAnsi="宋体" w:cs="宋体"/>
          <w:kern w:val="0"/>
          <w:szCs w:val="21"/>
        </w:rPr>
        <w:t>招投标管理中心</w:t>
      </w:r>
      <w:r>
        <w:rPr>
          <w:rFonts w:hint="eastAsia" w:ascii="宋体" w:hAnsi="宋体" w:cs="宋体"/>
          <w:kern w:val="0"/>
          <w:szCs w:val="21"/>
        </w:rPr>
        <w:t xml:space="preserve">网站上公布的与本次招标项目有关的信息视为已送达各投标人。 </w:t>
      </w:r>
    </w:p>
    <w:p>
      <w:pPr>
        <w:ind w:firstLine="420" w:firstLineChars="200"/>
        <w:rPr>
          <w:rFonts w:ascii="宋体" w:hAnsi="宋体" w:cs="宋体"/>
          <w:kern w:val="0"/>
          <w:szCs w:val="21"/>
        </w:rPr>
      </w:pPr>
      <w:r>
        <w:rPr>
          <w:rFonts w:hint="eastAsia" w:ascii="宋体" w:hAnsi="宋体" w:cs="宋体"/>
          <w:kern w:val="0"/>
          <w:szCs w:val="21"/>
        </w:rPr>
        <w:t>3. 本项目</w:t>
      </w:r>
      <w:r>
        <w:rPr>
          <w:rFonts w:ascii="宋体" w:hAnsi="宋体" w:cs="宋体"/>
          <w:kern w:val="0"/>
          <w:szCs w:val="21"/>
        </w:rPr>
        <w:t>无须</w:t>
      </w:r>
      <w:r>
        <w:rPr>
          <w:rFonts w:hint="eastAsia" w:ascii="宋体" w:hAnsi="宋体" w:cs="宋体"/>
          <w:kern w:val="0"/>
          <w:szCs w:val="21"/>
        </w:rPr>
        <w:t>交纳投标保证金</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八、联系方式：</w:t>
      </w:r>
    </w:p>
    <w:p>
      <w:pPr>
        <w:rPr>
          <w:rFonts w:ascii="宋体" w:hAnsi="宋体" w:cs="宋体"/>
          <w:kern w:val="0"/>
          <w:szCs w:val="21"/>
        </w:rPr>
      </w:pPr>
      <w:r>
        <w:rPr>
          <w:rFonts w:hint="eastAsia" w:ascii="宋体" w:hAnsi="宋体" w:cs="宋体"/>
          <w:kern w:val="0"/>
          <w:szCs w:val="21"/>
        </w:rPr>
        <w:t>单位</w:t>
      </w:r>
      <w:r>
        <w:rPr>
          <w:rFonts w:ascii="宋体" w:hAnsi="宋体" w:cs="宋体"/>
          <w:kern w:val="0"/>
          <w:szCs w:val="21"/>
        </w:rPr>
        <w:t>名称：</w:t>
      </w:r>
      <w:r>
        <w:rPr>
          <w:rFonts w:hint="eastAsia" w:ascii="宋体" w:hAnsi="宋体" w:cs="宋体"/>
          <w:kern w:val="0"/>
          <w:szCs w:val="21"/>
        </w:rPr>
        <w:t>深圳大学招投标管理中心</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深圳大学办公楼240室</w:t>
      </w:r>
    </w:p>
    <w:p>
      <w:pPr>
        <w:ind w:firstLine="735" w:firstLineChars="350"/>
        <w:rPr>
          <w:rFonts w:ascii="宋体" w:hAnsi="宋体" w:cs="宋体"/>
          <w:kern w:val="0"/>
          <w:szCs w:val="21"/>
        </w:rPr>
      </w:pPr>
      <w:r>
        <w:rPr>
          <w:rFonts w:hint="eastAsia" w:ascii="宋体" w:hAnsi="宋体" w:cs="宋体"/>
          <w:kern w:val="0"/>
          <w:szCs w:val="21"/>
        </w:rPr>
        <w:t xml:space="preserve">联系人： </w:t>
      </w:r>
      <w:r>
        <w:rPr>
          <w:rFonts w:ascii="宋体" w:hAnsi="宋体" w:cs="宋体"/>
          <w:kern w:val="0"/>
          <w:szCs w:val="21"/>
        </w:rPr>
        <w:t xml:space="preserve"> </w:t>
      </w:r>
      <w:r>
        <w:rPr>
          <w:rFonts w:hint="eastAsia" w:ascii="宋体" w:hAnsi="宋体" w:cs="宋体"/>
          <w:kern w:val="0"/>
          <w:szCs w:val="21"/>
        </w:rPr>
        <w:t>劳老师 电话：（0755）2653 1103</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九</w:t>
      </w:r>
      <w:r>
        <w:rPr>
          <w:rFonts w:ascii="宋体" w:hAnsi="宋体" w:cs="宋体"/>
          <w:kern w:val="0"/>
          <w:szCs w:val="21"/>
        </w:rPr>
        <w:t>、公告期</w:t>
      </w:r>
      <w:r>
        <w:rPr>
          <w:rFonts w:hint="eastAsia" w:ascii="宋体" w:hAnsi="宋体" w:cs="宋体"/>
          <w:kern w:val="0"/>
          <w:szCs w:val="21"/>
        </w:rPr>
        <w:t>限</w:t>
      </w:r>
      <w:r>
        <w:rPr>
          <w:rFonts w:ascii="宋体" w:hAnsi="宋体" w:cs="宋体"/>
          <w:kern w:val="0"/>
          <w:szCs w:val="21"/>
        </w:rPr>
        <w:t>：</w:t>
      </w:r>
    </w:p>
    <w:p>
      <w:pPr>
        <w:widowControl/>
        <w:ind w:firstLine="420" w:firstLineChars="200"/>
        <w:jc w:val="left"/>
        <w:rPr>
          <w:rFonts w:ascii="宋体" w:hAnsi="宋体" w:cs="宋体"/>
          <w:kern w:val="0"/>
          <w:szCs w:val="21"/>
        </w:rPr>
      </w:pPr>
      <w:r>
        <w:rPr>
          <w:rFonts w:hint="eastAsia" w:ascii="宋体" w:hAnsi="宋体" w:cs="宋体"/>
          <w:kern w:val="0"/>
          <w:szCs w:val="21"/>
        </w:rPr>
        <w:t>本公告期限（5个工作日）自</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02</w:t>
      </w:r>
      <w:r>
        <w:rPr>
          <w:rFonts w:hint="eastAsia" w:ascii="宋体" w:hAnsi="宋体" w:cs="宋体"/>
          <w:kern w:val="0"/>
          <w:szCs w:val="21"/>
        </w:rPr>
        <w:t>日至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06</w:t>
      </w:r>
      <w:r>
        <w:rPr>
          <w:rFonts w:hint="eastAsia" w:ascii="宋体" w:hAnsi="宋体" w:cs="宋体"/>
          <w:kern w:val="0"/>
          <w:szCs w:val="21"/>
        </w:rPr>
        <w:t>日止。</w:t>
      </w:r>
    </w:p>
    <w:p>
      <w:pPr>
        <w:ind w:firstLine="735" w:firstLineChars="350"/>
        <w:rPr>
          <w:rFonts w:ascii="宋体" w:hAnsi="宋体" w:cs="宋体"/>
          <w:kern w:val="0"/>
          <w:szCs w:val="21"/>
        </w:rPr>
      </w:pPr>
    </w:p>
    <w:p>
      <w:pPr>
        <w:ind w:firstLine="738" w:firstLineChars="350"/>
        <w:jc w:val="right"/>
        <w:rPr>
          <w:rFonts w:ascii="宋体" w:hAnsi="宋体" w:cs="宋体"/>
          <w:b/>
          <w:kern w:val="0"/>
          <w:szCs w:val="21"/>
        </w:rPr>
      </w:pPr>
      <w:r>
        <w:rPr>
          <w:rFonts w:hint="eastAsia" w:ascii="宋体" w:hAnsi="宋体" w:cs="宋体"/>
          <w:b/>
          <w:kern w:val="0"/>
          <w:szCs w:val="21"/>
        </w:rPr>
        <w:t>深圳大学</w:t>
      </w:r>
      <w:r>
        <w:rPr>
          <w:rFonts w:ascii="宋体" w:hAnsi="宋体" w:cs="宋体"/>
          <w:b/>
          <w:kern w:val="0"/>
          <w:szCs w:val="21"/>
        </w:rPr>
        <w:t>招投标管理中心</w:t>
      </w:r>
    </w:p>
    <w:p>
      <w:pPr>
        <w:ind w:firstLine="738" w:firstLineChars="350"/>
        <w:jc w:val="right"/>
        <w:rPr>
          <w:rFonts w:ascii="宋体" w:hAnsi="宋体" w:cs="宋体"/>
          <w:b/>
          <w:kern w:val="0"/>
          <w:szCs w:val="21"/>
        </w:rPr>
      </w:pPr>
      <w:r>
        <w:rPr>
          <w:rFonts w:ascii="宋体" w:hAnsi="宋体" w:cs="宋体"/>
          <w:b/>
          <w:kern w:val="0"/>
          <w:szCs w:val="21"/>
        </w:rPr>
        <w:t>2021</w:t>
      </w:r>
      <w:r>
        <w:rPr>
          <w:rFonts w:hint="eastAsia" w:ascii="宋体" w:hAnsi="宋体" w:cs="宋体"/>
          <w:b/>
          <w:kern w:val="0"/>
          <w:szCs w:val="21"/>
        </w:rPr>
        <w:t>年</w:t>
      </w:r>
      <w:r>
        <w:rPr>
          <w:rFonts w:hint="eastAsia" w:ascii="宋体" w:hAnsi="宋体" w:cs="宋体"/>
          <w:b/>
          <w:kern w:val="0"/>
          <w:szCs w:val="21"/>
          <w:lang w:val="en-US" w:eastAsia="zh-CN"/>
        </w:rPr>
        <w:t>07</w:t>
      </w:r>
      <w:r>
        <w:rPr>
          <w:rFonts w:hint="eastAsia" w:ascii="宋体" w:hAnsi="宋体" w:cs="宋体"/>
          <w:b/>
          <w:kern w:val="0"/>
          <w:szCs w:val="21"/>
        </w:rPr>
        <w:t>月</w:t>
      </w:r>
      <w:r>
        <w:rPr>
          <w:rFonts w:hint="eastAsia" w:ascii="宋体" w:hAnsi="宋体" w:cs="宋体"/>
          <w:b/>
          <w:kern w:val="0"/>
          <w:szCs w:val="21"/>
          <w:lang w:val="en-US" w:eastAsia="zh-CN"/>
        </w:rPr>
        <w:t>30</w:t>
      </w:r>
      <w:r>
        <w:rPr>
          <w:rFonts w:hint="eastAsia" w:ascii="宋体" w:hAnsi="宋体" w:cs="宋体"/>
          <w:b/>
          <w:kern w:val="0"/>
          <w:szCs w:val="21"/>
        </w:rPr>
        <w:t>日</w:t>
      </w:r>
    </w:p>
    <w:p>
      <w:pPr>
        <w:ind w:firstLine="738" w:firstLineChars="350"/>
        <w:jc w:val="right"/>
        <w:rPr>
          <w:rFonts w:ascii="宋体" w:hAnsi="宋体" w:cs="宋体"/>
          <w:b/>
          <w:kern w:val="0"/>
          <w:szCs w:val="21"/>
        </w:rPr>
      </w:pPr>
    </w:p>
    <w:p>
      <w:pPr>
        <w:pStyle w:val="5"/>
        <w:rPr>
          <w:sz w:val="32"/>
          <w:szCs w:val="32"/>
        </w:rPr>
      </w:pPr>
      <w:r>
        <w:rPr>
          <w:rFonts w:hint="eastAsia"/>
          <w:sz w:val="32"/>
          <w:szCs w:val="32"/>
        </w:rPr>
        <w:t>第二章  项目需求</w:t>
      </w:r>
    </w:p>
    <w:p>
      <w:pPr>
        <w:pStyle w:val="5"/>
        <w:spacing w:before="120" w:beforeLines="50" w:after="120" w:afterLines="50"/>
        <w:rPr>
          <w:sz w:val="28"/>
          <w:szCs w:val="28"/>
        </w:rPr>
      </w:pPr>
      <w:bookmarkStart w:id="21" w:name="_Toc73521547"/>
      <w:bookmarkStart w:id="22" w:name="_Toc73517639"/>
      <w:bookmarkStart w:id="23" w:name="_Toc73518117"/>
      <w:bookmarkStart w:id="24" w:name="_Toc100052364"/>
      <w:bookmarkStart w:id="25" w:name="_Toc73521635"/>
      <w:bookmarkStart w:id="26" w:name="_Toc101074876"/>
      <w:bookmarkStart w:id="27" w:name="_Toc60560625"/>
      <w:bookmarkStart w:id="28" w:name="_Toc60631620"/>
      <w:r>
        <w:rPr>
          <w:rFonts w:hint="eastAsia"/>
          <w:sz w:val="28"/>
          <w:szCs w:val="28"/>
        </w:rPr>
        <w:t>一、对通用条款的补充内容</w:t>
      </w:r>
    </w:p>
    <w:bookmarkEnd w:id="21"/>
    <w:bookmarkEnd w:id="22"/>
    <w:bookmarkEnd w:id="23"/>
    <w:bookmarkEnd w:id="24"/>
    <w:bookmarkEnd w:id="25"/>
    <w:bookmarkEnd w:id="26"/>
    <w:bookmarkEnd w:id="27"/>
    <w:bookmarkEnd w:id="28"/>
    <w:tbl>
      <w:tblPr>
        <w:tblStyle w:val="5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60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b/>
              </w:rPr>
            </w:pPr>
            <w:r>
              <w:rPr>
                <w:rFonts w:hint="eastAsia" w:ascii="宋体" w:hAnsi="宋体"/>
                <w:b/>
                <w:color w:val="FF0000"/>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ind w:right="840"/>
              <w:rPr>
                <w:rFonts w:ascii="宋体" w:hAnsi="宋体" w:cs="宋体"/>
                <w:b/>
                <w:kern w:val="0"/>
                <w:szCs w:val="21"/>
              </w:rPr>
            </w:pPr>
            <w:r>
              <w:rPr>
                <w:rFonts w:hint="eastAsia" w:ascii="宋体" w:hAnsi="宋体"/>
              </w:rPr>
              <w:t>投标人必须在招标文件规定的投标截止时间前将密封的投标文件</w:t>
            </w:r>
            <w:r>
              <w:rPr>
                <w:rFonts w:hint="eastAsia" w:ascii="宋体" w:hAnsi="宋体"/>
                <w:b/>
                <w:color w:val="FF0000"/>
              </w:rPr>
              <w:t>邮寄</w:t>
            </w:r>
            <w:r>
              <w:rPr>
                <w:rFonts w:hint="eastAsia" w:ascii="宋体" w:hAnsi="宋体"/>
              </w:rPr>
              <w:t>到深圳大学招投标管理中心</w:t>
            </w:r>
            <w:r>
              <w:rPr>
                <w:color w:val="FF0000"/>
              </w:rPr>
              <w:t>（以快递到达时间为准）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ascii="宋体" w:hAnsi="宋体"/>
              </w:rPr>
              <w:t>5</w:t>
            </w:r>
          </w:p>
        </w:tc>
        <w:tc>
          <w:tcPr>
            <w:tcW w:w="2160" w:type="dxa"/>
            <w:vAlign w:val="center"/>
          </w:tcPr>
          <w:p>
            <w:pPr>
              <w:rPr>
                <w:rFonts w:ascii="宋体" w:hAnsi="宋体"/>
              </w:rPr>
            </w:pPr>
            <w:r>
              <w:rPr>
                <w:rFonts w:hint="eastAsia" w:ascii="宋体" w:hAnsi="宋体"/>
              </w:rPr>
              <w:t>履约担保金额</w:t>
            </w:r>
          </w:p>
        </w:tc>
        <w:tc>
          <w:tcPr>
            <w:tcW w:w="5400" w:type="dxa"/>
            <w:vAlign w:val="center"/>
          </w:tcPr>
          <w:p>
            <w:pPr>
              <w:rPr>
                <w:rFonts w:ascii="宋体" w:hAnsi="宋体"/>
              </w:rPr>
            </w:pPr>
            <w:r>
              <w:rPr>
                <w:rFonts w:hint="eastAsia" w:ascii="宋体" w:hAnsi="宋体"/>
              </w:rPr>
              <w:t>为合同价款的 5</w:t>
            </w:r>
            <w:r>
              <w:rPr>
                <w:rFonts w:ascii="宋体" w:hAnsi="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vAlign w:val="center"/>
          </w:tcPr>
          <w:p>
            <w:pPr>
              <w:jc w:val="center"/>
              <w:rPr>
                <w:rFonts w:ascii="宋体" w:hAnsi="宋体"/>
              </w:rPr>
            </w:pPr>
            <w:r>
              <w:rPr>
                <w:rFonts w:hint="eastAsia" w:ascii="宋体" w:hAnsi="宋体"/>
              </w:rPr>
              <w:t>6</w:t>
            </w:r>
          </w:p>
        </w:tc>
        <w:tc>
          <w:tcPr>
            <w:tcW w:w="2160" w:type="dxa"/>
            <w:vAlign w:val="center"/>
          </w:tcPr>
          <w:p>
            <w:pPr>
              <w:rPr>
                <w:rFonts w:ascii="宋体" w:hAnsi="宋体"/>
              </w:rPr>
            </w:pPr>
            <w:r>
              <w:rPr>
                <w:rFonts w:hint="eastAsia" w:ascii="宋体" w:hAnsi="宋体"/>
              </w:rPr>
              <w:t>投标文件</w:t>
            </w:r>
          </w:p>
        </w:tc>
        <w:tc>
          <w:tcPr>
            <w:tcW w:w="5400" w:type="dxa"/>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w:t>
            </w:r>
            <w:r>
              <w:rPr>
                <w:rFonts w:ascii="宋体" w:hAnsi="宋体"/>
              </w:rPr>
              <w:t>数不足</w:t>
            </w:r>
            <w:r>
              <w:rPr>
                <w:rFonts w:hint="eastAsia" w:ascii="宋体" w:hAnsi="宋体"/>
              </w:rPr>
              <w:t>按</w:t>
            </w:r>
            <w:r>
              <w:rPr>
                <w:rFonts w:ascii="宋体" w:hAnsi="宋体"/>
              </w:rPr>
              <w:t>投标无效处理</w:t>
            </w:r>
            <w:r>
              <w:rPr>
                <w:rFonts w:hint="eastAsia" w:ascii="宋体" w:hAnsi="宋体"/>
              </w:rPr>
              <w:t>。</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rPr>
            </w:pPr>
            <w:r>
              <w:rPr>
                <w:rFonts w:hint="eastAsia" w:ascii="宋体" w:hAnsi="宋体"/>
              </w:rPr>
              <w:t>投标文件</w:t>
            </w:r>
            <w:r>
              <w:rPr>
                <w:rFonts w:ascii="宋体" w:hAnsi="宋体"/>
              </w:rPr>
              <w:t>需</w:t>
            </w:r>
            <w:r>
              <w:rPr>
                <w:rFonts w:hint="eastAsia" w:ascii="宋体" w:hAnsi="宋体"/>
              </w:rPr>
              <w:t>投标一览表</w:t>
            </w:r>
            <w:r>
              <w:rPr>
                <w:rFonts w:hint="eastAsia" w:ascii="宋体" w:hAnsi="宋体"/>
                <w:szCs w:val="21"/>
              </w:rPr>
              <w:t>及电子文件光盘需另外再单独密封一份提交。</w:t>
            </w:r>
          </w:p>
        </w:tc>
      </w:tr>
    </w:tbl>
    <w:p>
      <w:pPr>
        <w:rPr>
          <w:b/>
        </w:rPr>
      </w:pPr>
      <w:r>
        <w:rPr>
          <w:rFonts w:hint="eastAsia"/>
          <w:szCs w:val="21"/>
        </w:rPr>
        <w:t>备注：本表为通用条款相关内容的补充和明确，如与通用条款相冲突的以本表为准。</w:t>
      </w:r>
    </w:p>
    <w:p>
      <w:pPr>
        <w:rPr>
          <w:b/>
        </w:rPr>
      </w:pPr>
    </w:p>
    <w:p>
      <w:pPr>
        <w:pStyle w:val="5"/>
        <w:spacing w:before="120" w:beforeLines="50" w:after="120" w:afterLines="50"/>
        <w:rPr>
          <w:sz w:val="28"/>
          <w:szCs w:val="28"/>
        </w:rPr>
      </w:pPr>
      <w:r>
        <w:rPr>
          <w:rFonts w:hint="eastAsia"/>
          <w:sz w:val="28"/>
          <w:szCs w:val="28"/>
        </w:rPr>
        <w:t>二、货物清单</w:t>
      </w:r>
    </w:p>
    <w:p>
      <w:pPr>
        <w:jc w:val="left"/>
        <w:rPr>
          <w:rFonts w:ascii="宋体" w:hAnsi="宋体"/>
          <w:b/>
          <w:sz w:val="24"/>
        </w:rPr>
      </w:pPr>
      <w:r>
        <w:rPr>
          <w:rFonts w:hint="eastAsia" w:ascii="宋体" w:hAnsi="宋体"/>
          <w:b/>
          <w:sz w:val="24"/>
        </w:rPr>
        <w:t>（一）货物总清单</w:t>
      </w:r>
    </w:p>
    <w:tbl>
      <w:tblPr>
        <w:tblStyle w:val="54"/>
        <w:tblpPr w:leftFromText="180" w:rightFromText="180" w:vertAnchor="text" w:horzAnchor="margin" w:tblpY="173"/>
        <w:tblW w:w="7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05"/>
        <w:gridCol w:w="1276"/>
        <w:gridCol w:w="709"/>
        <w:gridCol w:w="709"/>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序号</w:t>
            </w:r>
          </w:p>
        </w:tc>
        <w:tc>
          <w:tcPr>
            <w:tcW w:w="1605" w:type="dxa"/>
            <w:vAlign w:val="center"/>
          </w:tcPr>
          <w:p>
            <w:pPr>
              <w:jc w:val="center"/>
              <w:rPr>
                <w:bCs/>
                <w:szCs w:val="21"/>
              </w:rPr>
            </w:pPr>
            <w:r>
              <w:rPr>
                <w:rFonts w:hint="eastAsia"/>
                <w:szCs w:val="21"/>
              </w:rPr>
              <w:t>采购计划编号</w:t>
            </w:r>
          </w:p>
        </w:tc>
        <w:tc>
          <w:tcPr>
            <w:tcW w:w="1276" w:type="dxa"/>
            <w:vAlign w:val="center"/>
          </w:tcPr>
          <w:p>
            <w:pPr>
              <w:jc w:val="center"/>
              <w:rPr>
                <w:bCs/>
                <w:szCs w:val="21"/>
              </w:rPr>
            </w:pPr>
            <w:r>
              <w:rPr>
                <w:rFonts w:hint="eastAsia"/>
                <w:bCs/>
                <w:szCs w:val="21"/>
              </w:rPr>
              <w:t>货物名称</w:t>
            </w:r>
          </w:p>
        </w:tc>
        <w:tc>
          <w:tcPr>
            <w:tcW w:w="709" w:type="dxa"/>
            <w:vAlign w:val="center"/>
          </w:tcPr>
          <w:p>
            <w:pPr>
              <w:jc w:val="center"/>
              <w:rPr>
                <w:bCs/>
                <w:szCs w:val="21"/>
              </w:rPr>
            </w:pPr>
            <w:r>
              <w:rPr>
                <w:rFonts w:hint="eastAsia"/>
                <w:bCs/>
                <w:szCs w:val="21"/>
              </w:rPr>
              <w:t>数量</w:t>
            </w:r>
          </w:p>
        </w:tc>
        <w:tc>
          <w:tcPr>
            <w:tcW w:w="709" w:type="dxa"/>
            <w:vAlign w:val="center"/>
          </w:tcPr>
          <w:p>
            <w:pPr>
              <w:jc w:val="center"/>
              <w:rPr>
                <w:bCs/>
                <w:szCs w:val="21"/>
              </w:rPr>
            </w:pPr>
            <w:r>
              <w:rPr>
                <w:rFonts w:hint="eastAsia"/>
                <w:bCs/>
                <w:szCs w:val="21"/>
              </w:rPr>
              <w:t>单位</w:t>
            </w:r>
          </w:p>
        </w:tc>
        <w:tc>
          <w:tcPr>
            <w:tcW w:w="1134" w:type="dxa"/>
            <w:vAlign w:val="center"/>
          </w:tcPr>
          <w:p>
            <w:pPr>
              <w:jc w:val="center"/>
              <w:rPr>
                <w:b/>
                <w:bCs/>
                <w:color w:val="FF0000"/>
                <w:szCs w:val="21"/>
              </w:rPr>
            </w:pPr>
            <w:r>
              <w:rPr>
                <w:rFonts w:hint="eastAsia"/>
                <w:b/>
                <w:bCs/>
                <w:color w:val="FF0000"/>
                <w:szCs w:val="21"/>
              </w:rPr>
              <w:t>备注</w:t>
            </w:r>
          </w:p>
        </w:tc>
        <w:tc>
          <w:tcPr>
            <w:tcW w:w="1418" w:type="dxa"/>
            <w:vAlign w:val="center"/>
          </w:tcPr>
          <w:p>
            <w:pPr>
              <w:jc w:val="center"/>
              <w:rPr>
                <w:b/>
                <w:bCs/>
                <w:color w:val="FF0000"/>
                <w:szCs w:val="21"/>
              </w:rPr>
            </w:pPr>
            <w:r>
              <w:rPr>
                <w:rFonts w:hint="eastAsia"/>
                <w:b/>
                <w:bCs/>
                <w:color w:val="FF0000"/>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71" w:type="dxa"/>
          </w:tcPr>
          <w:p>
            <w:pPr>
              <w:jc w:val="center"/>
              <w:rPr>
                <w:bCs/>
                <w:szCs w:val="21"/>
              </w:rPr>
            </w:pPr>
            <w:r>
              <w:rPr>
                <w:rFonts w:hint="eastAsia"/>
                <w:bCs/>
                <w:szCs w:val="21"/>
              </w:rPr>
              <w:t>1</w:t>
            </w:r>
          </w:p>
        </w:tc>
        <w:tc>
          <w:tcPr>
            <w:tcW w:w="1605" w:type="dxa"/>
          </w:tcPr>
          <w:p>
            <w:pPr>
              <w:jc w:val="center"/>
              <w:rPr>
                <w:bCs/>
                <w:szCs w:val="21"/>
              </w:rPr>
            </w:pPr>
            <w:r>
              <w:rPr>
                <w:sz w:val="22"/>
                <w:szCs w:val="22"/>
              </w:rPr>
              <w:t>PLAN-2021-440301-0108001001-02054</w:t>
            </w:r>
          </w:p>
        </w:tc>
        <w:tc>
          <w:tcPr>
            <w:tcW w:w="1276" w:type="dxa"/>
            <w:vAlign w:val="center"/>
          </w:tcPr>
          <w:p>
            <w:pPr>
              <w:jc w:val="center"/>
              <w:rPr>
                <w:bCs/>
                <w:szCs w:val="21"/>
              </w:rPr>
            </w:pPr>
            <w:r>
              <w:rPr>
                <w:sz w:val="22"/>
                <w:szCs w:val="22"/>
              </w:rPr>
              <w:t>微藻光合反应器及自动检测与温控系统</w:t>
            </w:r>
          </w:p>
        </w:tc>
        <w:tc>
          <w:tcPr>
            <w:tcW w:w="709" w:type="dxa"/>
            <w:vAlign w:val="center"/>
          </w:tcPr>
          <w:p>
            <w:pPr>
              <w:jc w:val="center"/>
              <w:rPr>
                <w:bCs/>
                <w:szCs w:val="21"/>
              </w:rPr>
            </w:pPr>
            <w:r>
              <w:rPr>
                <w:rFonts w:hint="eastAsia"/>
                <w:bCs/>
                <w:szCs w:val="21"/>
              </w:rPr>
              <w:t>1</w:t>
            </w:r>
          </w:p>
        </w:tc>
        <w:tc>
          <w:tcPr>
            <w:tcW w:w="709" w:type="dxa"/>
            <w:vAlign w:val="center"/>
          </w:tcPr>
          <w:p>
            <w:pPr>
              <w:jc w:val="center"/>
              <w:rPr>
                <w:bCs/>
                <w:szCs w:val="21"/>
              </w:rPr>
            </w:pPr>
            <w:r>
              <w:rPr>
                <w:rFonts w:hint="eastAsia"/>
                <w:bCs/>
                <w:szCs w:val="21"/>
              </w:rPr>
              <w:t>套</w:t>
            </w:r>
          </w:p>
        </w:tc>
        <w:tc>
          <w:tcPr>
            <w:tcW w:w="1134" w:type="dxa"/>
            <w:vAlign w:val="center"/>
          </w:tcPr>
          <w:p>
            <w:pPr>
              <w:jc w:val="center"/>
              <w:rPr>
                <w:b/>
                <w:bCs/>
                <w:color w:val="FF0000"/>
                <w:szCs w:val="21"/>
              </w:rPr>
            </w:pPr>
            <w:r>
              <w:rPr>
                <w:rFonts w:hint="eastAsia"/>
                <w:b/>
                <w:bCs/>
                <w:color w:val="FF0000"/>
                <w:szCs w:val="21"/>
              </w:rPr>
              <w:t>拒绝</w:t>
            </w:r>
            <w:r>
              <w:rPr>
                <w:b/>
                <w:bCs/>
                <w:color w:val="FF0000"/>
                <w:szCs w:val="21"/>
              </w:rPr>
              <w:t>进口</w:t>
            </w:r>
          </w:p>
        </w:tc>
        <w:tc>
          <w:tcPr>
            <w:tcW w:w="1418" w:type="dxa"/>
            <w:vAlign w:val="center"/>
          </w:tcPr>
          <w:p>
            <w:pPr>
              <w:jc w:val="center"/>
              <w:rPr>
                <w:bCs/>
                <w:szCs w:val="21"/>
              </w:rPr>
            </w:pPr>
            <w:r>
              <w:rPr>
                <w:bCs/>
                <w:szCs w:val="21"/>
              </w:rPr>
              <w:t>3,200,000.00</w:t>
            </w:r>
          </w:p>
        </w:tc>
      </w:tr>
    </w:tbl>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r>
        <w:rPr>
          <w:rFonts w:ascii="宋体" w:hAnsi="宋体"/>
          <w:b/>
          <w:sz w:val="24"/>
        </w:rPr>
        <w:t>（二</w:t>
      </w:r>
      <w:r>
        <w:rPr>
          <w:rFonts w:hint="eastAsia" w:ascii="宋体" w:hAnsi="宋体"/>
          <w:b/>
          <w:sz w:val="24"/>
        </w:rPr>
        <w:t>）货</w:t>
      </w:r>
      <w:r>
        <w:rPr>
          <w:rFonts w:ascii="宋体" w:hAnsi="宋体"/>
          <w:b/>
          <w:sz w:val="24"/>
        </w:rPr>
        <w:t>物</w:t>
      </w:r>
      <w:r>
        <w:rPr>
          <w:rFonts w:hint="eastAsia" w:ascii="宋体" w:hAnsi="宋体"/>
          <w:b/>
          <w:sz w:val="24"/>
        </w:rPr>
        <w:t>明细</w:t>
      </w:r>
      <w:r>
        <w:rPr>
          <w:rFonts w:ascii="宋体" w:hAnsi="宋体"/>
          <w:b/>
          <w:sz w:val="24"/>
        </w:rPr>
        <w:t>清单</w:t>
      </w:r>
    </w:p>
    <w:tbl>
      <w:tblPr>
        <w:tblStyle w:val="54"/>
        <w:tblpPr w:leftFromText="180" w:rightFromText="180" w:vertAnchor="text" w:horzAnchor="margin" w:tblpX="1" w:tblpY="173"/>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24"/>
        <w:gridCol w:w="1572"/>
        <w:gridCol w:w="1128"/>
        <w:gridCol w:w="936"/>
        <w:gridCol w:w="123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序号</w:t>
            </w:r>
          </w:p>
        </w:tc>
        <w:tc>
          <w:tcPr>
            <w:tcW w:w="3296" w:type="dxa"/>
            <w:gridSpan w:val="2"/>
            <w:vAlign w:val="center"/>
          </w:tcPr>
          <w:p>
            <w:pPr>
              <w:jc w:val="center"/>
              <w:rPr>
                <w:bCs/>
                <w:szCs w:val="21"/>
              </w:rPr>
            </w:pPr>
            <w:r>
              <w:rPr>
                <w:rFonts w:hint="eastAsia"/>
                <w:bCs/>
                <w:szCs w:val="21"/>
              </w:rPr>
              <w:t>货物名称</w:t>
            </w:r>
          </w:p>
        </w:tc>
        <w:tc>
          <w:tcPr>
            <w:tcW w:w="1128" w:type="dxa"/>
            <w:vAlign w:val="center"/>
          </w:tcPr>
          <w:p>
            <w:pPr>
              <w:jc w:val="center"/>
              <w:rPr>
                <w:bCs/>
                <w:szCs w:val="21"/>
              </w:rPr>
            </w:pPr>
            <w:r>
              <w:rPr>
                <w:rFonts w:hint="eastAsia"/>
                <w:bCs/>
                <w:szCs w:val="21"/>
              </w:rPr>
              <w:t>数量</w:t>
            </w:r>
          </w:p>
        </w:tc>
        <w:tc>
          <w:tcPr>
            <w:tcW w:w="936" w:type="dxa"/>
            <w:vAlign w:val="center"/>
          </w:tcPr>
          <w:p>
            <w:pPr>
              <w:jc w:val="center"/>
              <w:rPr>
                <w:bCs/>
                <w:szCs w:val="21"/>
              </w:rPr>
            </w:pPr>
            <w:r>
              <w:rPr>
                <w:rFonts w:hint="eastAsia"/>
                <w:bCs/>
                <w:szCs w:val="21"/>
              </w:rPr>
              <w:t>单位</w:t>
            </w:r>
          </w:p>
        </w:tc>
        <w:tc>
          <w:tcPr>
            <w:tcW w:w="1236" w:type="dxa"/>
            <w:vAlign w:val="center"/>
          </w:tcPr>
          <w:p>
            <w:pPr>
              <w:jc w:val="center"/>
              <w:rPr>
                <w:b/>
                <w:bCs/>
                <w:color w:val="FF0000"/>
                <w:szCs w:val="21"/>
              </w:rPr>
            </w:pPr>
            <w:r>
              <w:rPr>
                <w:rFonts w:hint="eastAsia"/>
                <w:b/>
                <w:bCs/>
                <w:color w:val="FF0000"/>
                <w:szCs w:val="21"/>
              </w:rPr>
              <w:t>备注</w:t>
            </w:r>
          </w:p>
        </w:tc>
        <w:tc>
          <w:tcPr>
            <w:tcW w:w="2096" w:type="dxa"/>
            <w:vAlign w:val="center"/>
          </w:tcPr>
          <w:p>
            <w:pPr>
              <w:jc w:val="center"/>
              <w:rPr>
                <w:rFonts w:hint="eastAsia"/>
                <w:b/>
                <w:bCs/>
                <w:color w:val="FF0000"/>
                <w:szCs w:val="21"/>
              </w:rPr>
            </w:pPr>
            <w:r>
              <w:rPr>
                <w:rFonts w:hint="eastAsia"/>
                <w:bCs/>
                <w:szCs w:val="21"/>
              </w:rPr>
              <w:t>采购计划编号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67" w:type="dxa"/>
            <w:gridSpan w:val="6"/>
            <w:vAlign w:val="center"/>
          </w:tcPr>
          <w:p>
            <w:pPr>
              <w:ind w:firstLine="2530" w:firstLineChars="1200"/>
              <w:rPr>
                <w:bCs/>
                <w:szCs w:val="21"/>
              </w:rPr>
            </w:pPr>
            <w:r>
              <w:rPr>
                <w:rFonts w:hint="eastAsia" w:ascii="宋体" w:hAnsi="宋体" w:cs="宋体"/>
                <w:b/>
                <w:bCs/>
              </w:rPr>
              <w:t>微藻光合反应器</w:t>
            </w:r>
          </w:p>
        </w:tc>
        <w:tc>
          <w:tcPr>
            <w:tcW w:w="2096" w:type="dxa"/>
            <w:vMerge w:val="restart"/>
            <w:vAlign w:val="center"/>
          </w:tcPr>
          <w:p>
            <w:pPr>
              <w:ind w:firstLine="2640" w:firstLineChars="1200"/>
              <w:rPr>
                <w:rFonts w:hint="eastAsia" w:ascii="宋体" w:hAnsi="宋体" w:cs="宋体"/>
                <w:b/>
                <w:bCs/>
              </w:rPr>
            </w:pPr>
            <w:r>
              <w:rPr>
                <w:sz w:val="22"/>
                <w:szCs w:val="22"/>
              </w:rPr>
              <w:t>P</w:t>
            </w:r>
            <w:r>
              <w:rPr>
                <w:rFonts w:hint="eastAsia"/>
                <w:sz w:val="22"/>
                <w:szCs w:val="22"/>
                <w:lang w:val="en-US" w:eastAsia="zh-CN"/>
              </w:rPr>
              <w:t>P</w:t>
            </w:r>
            <w:r>
              <w:rPr>
                <w:sz w:val="22"/>
                <w:szCs w:val="22"/>
              </w:rPr>
              <w:t>LAN-2021-440301-0108001001-02054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restart"/>
            <w:vAlign w:val="center"/>
          </w:tcPr>
          <w:p>
            <w:pPr>
              <w:jc w:val="center"/>
              <w:rPr>
                <w:bCs/>
                <w:szCs w:val="21"/>
              </w:rPr>
            </w:pPr>
            <w:r>
              <w:rPr>
                <w:rFonts w:hint="eastAsia"/>
                <w:bCs/>
                <w:szCs w:val="21"/>
              </w:rPr>
              <w:t>1</w:t>
            </w:r>
          </w:p>
        </w:tc>
        <w:tc>
          <w:tcPr>
            <w:tcW w:w="1724" w:type="dxa"/>
            <w:vMerge w:val="restart"/>
            <w:vAlign w:val="center"/>
          </w:tcPr>
          <w:p>
            <w:pPr>
              <w:jc w:val="center"/>
              <w:rPr>
                <w:bCs/>
                <w:szCs w:val="21"/>
              </w:rPr>
            </w:pPr>
            <w:r>
              <w:rPr>
                <w:rFonts w:hint="eastAsia"/>
                <w:bCs/>
                <w:szCs w:val="21"/>
              </w:rPr>
              <w:t>微藻光合反应器主体</w:t>
            </w:r>
          </w:p>
        </w:tc>
        <w:tc>
          <w:tcPr>
            <w:tcW w:w="1572" w:type="dxa"/>
            <w:vAlign w:val="center"/>
          </w:tcPr>
          <w:p>
            <w:pPr>
              <w:spacing w:line="440" w:lineRule="exact"/>
              <w:jc w:val="center"/>
              <w:rPr>
                <w:bCs/>
                <w:szCs w:val="21"/>
              </w:rPr>
            </w:pPr>
            <w:r>
              <w:rPr>
                <w:rFonts w:hint="eastAsia" w:ascii="宋体" w:hAnsi="宋体" w:cs="宋体"/>
              </w:rPr>
              <w:t>一级反应器主体</w:t>
            </w:r>
          </w:p>
        </w:tc>
        <w:tc>
          <w:tcPr>
            <w:tcW w:w="1128" w:type="dxa"/>
            <w:vAlign w:val="center"/>
          </w:tcPr>
          <w:p>
            <w:pPr>
              <w:spacing w:line="440" w:lineRule="exact"/>
              <w:jc w:val="center"/>
              <w:rPr>
                <w:rFonts w:ascii="宋体" w:hAnsi="宋体" w:cs="宋体"/>
              </w:rPr>
            </w:pPr>
            <w:r>
              <w:rPr>
                <w:rFonts w:hint="eastAsia" w:ascii="宋体" w:hAnsi="宋体" w:cs="宋体"/>
              </w:rPr>
              <w:t>2</w:t>
            </w:r>
          </w:p>
        </w:tc>
        <w:tc>
          <w:tcPr>
            <w:tcW w:w="936" w:type="dxa"/>
            <w:vAlign w:val="center"/>
          </w:tcPr>
          <w:p>
            <w:pPr>
              <w:spacing w:line="440" w:lineRule="exact"/>
              <w:jc w:val="center"/>
              <w:rPr>
                <w:bCs/>
                <w:szCs w:val="21"/>
              </w:rPr>
            </w:pPr>
            <w:r>
              <w:rPr>
                <w:rFonts w:hint="eastAsia"/>
                <w:bCs/>
                <w:szCs w:val="21"/>
              </w:rPr>
              <w:t>个</w:t>
            </w:r>
          </w:p>
        </w:tc>
        <w:tc>
          <w:tcPr>
            <w:tcW w:w="1236" w:type="dxa"/>
            <w:vAlign w:val="center"/>
          </w:tcPr>
          <w:p>
            <w:pPr>
              <w:rPr>
                <w:bCs/>
                <w:szCs w:val="21"/>
              </w:rPr>
            </w:pPr>
          </w:p>
        </w:tc>
        <w:tc>
          <w:tcPr>
            <w:tcW w:w="2096" w:type="dxa"/>
            <w:vMerge w:val="continue"/>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vAlign w:val="center"/>
          </w:tcPr>
          <w:p>
            <w:pPr>
              <w:jc w:val="center"/>
              <w:rPr>
                <w:strike/>
                <w:sz w:val="22"/>
                <w:szCs w:val="22"/>
              </w:rPr>
            </w:pPr>
          </w:p>
        </w:tc>
        <w:tc>
          <w:tcPr>
            <w:tcW w:w="1572" w:type="dxa"/>
            <w:vAlign w:val="center"/>
          </w:tcPr>
          <w:p>
            <w:pPr>
              <w:spacing w:line="440" w:lineRule="exact"/>
              <w:jc w:val="center"/>
              <w:rPr>
                <w:rFonts w:ascii="宋体" w:hAnsi="宋体" w:cs="宋体"/>
              </w:rPr>
            </w:pPr>
            <w:r>
              <w:rPr>
                <w:rFonts w:hint="eastAsia" w:ascii="宋体" w:hAnsi="宋体" w:cs="宋体"/>
              </w:rPr>
              <w:t xml:space="preserve">二级反应器主体 </w:t>
            </w:r>
          </w:p>
        </w:tc>
        <w:tc>
          <w:tcPr>
            <w:tcW w:w="1128" w:type="dxa"/>
            <w:vAlign w:val="center"/>
          </w:tcPr>
          <w:p>
            <w:pPr>
              <w:spacing w:line="440" w:lineRule="exact"/>
              <w:jc w:val="center"/>
              <w:rPr>
                <w:rFonts w:ascii="宋体" w:hAnsi="宋体" w:cs="宋体"/>
              </w:rPr>
            </w:pPr>
            <w:r>
              <w:rPr>
                <w:rFonts w:hint="eastAsia" w:ascii="宋体" w:hAnsi="宋体" w:cs="宋体"/>
              </w:rPr>
              <w:t>8</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vAlign w:val="center"/>
          </w:tcPr>
          <w:p>
            <w:pPr>
              <w:jc w:val="center"/>
              <w:rPr>
                <w:bCs/>
                <w:szCs w:val="21"/>
              </w:rPr>
            </w:pPr>
          </w:p>
        </w:tc>
        <w:tc>
          <w:tcPr>
            <w:tcW w:w="2096"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vAlign w:val="center"/>
          </w:tcPr>
          <w:p>
            <w:pPr>
              <w:jc w:val="center"/>
              <w:rPr>
                <w:strike/>
                <w:sz w:val="22"/>
                <w:szCs w:val="22"/>
              </w:rPr>
            </w:pPr>
          </w:p>
        </w:tc>
        <w:tc>
          <w:tcPr>
            <w:tcW w:w="1572" w:type="dxa"/>
            <w:vAlign w:val="center"/>
          </w:tcPr>
          <w:p>
            <w:pPr>
              <w:spacing w:line="440" w:lineRule="exact"/>
              <w:jc w:val="center"/>
              <w:rPr>
                <w:rFonts w:ascii="宋体" w:hAnsi="宋体" w:cs="宋体"/>
              </w:rPr>
            </w:pPr>
            <w:r>
              <w:rPr>
                <w:rFonts w:hint="eastAsia" w:ascii="宋体" w:hAnsi="宋体" w:cs="宋体"/>
              </w:rPr>
              <w:t>三级反应器主体</w:t>
            </w:r>
          </w:p>
        </w:tc>
        <w:tc>
          <w:tcPr>
            <w:tcW w:w="1128" w:type="dxa"/>
            <w:vAlign w:val="center"/>
          </w:tcPr>
          <w:p>
            <w:pPr>
              <w:spacing w:line="440" w:lineRule="exact"/>
              <w:jc w:val="center"/>
              <w:rPr>
                <w:rFonts w:ascii="宋体" w:hAnsi="宋体" w:cs="宋体"/>
              </w:rPr>
            </w:pPr>
            <w:r>
              <w:rPr>
                <w:rFonts w:hint="eastAsia" w:ascii="宋体" w:hAnsi="宋体" w:cs="宋体"/>
              </w:rPr>
              <w:t>11</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vAlign w:val="center"/>
          </w:tcPr>
          <w:p>
            <w:pPr>
              <w:jc w:val="center"/>
              <w:rPr>
                <w:bCs/>
                <w:szCs w:val="21"/>
              </w:rPr>
            </w:pPr>
            <w:r>
              <w:rPr>
                <w:rFonts w:hint="eastAsia"/>
                <w:b/>
                <w:bCs/>
                <w:color w:val="FF0000"/>
                <w:szCs w:val="21"/>
              </w:rPr>
              <w:t>核心产品</w:t>
            </w:r>
          </w:p>
        </w:tc>
        <w:tc>
          <w:tcPr>
            <w:tcW w:w="2096" w:type="dxa"/>
            <w:vMerge w:val="continue"/>
            <w:vAlign w:val="center"/>
          </w:tcPr>
          <w:p>
            <w:pPr>
              <w:jc w:val="center"/>
              <w:rPr>
                <w:rFonts w:hint="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2</w:t>
            </w:r>
          </w:p>
        </w:tc>
        <w:tc>
          <w:tcPr>
            <w:tcW w:w="1724" w:type="dxa"/>
            <w:vAlign w:val="center"/>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推流搅拌器</w:t>
            </w:r>
          </w:p>
        </w:tc>
        <w:tc>
          <w:tcPr>
            <w:tcW w:w="1128" w:type="dxa"/>
            <w:vAlign w:val="center"/>
          </w:tcPr>
          <w:p>
            <w:pPr>
              <w:spacing w:line="440" w:lineRule="exact"/>
              <w:jc w:val="center"/>
              <w:rPr>
                <w:rFonts w:ascii="宋体" w:hAnsi="宋体" w:cs="宋体"/>
              </w:rPr>
            </w:pPr>
            <w:r>
              <w:rPr>
                <w:rFonts w:hint="eastAsia" w:ascii="宋体" w:hAnsi="宋体" w:cs="宋体"/>
              </w:rPr>
              <w:t>56</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vAlign w:val="center"/>
          </w:tcPr>
          <w:p>
            <w:pPr>
              <w:jc w:val="center"/>
              <w:rPr>
                <w:bCs/>
                <w:szCs w:val="21"/>
              </w:rPr>
            </w:pPr>
          </w:p>
        </w:tc>
        <w:tc>
          <w:tcPr>
            <w:tcW w:w="2096"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3</w:t>
            </w:r>
          </w:p>
        </w:tc>
        <w:tc>
          <w:tcPr>
            <w:tcW w:w="1724" w:type="dxa"/>
            <w:vAlign w:val="center"/>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反应器加固装置</w:t>
            </w:r>
          </w:p>
        </w:tc>
        <w:tc>
          <w:tcPr>
            <w:tcW w:w="1128" w:type="dxa"/>
            <w:vAlign w:val="center"/>
          </w:tcPr>
          <w:p>
            <w:pPr>
              <w:spacing w:line="440" w:lineRule="exact"/>
              <w:jc w:val="center"/>
              <w:rPr>
                <w:rFonts w:ascii="宋体" w:hAnsi="宋体" w:cs="宋体"/>
              </w:rPr>
            </w:pPr>
            <w:r>
              <w:rPr>
                <w:rFonts w:hint="eastAsia" w:ascii="宋体" w:hAnsi="宋体" w:cs="宋体"/>
              </w:rPr>
              <w:t>21</w:t>
            </w:r>
          </w:p>
        </w:tc>
        <w:tc>
          <w:tcPr>
            <w:tcW w:w="936" w:type="dxa"/>
            <w:vAlign w:val="center"/>
          </w:tcPr>
          <w:p>
            <w:pPr>
              <w:widowControl/>
              <w:jc w:val="center"/>
              <w:textAlignment w:val="bottom"/>
              <w:rPr>
                <w:rFonts w:ascii="宋体" w:hAnsi="宋体" w:eastAsia="等线" w:cs="宋体"/>
                <w:szCs w:val="21"/>
              </w:rPr>
            </w:pPr>
            <w:r>
              <w:rPr>
                <w:rFonts w:hint="eastAsia" w:ascii="宋体" w:hAnsi="宋体" w:cs="宋体"/>
                <w:szCs w:val="21"/>
              </w:rPr>
              <w:t>套</w:t>
            </w:r>
          </w:p>
        </w:tc>
        <w:tc>
          <w:tcPr>
            <w:tcW w:w="1236" w:type="dxa"/>
            <w:vAlign w:val="center"/>
          </w:tcPr>
          <w:p>
            <w:pPr>
              <w:jc w:val="center"/>
              <w:rPr>
                <w:bCs/>
                <w:szCs w:val="21"/>
              </w:rPr>
            </w:pPr>
          </w:p>
        </w:tc>
        <w:tc>
          <w:tcPr>
            <w:tcW w:w="2096"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67" w:type="dxa"/>
            <w:gridSpan w:val="6"/>
            <w:vAlign w:val="center"/>
          </w:tcPr>
          <w:p>
            <w:pPr>
              <w:ind w:firstLine="2741" w:firstLineChars="1300"/>
              <w:jc w:val="left"/>
              <w:rPr>
                <w:bCs/>
                <w:szCs w:val="21"/>
                <w:highlight w:val="yellow"/>
              </w:rPr>
            </w:pPr>
            <w:r>
              <w:rPr>
                <w:rFonts w:hint="eastAsia" w:ascii="宋体" w:hAnsi="宋体" w:cs="宋体"/>
                <w:b/>
                <w:bCs/>
              </w:rPr>
              <w:t>管网系统</w:t>
            </w:r>
          </w:p>
        </w:tc>
        <w:tc>
          <w:tcPr>
            <w:tcW w:w="2096" w:type="dxa"/>
            <w:vMerge w:val="continue"/>
            <w:vAlign w:val="center"/>
          </w:tcPr>
          <w:p>
            <w:pPr>
              <w:ind w:firstLine="2741" w:firstLineChars="1300"/>
              <w:jc w:val="lef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4</w:t>
            </w:r>
          </w:p>
        </w:tc>
        <w:tc>
          <w:tcPr>
            <w:tcW w:w="1724" w:type="dxa"/>
            <w:vAlign w:val="center"/>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主水管</w:t>
            </w:r>
          </w:p>
        </w:tc>
        <w:tc>
          <w:tcPr>
            <w:tcW w:w="1128" w:type="dxa"/>
            <w:vAlign w:val="center"/>
          </w:tcPr>
          <w:p>
            <w:pPr>
              <w:spacing w:line="440" w:lineRule="exact"/>
              <w:jc w:val="center"/>
              <w:rPr>
                <w:rFonts w:ascii="宋体" w:hAnsi="宋体" w:cs="宋体"/>
                <w:highlight w:val="yellow"/>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套</w:t>
            </w:r>
          </w:p>
        </w:tc>
        <w:tc>
          <w:tcPr>
            <w:tcW w:w="1236" w:type="dxa"/>
            <w:vAlign w:val="center"/>
          </w:tcPr>
          <w:p>
            <w:pPr>
              <w:jc w:val="left"/>
              <w:rPr>
                <w:bCs/>
                <w:szCs w:val="21"/>
                <w:highlight w:val="yellow"/>
              </w:rPr>
            </w:pPr>
          </w:p>
        </w:tc>
        <w:tc>
          <w:tcPr>
            <w:tcW w:w="2096" w:type="dxa"/>
            <w:vMerge w:val="continue"/>
            <w:vAlign w:val="center"/>
          </w:tcPr>
          <w:p>
            <w:pPr>
              <w:jc w:val="left"/>
              <w:rPr>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5</w:t>
            </w:r>
          </w:p>
        </w:tc>
        <w:tc>
          <w:tcPr>
            <w:tcW w:w="1724" w:type="dxa"/>
            <w:vAlign w:val="center"/>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分水管</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套</w:t>
            </w:r>
          </w:p>
        </w:tc>
        <w:tc>
          <w:tcPr>
            <w:tcW w:w="1236" w:type="dxa"/>
            <w:vAlign w:val="center"/>
          </w:tcPr>
          <w:p>
            <w:pPr>
              <w:jc w:val="left"/>
              <w:rPr>
                <w:bCs/>
                <w:szCs w:val="21"/>
                <w:highlight w:val="yellow"/>
              </w:rPr>
            </w:pPr>
          </w:p>
        </w:tc>
        <w:tc>
          <w:tcPr>
            <w:tcW w:w="2096" w:type="dxa"/>
            <w:vMerge w:val="continue"/>
            <w:vAlign w:val="center"/>
          </w:tcPr>
          <w:p>
            <w:pPr>
              <w:jc w:val="left"/>
              <w:rPr>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71" w:type="dxa"/>
            <w:vAlign w:val="center"/>
          </w:tcPr>
          <w:p>
            <w:pPr>
              <w:jc w:val="center"/>
              <w:rPr>
                <w:bCs/>
                <w:szCs w:val="21"/>
              </w:rPr>
            </w:pPr>
            <w:r>
              <w:rPr>
                <w:rFonts w:hint="eastAsia"/>
                <w:bCs/>
                <w:szCs w:val="21"/>
              </w:rPr>
              <w:t>6</w:t>
            </w:r>
          </w:p>
        </w:tc>
        <w:tc>
          <w:tcPr>
            <w:tcW w:w="1724" w:type="dxa"/>
            <w:vAlign w:val="center"/>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电缆</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套</w:t>
            </w:r>
          </w:p>
        </w:tc>
        <w:tc>
          <w:tcPr>
            <w:tcW w:w="1236" w:type="dxa"/>
            <w:vAlign w:val="center"/>
          </w:tcPr>
          <w:p>
            <w:pPr>
              <w:jc w:val="left"/>
              <w:rPr>
                <w:bCs/>
                <w:szCs w:val="21"/>
                <w:highlight w:val="yellow"/>
              </w:rPr>
            </w:pPr>
          </w:p>
        </w:tc>
        <w:tc>
          <w:tcPr>
            <w:tcW w:w="2096" w:type="dxa"/>
            <w:vMerge w:val="continue"/>
            <w:vAlign w:val="center"/>
          </w:tcPr>
          <w:p>
            <w:pPr>
              <w:jc w:val="left"/>
              <w:rPr>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7</w:t>
            </w:r>
          </w:p>
        </w:tc>
        <w:tc>
          <w:tcPr>
            <w:tcW w:w="1724" w:type="dxa"/>
            <w:vAlign w:val="center"/>
          </w:tcPr>
          <w:p>
            <w:pPr>
              <w:jc w:val="center"/>
              <w:rPr>
                <w:bCs/>
                <w:strike/>
                <w:szCs w:val="21"/>
                <w:highlight w:val="none"/>
              </w:rPr>
            </w:pPr>
          </w:p>
        </w:tc>
        <w:tc>
          <w:tcPr>
            <w:tcW w:w="1572" w:type="dxa"/>
            <w:vAlign w:val="center"/>
          </w:tcPr>
          <w:p>
            <w:pPr>
              <w:spacing w:line="440" w:lineRule="exact"/>
              <w:jc w:val="center"/>
              <w:rPr>
                <w:rFonts w:ascii="宋体" w:hAnsi="宋体" w:cs="宋体"/>
                <w:highlight w:val="none"/>
              </w:rPr>
            </w:pPr>
            <w:r>
              <w:rPr>
                <w:rFonts w:hint="eastAsia" w:ascii="宋体" w:hAnsi="宋体" w:cs="宋体"/>
                <w:highlight w:val="none"/>
              </w:rPr>
              <w:t>阀门</w:t>
            </w:r>
          </w:p>
        </w:tc>
        <w:tc>
          <w:tcPr>
            <w:tcW w:w="1128" w:type="dxa"/>
            <w:vAlign w:val="center"/>
          </w:tcPr>
          <w:p>
            <w:pPr>
              <w:spacing w:line="440" w:lineRule="exact"/>
              <w:jc w:val="center"/>
              <w:rPr>
                <w:rFonts w:ascii="宋体" w:hAnsi="宋体" w:cs="宋体"/>
                <w:highlight w:val="none"/>
              </w:rPr>
            </w:pPr>
            <w:r>
              <w:rPr>
                <w:rFonts w:hint="eastAsia" w:ascii="宋体" w:hAnsi="宋体" w:cs="宋体"/>
                <w:highlight w:val="none"/>
              </w:rPr>
              <w:t>1</w:t>
            </w:r>
          </w:p>
        </w:tc>
        <w:tc>
          <w:tcPr>
            <w:tcW w:w="936" w:type="dxa"/>
            <w:vAlign w:val="center"/>
          </w:tcPr>
          <w:p>
            <w:pPr>
              <w:spacing w:line="440" w:lineRule="exact"/>
              <w:jc w:val="center"/>
              <w:rPr>
                <w:rFonts w:ascii="宋体" w:hAnsi="宋体" w:cs="宋体"/>
                <w:highlight w:val="none"/>
              </w:rPr>
            </w:pPr>
            <w:r>
              <w:rPr>
                <w:rFonts w:hint="eastAsia" w:ascii="宋体" w:hAnsi="宋体" w:cs="宋体"/>
                <w:highlight w:val="none"/>
              </w:rPr>
              <w:t>套</w:t>
            </w:r>
          </w:p>
        </w:tc>
        <w:tc>
          <w:tcPr>
            <w:tcW w:w="1236" w:type="dxa"/>
            <w:vAlign w:val="center"/>
          </w:tcPr>
          <w:p>
            <w:pPr>
              <w:jc w:val="center"/>
              <w:rPr>
                <w:bCs/>
                <w:szCs w:val="21"/>
                <w:highlight w:val="yellow"/>
              </w:rPr>
            </w:pPr>
          </w:p>
        </w:tc>
        <w:tc>
          <w:tcPr>
            <w:tcW w:w="2096" w:type="dxa"/>
            <w:vMerge w:val="continue"/>
            <w:vAlign w:val="center"/>
          </w:tcPr>
          <w:p>
            <w:pPr>
              <w:jc w:val="center"/>
              <w:rPr>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8</w:t>
            </w:r>
          </w:p>
        </w:tc>
        <w:tc>
          <w:tcPr>
            <w:tcW w:w="1724" w:type="dxa"/>
            <w:vAlign w:val="center"/>
          </w:tcPr>
          <w:p>
            <w:pPr>
              <w:jc w:val="center"/>
              <w:rPr>
                <w:bCs/>
                <w:strike/>
                <w:szCs w:val="21"/>
                <w:highlight w:val="none"/>
              </w:rPr>
            </w:pPr>
          </w:p>
        </w:tc>
        <w:tc>
          <w:tcPr>
            <w:tcW w:w="1572" w:type="dxa"/>
            <w:vAlign w:val="center"/>
          </w:tcPr>
          <w:p>
            <w:pPr>
              <w:spacing w:line="440" w:lineRule="exact"/>
              <w:jc w:val="center"/>
              <w:rPr>
                <w:rFonts w:ascii="宋体" w:hAnsi="宋体" w:cs="宋体"/>
                <w:highlight w:val="none"/>
              </w:rPr>
            </w:pPr>
            <w:r>
              <w:rPr>
                <w:rFonts w:hint="eastAsia" w:ascii="宋体" w:hAnsi="宋体" w:cs="宋体"/>
                <w:highlight w:val="none"/>
              </w:rPr>
              <w:t>水泵</w:t>
            </w:r>
          </w:p>
        </w:tc>
        <w:tc>
          <w:tcPr>
            <w:tcW w:w="1128" w:type="dxa"/>
            <w:vAlign w:val="center"/>
          </w:tcPr>
          <w:p>
            <w:pPr>
              <w:spacing w:line="4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936" w:type="dxa"/>
            <w:vAlign w:val="center"/>
          </w:tcPr>
          <w:p>
            <w:pPr>
              <w:spacing w:line="440" w:lineRule="exact"/>
              <w:jc w:val="center"/>
              <w:rPr>
                <w:rFonts w:hint="eastAsia" w:ascii="宋体" w:hAnsi="宋体" w:eastAsia="宋体" w:cs="宋体"/>
                <w:highlight w:val="none"/>
                <w:lang w:val="en-US" w:eastAsia="zh-CN"/>
              </w:rPr>
            </w:pPr>
            <w:r>
              <w:rPr>
                <w:rFonts w:hint="eastAsia" w:ascii="宋体" w:hAnsi="宋体" w:cs="宋体"/>
                <w:highlight w:val="none"/>
                <w:lang w:val="en-US" w:eastAsia="zh-CN"/>
              </w:rPr>
              <w:t>台</w:t>
            </w:r>
          </w:p>
        </w:tc>
        <w:tc>
          <w:tcPr>
            <w:tcW w:w="1236" w:type="dxa"/>
            <w:vAlign w:val="center"/>
          </w:tcPr>
          <w:p>
            <w:pPr>
              <w:jc w:val="center"/>
              <w:rPr>
                <w:bCs/>
                <w:szCs w:val="21"/>
              </w:rPr>
            </w:pPr>
          </w:p>
        </w:tc>
        <w:tc>
          <w:tcPr>
            <w:tcW w:w="2096"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9</w:t>
            </w:r>
          </w:p>
        </w:tc>
        <w:tc>
          <w:tcPr>
            <w:tcW w:w="1724" w:type="dxa"/>
            <w:vAlign w:val="center"/>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电柜（带开关）</w:t>
            </w:r>
          </w:p>
        </w:tc>
        <w:tc>
          <w:tcPr>
            <w:tcW w:w="1128" w:type="dxa"/>
            <w:vAlign w:val="center"/>
          </w:tcPr>
          <w:p>
            <w:pPr>
              <w:spacing w:line="440" w:lineRule="exact"/>
              <w:jc w:val="center"/>
              <w:rPr>
                <w:rFonts w:ascii="宋体" w:hAnsi="宋体" w:cs="宋体"/>
              </w:rPr>
            </w:pPr>
            <w:r>
              <w:rPr>
                <w:rFonts w:hint="eastAsia" w:ascii="宋体" w:hAnsi="宋体" w:cs="宋体"/>
              </w:rPr>
              <w:t>4</w:t>
            </w:r>
          </w:p>
        </w:tc>
        <w:tc>
          <w:tcPr>
            <w:tcW w:w="936" w:type="dxa"/>
            <w:vAlign w:val="center"/>
          </w:tcPr>
          <w:p>
            <w:pPr>
              <w:spacing w:line="440" w:lineRule="exact"/>
              <w:jc w:val="center"/>
              <w:rPr>
                <w:rFonts w:ascii="宋体" w:hAnsi="宋体" w:cs="宋体"/>
              </w:rPr>
            </w:pPr>
            <w:r>
              <w:rPr>
                <w:rFonts w:hint="eastAsia" w:ascii="宋体" w:hAnsi="宋体" w:cs="宋体"/>
              </w:rPr>
              <w:t>台</w:t>
            </w:r>
          </w:p>
        </w:tc>
        <w:tc>
          <w:tcPr>
            <w:tcW w:w="1236" w:type="dxa"/>
            <w:vAlign w:val="center"/>
          </w:tcPr>
          <w:p>
            <w:pPr>
              <w:jc w:val="center"/>
              <w:rPr>
                <w:bCs/>
                <w:szCs w:val="21"/>
              </w:rPr>
            </w:pPr>
          </w:p>
        </w:tc>
        <w:tc>
          <w:tcPr>
            <w:tcW w:w="2096"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367" w:type="dxa"/>
            <w:gridSpan w:val="6"/>
            <w:vAlign w:val="center"/>
          </w:tcPr>
          <w:p>
            <w:pPr>
              <w:ind w:firstLine="2530" w:firstLineChars="1200"/>
              <w:rPr>
                <w:bCs/>
                <w:szCs w:val="21"/>
              </w:rPr>
            </w:pPr>
            <w:r>
              <w:rPr>
                <w:rFonts w:hint="eastAsia" w:ascii="宋体" w:hAnsi="宋体" w:cs="宋体"/>
                <w:b/>
                <w:bCs/>
              </w:rPr>
              <w:t>恒温控制装置</w:t>
            </w:r>
          </w:p>
        </w:tc>
        <w:tc>
          <w:tcPr>
            <w:tcW w:w="2096" w:type="dxa"/>
            <w:vMerge w:val="continue"/>
            <w:vAlign w:val="center"/>
          </w:tcPr>
          <w:p>
            <w:pPr>
              <w:ind w:firstLine="2530" w:firstLineChars="1200"/>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10</w:t>
            </w:r>
          </w:p>
        </w:tc>
        <w:tc>
          <w:tcPr>
            <w:tcW w:w="1724" w:type="dxa"/>
          </w:tcPr>
          <w:p>
            <w:pPr>
              <w:jc w:val="center"/>
              <w:rPr>
                <w:bCs/>
                <w:strike/>
                <w:szCs w:val="21"/>
                <w:highlight w:val="none"/>
              </w:rPr>
            </w:pPr>
          </w:p>
        </w:tc>
        <w:tc>
          <w:tcPr>
            <w:tcW w:w="1572" w:type="dxa"/>
            <w:vAlign w:val="center"/>
          </w:tcPr>
          <w:p>
            <w:pPr>
              <w:spacing w:line="440" w:lineRule="exact"/>
              <w:jc w:val="center"/>
              <w:rPr>
                <w:rFonts w:ascii="宋体" w:hAnsi="宋体" w:cs="宋体"/>
                <w:highlight w:val="none"/>
              </w:rPr>
            </w:pPr>
            <w:r>
              <w:rPr>
                <w:rFonts w:hint="eastAsia" w:ascii="宋体" w:hAnsi="宋体" w:cs="宋体"/>
                <w:highlight w:val="none"/>
              </w:rPr>
              <w:t>恒温机组</w:t>
            </w:r>
          </w:p>
        </w:tc>
        <w:tc>
          <w:tcPr>
            <w:tcW w:w="1128" w:type="dxa"/>
            <w:vAlign w:val="center"/>
          </w:tcPr>
          <w:p>
            <w:pPr>
              <w:spacing w:line="440" w:lineRule="exact"/>
              <w:jc w:val="center"/>
              <w:rPr>
                <w:rFonts w:ascii="宋体" w:hAnsi="宋体" w:cs="宋体"/>
                <w:highlight w:val="none"/>
              </w:rPr>
            </w:pPr>
            <w:r>
              <w:rPr>
                <w:rFonts w:hint="eastAsia" w:ascii="宋体" w:hAnsi="宋体" w:cs="宋体"/>
                <w:highlight w:val="none"/>
              </w:rPr>
              <w:t>1</w:t>
            </w:r>
          </w:p>
        </w:tc>
        <w:tc>
          <w:tcPr>
            <w:tcW w:w="936" w:type="dxa"/>
            <w:vAlign w:val="center"/>
          </w:tcPr>
          <w:p>
            <w:pPr>
              <w:spacing w:line="440" w:lineRule="exact"/>
              <w:jc w:val="center"/>
              <w:rPr>
                <w:rFonts w:ascii="宋体" w:hAnsi="宋体" w:cs="宋体"/>
                <w:highlight w:val="none"/>
              </w:rPr>
            </w:pPr>
            <w:r>
              <w:rPr>
                <w:rFonts w:hint="eastAsia" w:ascii="宋体" w:hAnsi="宋体" w:cs="宋体"/>
                <w:highlight w:val="none"/>
              </w:rPr>
              <w:t>台</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11</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水塔</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台</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12</w:t>
            </w:r>
          </w:p>
        </w:tc>
        <w:tc>
          <w:tcPr>
            <w:tcW w:w="1724" w:type="dxa"/>
          </w:tcPr>
          <w:p>
            <w:pPr>
              <w:jc w:val="center"/>
              <w:rPr>
                <w:bCs/>
                <w:strike/>
                <w:szCs w:val="21"/>
                <w:highlight w:val="none"/>
              </w:rPr>
            </w:pPr>
          </w:p>
        </w:tc>
        <w:tc>
          <w:tcPr>
            <w:tcW w:w="1572" w:type="dxa"/>
            <w:vAlign w:val="center"/>
          </w:tcPr>
          <w:p>
            <w:pPr>
              <w:spacing w:line="440" w:lineRule="exact"/>
              <w:jc w:val="center"/>
              <w:rPr>
                <w:rFonts w:ascii="宋体" w:hAnsi="宋体" w:cs="宋体"/>
                <w:highlight w:val="none"/>
              </w:rPr>
            </w:pPr>
            <w:r>
              <w:rPr>
                <w:rFonts w:hint="eastAsia" w:ascii="宋体" w:hAnsi="宋体" w:cs="宋体"/>
                <w:highlight w:val="none"/>
              </w:rPr>
              <w:t>冷水机</w:t>
            </w:r>
          </w:p>
        </w:tc>
        <w:tc>
          <w:tcPr>
            <w:tcW w:w="1128" w:type="dxa"/>
            <w:vAlign w:val="center"/>
          </w:tcPr>
          <w:p>
            <w:pPr>
              <w:spacing w:line="440" w:lineRule="exact"/>
              <w:jc w:val="center"/>
              <w:rPr>
                <w:rFonts w:ascii="宋体" w:hAnsi="宋体" w:cs="宋体"/>
                <w:highlight w:val="none"/>
              </w:rPr>
            </w:pPr>
            <w:r>
              <w:rPr>
                <w:rFonts w:hint="eastAsia" w:ascii="宋体" w:hAnsi="宋体" w:cs="宋体"/>
                <w:highlight w:val="none"/>
              </w:rPr>
              <w:t>1</w:t>
            </w:r>
          </w:p>
        </w:tc>
        <w:tc>
          <w:tcPr>
            <w:tcW w:w="936" w:type="dxa"/>
            <w:vAlign w:val="center"/>
          </w:tcPr>
          <w:p>
            <w:pPr>
              <w:spacing w:line="440" w:lineRule="exact"/>
              <w:jc w:val="center"/>
              <w:rPr>
                <w:rFonts w:ascii="宋体" w:hAnsi="宋体" w:cs="宋体"/>
                <w:highlight w:val="none"/>
              </w:rPr>
            </w:pPr>
            <w:r>
              <w:rPr>
                <w:rFonts w:hint="eastAsia" w:ascii="宋体" w:hAnsi="宋体" w:cs="宋体"/>
                <w:highlight w:val="none"/>
              </w:rPr>
              <w:t>台</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13</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水箱</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台</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14</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冷却循环泵</w:t>
            </w:r>
          </w:p>
        </w:tc>
        <w:tc>
          <w:tcPr>
            <w:tcW w:w="1128" w:type="dxa"/>
            <w:vAlign w:val="center"/>
          </w:tcPr>
          <w:p>
            <w:pPr>
              <w:spacing w:line="440" w:lineRule="exact"/>
              <w:jc w:val="center"/>
              <w:rPr>
                <w:rFonts w:ascii="宋体" w:hAnsi="宋体" w:cs="宋体"/>
              </w:rPr>
            </w:pPr>
            <w:r>
              <w:rPr>
                <w:rFonts w:hint="eastAsia" w:ascii="宋体" w:hAnsi="宋体" w:cs="宋体"/>
              </w:rPr>
              <w:t>2</w:t>
            </w:r>
          </w:p>
        </w:tc>
        <w:tc>
          <w:tcPr>
            <w:tcW w:w="936" w:type="dxa"/>
            <w:vAlign w:val="center"/>
          </w:tcPr>
          <w:p>
            <w:pPr>
              <w:spacing w:line="440" w:lineRule="exact"/>
              <w:jc w:val="center"/>
              <w:rPr>
                <w:rFonts w:ascii="宋体" w:hAnsi="宋体" w:cs="宋体"/>
              </w:rPr>
            </w:pPr>
            <w:r>
              <w:rPr>
                <w:rFonts w:hint="eastAsia" w:ascii="宋体" w:hAnsi="宋体" w:cs="宋体"/>
              </w:rPr>
              <w:t>台</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15</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内冷水泵</w:t>
            </w:r>
          </w:p>
        </w:tc>
        <w:tc>
          <w:tcPr>
            <w:tcW w:w="1128" w:type="dxa"/>
            <w:vAlign w:val="center"/>
          </w:tcPr>
          <w:p>
            <w:pPr>
              <w:spacing w:line="440" w:lineRule="exact"/>
              <w:jc w:val="center"/>
              <w:rPr>
                <w:rFonts w:ascii="宋体" w:hAnsi="宋体" w:cs="宋体"/>
              </w:rPr>
            </w:pPr>
            <w:r>
              <w:rPr>
                <w:rFonts w:hint="eastAsia" w:ascii="宋体" w:hAnsi="宋体" w:cs="宋体"/>
              </w:rPr>
              <w:t>2</w:t>
            </w:r>
          </w:p>
        </w:tc>
        <w:tc>
          <w:tcPr>
            <w:tcW w:w="936" w:type="dxa"/>
            <w:vAlign w:val="center"/>
          </w:tcPr>
          <w:p>
            <w:pPr>
              <w:spacing w:line="440" w:lineRule="exact"/>
              <w:jc w:val="center"/>
              <w:rPr>
                <w:rFonts w:ascii="宋体" w:hAnsi="宋体" w:cs="宋体"/>
              </w:rPr>
            </w:pPr>
            <w:r>
              <w:rPr>
                <w:rFonts w:hint="eastAsia" w:ascii="宋体" w:hAnsi="宋体" w:cs="宋体"/>
              </w:rPr>
              <w:t>台</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16</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外冷水泵</w:t>
            </w:r>
          </w:p>
        </w:tc>
        <w:tc>
          <w:tcPr>
            <w:tcW w:w="1128" w:type="dxa"/>
            <w:vAlign w:val="center"/>
          </w:tcPr>
          <w:p>
            <w:pPr>
              <w:spacing w:line="440" w:lineRule="exact"/>
              <w:jc w:val="center"/>
              <w:rPr>
                <w:rFonts w:ascii="宋体" w:hAnsi="宋体" w:cs="宋体"/>
              </w:rPr>
            </w:pPr>
            <w:r>
              <w:rPr>
                <w:rFonts w:hint="eastAsia" w:ascii="宋体" w:hAnsi="宋体" w:cs="宋体"/>
              </w:rPr>
              <w:t>2</w:t>
            </w:r>
          </w:p>
        </w:tc>
        <w:tc>
          <w:tcPr>
            <w:tcW w:w="936" w:type="dxa"/>
            <w:vAlign w:val="center"/>
          </w:tcPr>
          <w:p>
            <w:pPr>
              <w:spacing w:line="440" w:lineRule="exact"/>
              <w:jc w:val="center"/>
              <w:rPr>
                <w:rFonts w:ascii="宋体" w:hAnsi="宋体" w:cs="宋体"/>
              </w:rPr>
            </w:pPr>
            <w:r>
              <w:rPr>
                <w:rFonts w:hint="eastAsia" w:ascii="宋体" w:hAnsi="宋体" w:cs="宋体"/>
              </w:rPr>
              <w:t>台</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17</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沉浸式热交换装置</w:t>
            </w:r>
          </w:p>
        </w:tc>
        <w:tc>
          <w:tcPr>
            <w:tcW w:w="1128" w:type="dxa"/>
            <w:vAlign w:val="center"/>
          </w:tcPr>
          <w:p>
            <w:pPr>
              <w:spacing w:line="440" w:lineRule="exact"/>
              <w:jc w:val="center"/>
              <w:rPr>
                <w:rFonts w:ascii="宋体" w:hAnsi="宋体" w:cs="宋体"/>
              </w:rPr>
            </w:pPr>
            <w:r>
              <w:rPr>
                <w:rFonts w:hint="eastAsia" w:ascii="宋体" w:hAnsi="宋体" w:cs="宋体"/>
              </w:rPr>
              <w:t>18</w:t>
            </w:r>
          </w:p>
        </w:tc>
        <w:tc>
          <w:tcPr>
            <w:tcW w:w="936" w:type="dxa"/>
            <w:vAlign w:val="center"/>
          </w:tcPr>
          <w:p>
            <w:pPr>
              <w:spacing w:line="440" w:lineRule="exact"/>
              <w:jc w:val="center"/>
              <w:rPr>
                <w:rFonts w:ascii="宋体" w:hAnsi="宋体" w:cs="宋体"/>
              </w:rPr>
            </w:pPr>
            <w:r>
              <w:rPr>
                <w:rFonts w:hint="eastAsia" w:ascii="宋体" w:hAnsi="宋体" w:cs="宋体"/>
              </w:rPr>
              <w:t>套</w:t>
            </w:r>
          </w:p>
        </w:tc>
        <w:tc>
          <w:tcPr>
            <w:tcW w:w="1236" w:type="dxa"/>
          </w:tcPr>
          <w:p>
            <w:pPr>
              <w:jc w:val="center"/>
              <w:rPr>
                <w:bCs/>
                <w:szCs w:val="21"/>
                <w:highlight w:val="yellow"/>
              </w:rPr>
            </w:pPr>
          </w:p>
        </w:tc>
        <w:tc>
          <w:tcPr>
            <w:tcW w:w="2096" w:type="dxa"/>
            <w:vMerge w:val="continue"/>
          </w:tcPr>
          <w:p>
            <w:pPr>
              <w:jc w:val="center"/>
              <w:rPr>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18</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水温传感器</w:t>
            </w:r>
          </w:p>
        </w:tc>
        <w:tc>
          <w:tcPr>
            <w:tcW w:w="1128" w:type="dxa"/>
            <w:vAlign w:val="center"/>
          </w:tcPr>
          <w:p>
            <w:pPr>
              <w:spacing w:line="440" w:lineRule="exact"/>
              <w:jc w:val="center"/>
              <w:rPr>
                <w:rFonts w:ascii="宋体" w:hAnsi="宋体" w:cs="宋体"/>
              </w:rPr>
            </w:pPr>
            <w:r>
              <w:rPr>
                <w:rFonts w:hint="eastAsia" w:ascii="宋体" w:hAnsi="宋体" w:cs="宋体"/>
              </w:rPr>
              <w:t>19</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19</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中控台</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台</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67" w:type="dxa"/>
            <w:gridSpan w:val="6"/>
            <w:vAlign w:val="center"/>
          </w:tcPr>
          <w:p>
            <w:pPr>
              <w:ind w:firstLine="2530" w:firstLineChars="1200"/>
              <w:rPr>
                <w:bCs/>
                <w:szCs w:val="21"/>
              </w:rPr>
            </w:pPr>
            <w:r>
              <w:rPr>
                <w:rFonts w:hint="eastAsia" w:ascii="宋体" w:hAnsi="宋体" w:cs="宋体"/>
                <w:b/>
                <w:bCs/>
              </w:rPr>
              <w:t>辅助装置和设施</w:t>
            </w:r>
          </w:p>
        </w:tc>
        <w:tc>
          <w:tcPr>
            <w:tcW w:w="2096" w:type="dxa"/>
            <w:vMerge w:val="continue"/>
            <w:vAlign w:val="center"/>
          </w:tcPr>
          <w:p>
            <w:pPr>
              <w:ind w:firstLine="2530" w:firstLineChars="1200"/>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20</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沉降罐</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台</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2</w:t>
            </w:r>
            <w:r>
              <w:rPr>
                <w:bCs/>
                <w:szCs w:val="21"/>
              </w:rPr>
              <w:t>1</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废液池</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22</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冷库</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1" w:type="dxa"/>
            <w:vAlign w:val="center"/>
          </w:tcPr>
          <w:p>
            <w:pPr>
              <w:jc w:val="center"/>
              <w:rPr>
                <w:bCs/>
                <w:szCs w:val="21"/>
              </w:rPr>
            </w:pPr>
            <w:r>
              <w:rPr>
                <w:rFonts w:hint="eastAsia"/>
                <w:bCs/>
                <w:szCs w:val="21"/>
              </w:rPr>
              <w:t>23</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highlight w:val="none"/>
              </w:rPr>
            </w:pPr>
            <w:r>
              <w:rPr>
                <w:rFonts w:hint="eastAsia" w:ascii="宋体" w:hAnsi="宋体" w:cs="宋体"/>
                <w:highlight w:val="none"/>
              </w:rPr>
              <w:t>排水渠</w:t>
            </w:r>
          </w:p>
        </w:tc>
        <w:tc>
          <w:tcPr>
            <w:tcW w:w="1128" w:type="dxa"/>
            <w:vAlign w:val="center"/>
          </w:tcPr>
          <w:p>
            <w:pPr>
              <w:spacing w:line="440" w:lineRule="exact"/>
              <w:jc w:val="center"/>
              <w:rPr>
                <w:rFonts w:ascii="宋体" w:hAnsi="宋体" w:cs="宋体"/>
                <w:highlight w:val="none"/>
              </w:rPr>
            </w:pPr>
            <w:r>
              <w:rPr>
                <w:rFonts w:hint="eastAsia" w:ascii="宋体" w:hAnsi="宋体" w:cs="宋体"/>
                <w:highlight w:val="none"/>
              </w:rPr>
              <w:t>1</w:t>
            </w:r>
          </w:p>
        </w:tc>
        <w:tc>
          <w:tcPr>
            <w:tcW w:w="936" w:type="dxa"/>
            <w:vAlign w:val="center"/>
          </w:tcPr>
          <w:p>
            <w:pPr>
              <w:spacing w:line="440" w:lineRule="exact"/>
              <w:jc w:val="center"/>
              <w:rPr>
                <w:rFonts w:ascii="宋体" w:hAnsi="宋体" w:cs="宋体"/>
                <w:highlight w:val="none"/>
              </w:rPr>
            </w:pPr>
            <w:r>
              <w:rPr>
                <w:rFonts w:hint="eastAsia" w:ascii="宋体" w:hAnsi="宋体" w:cs="宋体"/>
                <w:highlight w:val="none"/>
              </w:rPr>
              <w:t>套</w:t>
            </w:r>
          </w:p>
        </w:tc>
        <w:tc>
          <w:tcPr>
            <w:tcW w:w="1236" w:type="dxa"/>
          </w:tcPr>
          <w:p>
            <w:pPr>
              <w:jc w:val="left"/>
              <w:rPr>
                <w:bCs/>
                <w:szCs w:val="21"/>
                <w:highlight w:val="none"/>
              </w:rPr>
            </w:pPr>
          </w:p>
        </w:tc>
        <w:tc>
          <w:tcPr>
            <w:tcW w:w="2096" w:type="dxa"/>
            <w:vMerge w:val="continue"/>
          </w:tcPr>
          <w:p>
            <w:pPr>
              <w:jc w:val="left"/>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24</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highlight w:val="none"/>
              </w:rPr>
            </w:pPr>
            <w:r>
              <w:rPr>
                <w:rFonts w:hint="eastAsia" w:ascii="宋体" w:hAnsi="宋体" w:cs="宋体"/>
                <w:highlight w:val="none"/>
              </w:rPr>
              <w:t>玻璃钢格栅</w:t>
            </w:r>
          </w:p>
        </w:tc>
        <w:tc>
          <w:tcPr>
            <w:tcW w:w="1128" w:type="dxa"/>
            <w:vAlign w:val="center"/>
          </w:tcPr>
          <w:p>
            <w:pPr>
              <w:spacing w:line="440" w:lineRule="exact"/>
              <w:jc w:val="center"/>
              <w:rPr>
                <w:rFonts w:ascii="宋体" w:hAnsi="宋体" w:cs="宋体"/>
                <w:highlight w:val="none"/>
              </w:rPr>
            </w:pPr>
            <w:r>
              <w:rPr>
                <w:rFonts w:hint="eastAsia" w:ascii="宋体" w:hAnsi="宋体" w:cs="宋体"/>
                <w:highlight w:val="none"/>
              </w:rPr>
              <w:t>1</w:t>
            </w:r>
          </w:p>
        </w:tc>
        <w:tc>
          <w:tcPr>
            <w:tcW w:w="936" w:type="dxa"/>
            <w:vAlign w:val="center"/>
          </w:tcPr>
          <w:p>
            <w:pPr>
              <w:spacing w:line="440" w:lineRule="exact"/>
              <w:jc w:val="center"/>
              <w:rPr>
                <w:rFonts w:ascii="宋体" w:hAnsi="宋体" w:cs="宋体"/>
                <w:highlight w:val="none"/>
              </w:rPr>
            </w:pPr>
            <w:r>
              <w:rPr>
                <w:rFonts w:hint="eastAsia" w:ascii="宋体" w:hAnsi="宋体" w:cs="宋体"/>
                <w:highlight w:val="none"/>
              </w:rPr>
              <w:t>套</w:t>
            </w:r>
          </w:p>
        </w:tc>
        <w:tc>
          <w:tcPr>
            <w:tcW w:w="1236" w:type="dxa"/>
          </w:tcPr>
          <w:p>
            <w:pPr>
              <w:jc w:val="left"/>
              <w:rPr>
                <w:bCs/>
                <w:szCs w:val="21"/>
                <w:highlight w:val="none"/>
              </w:rPr>
            </w:pPr>
          </w:p>
        </w:tc>
        <w:tc>
          <w:tcPr>
            <w:tcW w:w="2096" w:type="dxa"/>
            <w:vMerge w:val="continue"/>
          </w:tcPr>
          <w:p>
            <w:pPr>
              <w:jc w:val="left"/>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25</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highlight w:val="none"/>
              </w:rPr>
            </w:pPr>
            <w:r>
              <w:rPr>
                <w:rFonts w:hint="eastAsia" w:ascii="宋体" w:hAnsi="宋体" w:cs="宋体"/>
                <w:highlight w:val="none"/>
              </w:rPr>
              <w:t>塑胶格栅</w:t>
            </w:r>
          </w:p>
        </w:tc>
        <w:tc>
          <w:tcPr>
            <w:tcW w:w="1128" w:type="dxa"/>
            <w:vAlign w:val="center"/>
          </w:tcPr>
          <w:p>
            <w:pPr>
              <w:spacing w:line="440" w:lineRule="exact"/>
              <w:jc w:val="center"/>
              <w:rPr>
                <w:rFonts w:ascii="宋体" w:hAnsi="宋体" w:cs="宋体"/>
                <w:highlight w:val="none"/>
              </w:rPr>
            </w:pPr>
            <w:r>
              <w:rPr>
                <w:rFonts w:hint="eastAsia" w:ascii="宋体" w:hAnsi="宋体" w:cs="宋体"/>
                <w:highlight w:val="none"/>
              </w:rPr>
              <w:t>1</w:t>
            </w:r>
          </w:p>
        </w:tc>
        <w:tc>
          <w:tcPr>
            <w:tcW w:w="936" w:type="dxa"/>
            <w:vAlign w:val="center"/>
          </w:tcPr>
          <w:p>
            <w:pPr>
              <w:spacing w:line="440" w:lineRule="exact"/>
              <w:jc w:val="center"/>
              <w:rPr>
                <w:rFonts w:ascii="宋体" w:hAnsi="宋体" w:cs="宋体"/>
                <w:highlight w:val="none"/>
              </w:rPr>
            </w:pPr>
            <w:r>
              <w:rPr>
                <w:rFonts w:hint="eastAsia" w:ascii="宋体" w:hAnsi="宋体" w:cs="宋体"/>
                <w:highlight w:val="none"/>
              </w:rPr>
              <w:t>套</w:t>
            </w:r>
          </w:p>
        </w:tc>
        <w:tc>
          <w:tcPr>
            <w:tcW w:w="1236" w:type="dxa"/>
          </w:tcPr>
          <w:p>
            <w:pPr>
              <w:jc w:val="left"/>
              <w:rPr>
                <w:bCs/>
                <w:szCs w:val="21"/>
                <w:highlight w:val="none"/>
              </w:rPr>
            </w:pPr>
          </w:p>
        </w:tc>
        <w:tc>
          <w:tcPr>
            <w:tcW w:w="2096" w:type="dxa"/>
            <w:vMerge w:val="continue"/>
          </w:tcPr>
          <w:p>
            <w:pPr>
              <w:jc w:val="left"/>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26</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highlight w:val="none"/>
              </w:rPr>
            </w:pPr>
            <w:r>
              <w:rPr>
                <w:rFonts w:hint="eastAsia" w:ascii="宋体" w:hAnsi="宋体" w:cs="宋体"/>
                <w:highlight w:val="none"/>
              </w:rPr>
              <w:t>地膜</w:t>
            </w:r>
          </w:p>
        </w:tc>
        <w:tc>
          <w:tcPr>
            <w:tcW w:w="1128" w:type="dxa"/>
            <w:vAlign w:val="center"/>
          </w:tcPr>
          <w:p>
            <w:pPr>
              <w:spacing w:line="440" w:lineRule="exact"/>
              <w:jc w:val="center"/>
              <w:rPr>
                <w:rFonts w:ascii="宋体" w:hAnsi="宋体" w:cs="宋体"/>
                <w:highlight w:val="none"/>
              </w:rPr>
            </w:pPr>
            <w:r>
              <w:rPr>
                <w:rFonts w:hint="eastAsia" w:ascii="宋体" w:hAnsi="宋体" w:cs="宋体"/>
                <w:highlight w:val="none"/>
              </w:rPr>
              <w:t>1</w:t>
            </w:r>
          </w:p>
        </w:tc>
        <w:tc>
          <w:tcPr>
            <w:tcW w:w="936" w:type="dxa"/>
            <w:vAlign w:val="center"/>
          </w:tcPr>
          <w:p>
            <w:pPr>
              <w:spacing w:line="440" w:lineRule="exact"/>
              <w:jc w:val="center"/>
              <w:rPr>
                <w:rFonts w:ascii="宋体" w:hAnsi="宋体" w:cs="宋体"/>
                <w:highlight w:val="none"/>
              </w:rPr>
            </w:pPr>
            <w:r>
              <w:rPr>
                <w:rFonts w:hint="eastAsia" w:ascii="宋体" w:hAnsi="宋体" w:cs="宋体"/>
                <w:highlight w:val="none"/>
              </w:rPr>
              <w:t>套</w:t>
            </w:r>
          </w:p>
        </w:tc>
        <w:tc>
          <w:tcPr>
            <w:tcW w:w="1236" w:type="dxa"/>
          </w:tcPr>
          <w:p>
            <w:pPr>
              <w:jc w:val="left"/>
              <w:rPr>
                <w:bCs/>
                <w:szCs w:val="21"/>
                <w:highlight w:val="none"/>
              </w:rPr>
            </w:pPr>
          </w:p>
        </w:tc>
        <w:tc>
          <w:tcPr>
            <w:tcW w:w="2096" w:type="dxa"/>
            <w:vMerge w:val="continue"/>
          </w:tcPr>
          <w:p>
            <w:pPr>
              <w:jc w:val="left"/>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67" w:type="dxa"/>
            <w:gridSpan w:val="6"/>
            <w:vAlign w:val="center"/>
          </w:tcPr>
          <w:p>
            <w:pPr>
              <w:ind w:firstLine="2319" w:firstLineChars="1100"/>
              <w:rPr>
                <w:bCs/>
                <w:szCs w:val="21"/>
              </w:rPr>
            </w:pPr>
            <w:r>
              <w:rPr>
                <w:rFonts w:hint="eastAsia" w:ascii="宋体" w:hAnsi="宋体" w:cs="宋体"/>
                <w:b/>
                <w:bCs/>
              </w:rPr>
              <w:t>自动检测智能控制系统</w:t>
            </w:r>
          </w:p>
        </w:tc>
        <w:tc>
          <w:tcPr>
            <w:tcW w:w="2096" w:type="dxa"/>
            <w:vMerge w:val="continue"/>
            <w:vAlign w:val="center"/>
          </w:tcPr>
          <w:p>
            <w:pPr>
              <w:ind w:firstLine="2319" w:firstLineChars="1100"/>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restart"/>
            <w:vAlign w:val="center"/>
          </w:tcPr>
          <w:p>
            <w:pPr>
              <w:jc w:val="center"/>
              <w:rPr>
                <w:bCs/>
                <w:szCs w:val="21"/>
              </w:rPr>
            </w:pPr>
            <w:r>
              <w:rPr>
                <w:rFonts w:hint="eastAsia"/>
                <w:bCs/>
                <w:szCs w:val="21"/>
              </w:rPr>
              <w:t>27</w:t>
            </w:r>
          </w:p>
        </w:tc>
        <w:tc>
          <w:tcPr>
            <w:tcW w:w="1724" w:type="dxa"/>
            <w:vMerge w:val="restart"/>
          </w:tcPr>
          <w:p>
            <w:pPr>
              <w:spacing w:line="440" w:lineRule="exact"/>
              <w:jc w:val="center"/>
              <w:rPr>
                <w:rFonts w:ascii="宋体" w:hAnsi="宋体" w:cs="宋体"/>
                <w:b w:val="0"/>
                <w:bCs w:val="0"/>
              </w:rPr>
            </w:pPr>
            <w:r>
              <w:rPr>
                <w:rFonts w:hint="eastAsia" w:ascii="宋体" w:hAnsi="宋体" w:cs="宋体"/>
                <w:b w:val="0"/>
                <w:bCs w:val="0"/>
              </w:rPr>
              <w:t>传感器</w:t>
            </w:r>
          </w:p>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PH传感器</w:t>
            </w:r>
          </w:p>
        </w:tc>
        <w:tc>
          <w:tcPr>
            <w:tcW w:w="1128" w:type="dxa"/>
            <w:vAlign w:val="center"/>
          </w:tcPr>
          <w:p>
            <w:pPr>
              <w:spacing w:line="440" w:lineRule="exact"/>
              <w:jc w:val="center"/>
              <w:rPr>
                <w:rFonts w:ascii="宋体" w:hAnsi="宋体" w:cs="宋体"/>
              </w:rPr>
            </w:pPr>
            <w:r>
              <w:rPr>
                <w:rFonts w:hint="eastAsia" w:ascii="宋体" w:hAnsi="宋体" w:cs="宋体"/>
              </w:rPr>
              <w:t>19</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ascii="宋体" w:hAnsi="宋体" w:cs="宋体"/>
              </w:rPr>
              <w:t>液位开关</w:t>
            </w:r>
          </w:p>
        </w:tc>
        <w:tc>
          <w:tcPr>
            <w:tcW w:w="1128" w:type="dxa"/>
            <w:vAlign w:val="center"/>
          </w:tcPr>
          <w:p>
            <w:pPr>
              <w:spacing w:line="440" w:lineRule="exact"/>
              <w:jc w:val="center"/>
              <w:rPr>
                <w:rFonts w:ascii="宋体" w:hAnsi="宋体" w:cs="宋体"/>
              </w:rPr>
            </w:pPr>
            <w:r>
              <w:rPr>
                <w:rFonts w:hint="eastAsia" w:ascii="宋体" w:hAnsi="宋体" w:cs="宋体"/>
              </w:rPr>
              <w:t>29</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ascii="宋体" w:hAnsi="宋体" w:cs="宋体"/>
              </w:rPr>
              <w:t>溶解氧</w:t>
            </w:r>
            <w:r>
              <w:rPr>
                <w:rFonts w:hint="eastAsia" w:ascii="宋体" w:hAnsi="宋体" w:cs="宋体"/>
              </w:rPr>
              <w:t>传感器</w:t>
            </w:r>
          </w:p>
        </w:tc>
        <w:tc>
          <w:tcPr>
            <w:tcW w:w="1128" w:type="dxa"/>
            <w:vAlign w:val="center"/>
          </w:tcPr>
          <w:p>
            <w:pPr>
              <w:spacing w:line="440" w:lineRule="exact"/>
              <w:jc w:val="center"/>
              <w:rPr>
                <w:rFonts w:ascii="宋体" w:hAnsi="宋体" w:cs="宋体"/>
              </w:rPr>
            </w:pPr>
            <w:r>
              <w:rPr>
                <w:rFonts w:hint="eastAsia" w:ascii="宋体" w:hAnsi="宋体" w:cs="宋体"/>
              </w:rPr>
              <w:t>3</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ascii="宋体" w:hAnsi="宋体" w:cs="宋体"/>
              </w:rPr>
              <w:t>雨量传感器</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气</w:t>
            </w:r>
            <w:r>
              <w:rPr>
                <w:rFonts w:ascii="宋体" w:hAnsi="宋体" w:cs="宋体"/>
              </w:rPr>
              <w:t>温</w:t>
            </w:r>
            <w:r>
              <w:rPr>
                <w:rFonts w:hint="eastAsia" w:ascii="宋体" w:hAnsi="宋体" w:cs="宋体"/>
              </w:rPr>
              <w:t>探测器</w:t>
            </w:r>
          </w:p>
        </w:tc>
        <w:tc>
          <w:tcPr>
            <w:tcW w:w="1128" w:type="dxa"/>
            <w:vAlign w:val="center"/>
          </w:tcPr>
          <w:p>
            <w:pPr>
              <w:spacing w:line="440" w:lineRule="exact"/>
              <w:jc w:val="center"/>
              <w:rPr>
                <w:rFonts w:ascii="宋体" w:hAnsi="宋体" w:cs="宋体"/>
              </w:rPr>
            </w:pPr>
            <w:r>
              <w:rPr>
                <w:rFonts w:hint="eastAsia" w:ascii="宋体" w:hAnsi="宋体" w:cs="宋体"/>
              </w:rPr>
              <w:t>2</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ascii="宋体" w:hAnsi="宋体" w:cs="宋体"/>
              </w:rPr>
              <w:t>湿度传感器</w:t>
            </w:r>
          </w:p>
        </w:tc>
        <w:tc>
          <w:tcPr>
            <w:tcW w:w="1128" w:type="dxa"/>
            <w:vAlign w:val="center"/>
          </w:tcPr>
          <w:p>
            <w:pPr>
              <w:spacing w:line="440" w:lineRule="exact"/>
              <w:jc w:val="center"/>
              <w:rPr>
                <w:rFonts w:ascii="宋体" w:hAnsi="宋体" w:cs="宋体"/>
              </w:rPr>
            </w:pPr>
            <w:r>
              <w:rPr>
                <w:rFonts w:hint="eastAsia" w:ascii="宋体" w:hAnsi="宋体" w:cs="宋体"/>
              </w:rPr>
              <w:t>2</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highlight w:val="none"/>
              </w:rPr>
            </w:pPr>
            <w:r>
              <w:rPr>
                <w:rFonts w:ascii="宋体" w:hAnsi="宋体" w:cs="宋体"/>
                <w:highlight w:val="none"/>
              </w:rPr>
              <w:t>流量传感器</w:t>
            </w:r>
          </w:p>
        </w:tc>
        <w:tc>
          <w:tcPr>
            <w:tcW w:w="1128" w:type="dxa"/>
            <w:vAlign w:val="center"/>
          </w:tcPr>
          <w:p>
            <w:pPr>
              <w:spacing w:line="440" w:lineRule="exact"/>
              <w:jc w:val="center"/>
              <w:rPr>
                <w:rFonts w:ascii="宋体" w:hAnsi="宋体" w:cs="宋体"/>
                <w:highlight w:val="none"/>
              </w:rPr>
            </w:pPr>
            <w:r>
              <w:rPr>
                <w:rFonts w:hint="eastAsia" w:ascii="宋体" w:hAnsi="宋体" w:cs="宋体"/>
                <w:highlight w:val="none"/>
              </w:rPr>
              <w:t>8</w:t>
            </w:r>
          </w:p>
        </w:tc>
        <w:tc>
          <w:tcPr>
            <w:tcW w:w="936" w:type="dxa"/>
            <w:vAlign w:val="center"/>
          </w:tcPr>
          <w:p>
            <w:pPr>
              <w:spacing w:line="440" w:lineRule="exact"/>
              <w:jc w:val="center"/>
              <w:rPr>
                <w:rFonts w:ascii="宋体" w:hAnsi="宋体" w:cs="宋体"/>
                <w:highlight w:val="none"/>
              </w:rPr>
            </w:pPr>
            <w:r>
              <w:rPr>
                <w:rFonts w:hint="eastAsia" w:ascii="宋体" w:hAnsi="宋体" w:cs="宋体"/>
                <w:highlight w:val="none"/>
              </w:rPr>
              <w:t>个</w:t>
            </w:r>
          </w:p>
        </w:tc>
        <w:tc>
          <w:tcPr>
            <w:tcW w:w="1236" w:type="dxa"/>
          </w:tcPr>
          <w:p>
            <w:pPr>
              <w:jc w:val="center"/>
              <w:rPr>
                <w:bCs/>
                <w:szCs w:val="21"/>
                <w:highlight w:val="none"/>
              </w:rPr>
            </w:pPr>
          </w:p>
        </w:tc>
        <w:tc>
          <w:tcPr>
            <w:tcW w:w="2096" w:type="dxa"/>
            <w:vMerge w:val="continue"/>
          </w:tcPr>
          <w:p>
            <w:pPr>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ascii="宋体" w:hAnsi="宋体" w:cs="宋体"/>
              </w:rPr>
              <w:t>气象检测终端</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ascii="宋体" w:hAnsi="宋体" w:cs="宋体"/>
              </w:rPr>
              <w:t>电导率</w:t>
            </w:r>
            <w:r>
              <w:rPr>
                <w:rFonts w:hint="eastAsia" w:ascii="宋体" w:hAnsi="宋体" w:cs="宋体"/>
              </w:rPr>
              <w:t>传感器</w:t>
            </w:r>
          </w:p>
        </w:tc>
        <w:tc>
          <w:tcPr>
            <w:tcW w:w="1128" w:type="dxa"/>
            <w:vAlign w:val="center"/>
          </w:tcPr>
          <w:p>
            <w:pPr>
              <w:spacing w:line="440" w:lineRule="exact"/>
              <w:jc w:val="center"/>
              <w:rPr>
                <w:rFonts w:ascii="宋体" w:hAnsi="宋体" w:cs="宋体"/>
              </w:rPr>
            </w:pPr>
            <w:r>
              <w:rPr>
                <w:rFonts w:hint="eastAsia" w:ascii="宋体" w:hAnsi="宋体" w:cs="宋体"/>
              </w:rPr>
              <w:t>2</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ascii="宋体" w:hAnsi="宋体" w:cs="宋体"/>
              </w:rPr>
              <w:t>浊度</w:t>
            </w:r>
            <w:r>
              <w:rPr>
                <w:rFonts w:hint="eastAsia" w:ascii="宋体" w:hAnsi="宋体" w:cs="宋体"/>
              </w:rPr>
              <w:t>传感器</w:t>
            </w:r>
          </w:p>
        </w:tc>
        <w:tc>
          <w:tcPr>
            <w:tcW w:w="1128" w:type="dxa"/>
            <w:vAlign w:val="center"/>
          </w:tcPr>
          <w:p>
            <w:pPr>
              <w:spacing w:line="440" w:lineRule="exact"/>
              <w:jc w:val="center"/>
              <w:rPr>
                <w:rFonts w:ascii="宋体" w:hAnsi="宋体" w:cs="宋体"/>
              </w:rPr>
            </w:pPr>
            <w:r>
              <w:rPr>
                <w:rFonts w:hint="eastAsia" w:ascii="宋体" w:hAnsi="宋体" w:cs="宋体"/>
              </w:rPr>
              <w:t>2</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光照传感器</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Merge w:val="continue"/>
            <w:vAlign w:val="center"/>
          </w:tcPr>
          <w:p>
            <w:pPr>
              <w:jc w:val="center"/>
              <w:rPr>
                <w:bCs/>
                <w:szCs w:val="21"/>
              </w:rPr>
            </w:pPr>
          </w:p>
        </w:tc>
        <w:tc>
          <w:tcPr>
            <w:tcW w:w="1724" w:type="dxa"/>
            <w:vMerge w:val="continue"/>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叶绿素传感器</w:t>
            </w:r>
          </w:p>
        </w:tc>
        <w:tc>
          <w:tcPr>
            <w:tcW w:w="1128" w:type="dxa"/>
            <w:vAlign w:val="center"/>
          </w:tcPr>
          <w:p>
            <w:pPr>
              <w:spacing w:line="440" w:lineRule="exact"/>
              <w:jc w:val="center"/>
              <w:rPr>
                <w:rFonts w:ascii="宋体" w:hAnsi="宋体" w:cs="宋体"/>
              </w:rPr>
            </w:pPr>
            <w:r>
              <w:rPr>
                <w:rFonts w:hint="eastAsia" w:ascii="宋体" w:hAnsi="宋体" w:cs="宋体"/>
              </w:rPr>
              <w:t>2</w:t>
            </w:r>
          </w:p>
        </w:tc>
        <w:tc>
          <w:tcPr>
            <w:tcW w:w="936" w:type="dxa"/>
            <w:vAlign w:val="center"/>
          </w:tcPr>
          <w:p>
            <w:pPr>
              <w:spacing w:line="440" w:lineRule="exact"/>
              <w:jc w:val="center"/>
              <w:rPr>
                <w:rFonts w:ascii="宋体" w:hAnsi="宋体" w:cs="宋体"/>
              </w:rPr>
            </w:pPr>
            <w:r>
              <w:rPr>
                <w:rFonts w:hint="eastAsia" w:ascii="宋体" w:hAnsi="宋体" w:cs="宋体"/>
              </w:rPr>
              <w:t>个</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28</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数据采集仪</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套</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29</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通讯模块</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套</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30</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处理器和显示屏</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套</w:t>
            </w:r>
          </w:p>
        </w:tc>
        <w:tc>
          <w:tcPr>
            <w:tcW w:w="1236" w:type="dxa"/>
          </w:tcPr>
          <w:p>
            <w:pPr>
              <w:jc w:val="center"/>
              <w:rPr>
                <w:bCs/>
                <w:szCs w:val="21"/>
              </w:rPr>
            </w:pPr>
          </w:p>
        </w:tc>
        <w:tc>
          <w:tcPr>
            <w:tcW w:w="2096" w:type="dxa"/>
            <w:vMerge w:val="continue"/>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71" w:type="dxa"/>
            <w:vAlign w:val="center"/>
          </w:tcPr>
          <w:p>
            <w:pPr>
              <w:jc w:val="center"/>
              <w:rPr>
                <w:bCs/>
                <w:szCs w:val="21"/>
              </w:rPr>
            </w:pPr>
            <w:r>
              <w:rPr>
                <w:rFonts w:hint="eastAsia"/>
                <w:bCs/>
                <w:szCs w:val="21"/>
              </w:rPr>
              <w:t>31</w:t>
            </w:r>
          </w:p>
        </w:tc>
        <w:tc>
          <w:tcPr>
            <w:tcW w:w="1724" w:type="dxa"/>
          </w:tcPr>
          <w:p>
            <w:pPr>
              <w:jc w:val="center"/>
              <w:rPr>
                <w:bCs/>
                <w:strike/>
                <w:szCs w:val="21"/>
              </w:rPr>
            </w:pPr>
          </w:p>
        </w:tc>
        <w:tc>
          <w:tcPr>
            <w:tcW w:w="1572" w:type="dxa"/>
            <w:vAlign w:val="center"/>
          </w:tcPr>
          <w:p>
            <w:pPr>
              <w:spacing w:line="440" w:lineRule="exact"/>
              <w:jc w:val="center"/>
              <w:rPr>
                <w:rFonts w:ascii="宋体" w:hAnsi="宋体" w:cs="宋体"/>
              </w:rPr>
            </w:pPr>
            <w:r>
              <w:rPr>
                <w:rFonts w:hint="eastAsia" w:ascii="宋体" w:hAnsi="宋体" w:cs="宋体"/>
              </w:rPr>
              <w:t>防护装置</w:t>
            </w:r>
          </w:p>
        </w:tc>
        <w:tc>
          <w:tcPr>
            <w:tcW w:w="1128" w:type="dxa"/>
            <w:vAlign w:val="center"/>
          </w:tcPr>
          <w:p>
            <w:pPr>
              <w:spacing w:line="440" w:lineRule="exact"/>
              <w:jc w:val="center"/>
              <w:rPr>
                <w:rFonts w:ascii="宋体" w:hAnsi="宋体" w:cs="宋体"/>
              </w:rPr>
            </w:pPr>
            <w:r>
              <w:rPr>
                <w:rFonts w:hint="eastAsia" w:ascii="宋体" w:hAnsi="宋体" w:cs="宋体"/>
              </w:rPr>
              <w:t>1</w:t>
            </w:r>
          </w:p>
        </w:tc>
        <w:tc>
          <w:tcPr>
            <w:tcW w:w="936" w:type="dxa"/>
            <w:vAlign w:val="center"/>
          </w:tcPr>
          <w:p>
            <w:pPr>
              <w:spacing w:line="440" w:lineRule="exact"/>
              <w:jc w:val="center"/>
              <w:rPr>
                <w:rFonts w:ascii="宋体" w:hAnsi="宋体" w:cs="宋体"/>
              </w:rPr>
            </w:pPr>
            <w:r>
              <w:rPr>
                <w:rFonts w:hint="eastAsia" w:ascii="宋体" w:hAnsi="宋体" w:cs="宋体"/>
              </w:rPr>
              <w:t>套</w:t>
            </w:r>
          </w:p>
        </w:tc>
        <w:tc>
          <w:tcPr>
            <w:tcW w:w="1236" w:type="dxa"/>
          </w:tcPr>
          <w:p>
            <w:pPr>
              <w:jc w:val="center"/>
              <w:rPr>
                <w:bCs/>
                <w:szCs w:val="21"/>
              </w:rPr>
            </w:pPr>
          </w:p>
        </w:tc>
        <w:tc>
          <w:tcPr>
            <w:tcW w:w="2096" w:type="dxa"/>
            <w:vMerge w:val="continue"/>
          </w:tcPr>
          <w:p>
            <w:pPr>
              <w:jc w:val="center"/>
              <w:rPr>
                <w:bCs/>
                <w:szCs w:val="21"/>
              </w:rPr>
            </w:pPr>
          </w:p>
        </w:tc>
      </w:tr>
    </w:tbl>
    <w:p>
      <w:pPr>
        <w:pStyle w:val="5"/>
        <w:spacing w:before="120" w:beforeLines="50" w:after="120" w:afterLines="50"/>
        <w:rPr>
          <w:sz w:val="28"/>
          <w:szCs w:val="28"/>
        </w:rPr>
      </w:pPr>
    </w:p>
    <w:p>
      <w:pPr>
        <w:pStyle w:val="5"/>
        <w:spacing w:before="120" w:beforeLines="50" w:after="120" w:afterLines="50"/>
        <w:rPr>
          <w:sz w:val="28"/>
          <w:szCs w:val="28"/>
        </w:rPr>
      </w:pPr>
      <w:r>
        <w:rPr>
          <w:rFonts w:hint="eastAsia"/>
          <w:sz w:val="28"/>
          <w:szCs w:val="28"/>
        </w:rPr>
        <w:t>三、具体技术要求</w:t>
      </w:r>
    </w:p>
    <w:p>
      <w:pPr>
        <w:rPr>
          <w:b/>
          <w:szCs w:val="21"/>
        </w:rPr>
      </w:pPr>
      <w:r>
        <w:rPr>
          <w:rFonts w:hint="eastAsia"/>
          <w:b/>
          <w:szCs w:val="21"/>
        </w:rPr>
        <w:t>说明：1. 投标人须如实填写《技术规格偏离表》，并按招标文件的要求提供相关证明资料，包括产品原厂说明书或产品彩页等。提供的证明资料与投标响应情况不相符的，视为《技术规格偏离表》填写不实。</w:t>
      </w:r>
    </w:p>
    <w:p>
      <w:pPr>
        <w:rPr>
          <w:b/>
          <w:szCs w:val="21"/>
        </w:rPr>
      </w:pPr>
      <w:r>
        <w:rPr>
          <w:rFonts w:hint="eastAsia"/>
          <w:b/>
          <w:szCs w:val="21"/>
        </w:rPr>
        <w:t xml:space="preserve">      2. 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pPr>
        <w:rPr>
          <w:b/>
          <w:szCs w:val="21"/>
        </w:rPr>
      </w:pPr>
    </w:p>
    <w:p>
      <w:pPr>
        <w:rPr>
          <w:b/>
          <w:szCs w:val="21"/>
        </w:rPr>
      </w:pPr>
    </w:p>
    <w:tbl>
      <w:tblPr>
        <w:tblStyle w:val="54"/>
        <w:tblW w:w="846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228"/>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8" w:type="dxa"/>
            <w:vAlign w:val="center"/>
          </w:tcPr>
          <w:p>
            <w:pPr>
              <w:jc w:val="center"/>
              <w:rPr>
                <w:szCs w:val="21"/>
              </w:rPr>
            </w:pPr>
            <w:r>
              <w:rPr>
                <w:rFonts w:hint="eastAsia"/>
                <w:szCs w:val="21"/>
              </w:rPr>
              <w:t>序号</w:t>
            </w:r>
          </w:p>
        </w:tc>
        <w:tc>
          <w:tcPr>
            <w:tcW w:w="1228" w:type="dxa"/>
            <w:vAlign w:val="center"/>
          </w:tcPr>
          <w:p>
            <w:pPr>
              <w:widowControl/>
              <w:jc w:val="center"/>
              <w:rPr>
                <w:szCs w:val="21"/>
              </w:rPr>
            </w:pPr>
            <w:r>
              <w:rPr>
                <w:rFonts w:hint="eastAsia"/>
                <w:szCs w:val="21"/>
              </w:rPr>
              <w:t>货物名称</w:t>
            </w:r>
          </w:p>
        </w:tc>
        <w:tc>
          <w:tcPr>
            <w:tcW w:w="6664" w:type="dxa"/>
            <w:vAlign w:val="center"/>
          </w:tcPr>
          <w:p>
            <w:pPr>
              <w:jc w:val="center"/>
              <w:rPr>
                <w:szCs w:val="21"/>
              </w:rPr>
            </w:pPr>
            <w:r>
              <w:rPr>
                <w:rFonts w:hint="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restart"/>
            <w:vAlign w:val="center"/>
          </w:tcPr>
          <w:p>
            <w:pPr>
              <w:jc w:val="center"/>
              <w:rPr>
                <w:b/>
                <w:szCs w:val="21"/>
              </w:rPr>
            </w:pPr>
            <w:r>
              <w:rPr>
                <w:rFonts w:hint="eastAsia"/>
                <w:b/>
                <w:szCs w:val="21"/>
              </w:rPr>
              <w:t>1</w:t>
            </w:r>
          </w:p>
        </w:tc>
        <w:tc>
          <w:tcPr>
            <w:tcW w:w="1228" w:type="dxa"/>
            <w:vMerge w:val="restart"/>
            <w:vAlign w:val="center"/>
          </w:tcPr>
          <w:p>
            <w:pPr>
              <w:jc w:val="center"/>
              <w:rPr>
                <w:b/>
                <w:szCs w:val="21"/>
              </w:rPr>
            </w:pPr>
            <w:r>
              <w:rPr>
                <w:rFonts w:hint="eastAsia"/>
                <w:bCs/>
                <w:szCs w:val="21"/>
              </w:rPr>
              <w:t>微藻光合反应器主体</w:t>
            </w:r>
          </w:p>
        </w:tc>
        <w:tc>
          <w:tcPr>
            <w:tcW w:w="6664" w:type="dxa"/>
          </w:tcPr>
          <w:p>
            <w:pPr>
              <w:rPr>
                <w:b/>
              </w:rPr>
            </w:pPr>
            <w:r>
              <w:rPr>
                <w:rFonts w:hint="eastAsia"/>
                <w:b/>
                <w:szCs w:val="21"/>
              </w:rPr>
              <w:t>★</w:t>
            </w:r>
            <w:r>
              <w:rPr>
                <w:rFonts w:hint="eastAsia"/>
                <w:b/>
              </w:rPr>
              <w:t>1.1</w:t>
            </w:r>
            <w:r>
              <w:rPr>
                <w:rFonts w:hint="eastAsia"/>
                <w:bCs/>
              </w:rPr>
              <w:t>反应器主体包含三级，一级反应器数量2台，长宽高分别为：12000*6000*600mm（</w:t>
            </w:r>
            <w:r>
              <w:rPr>
                <w:rFonts w:hint="eastAsia" w:ascii="微软雅黑" w:hAnsi="微软雅黑" w:eastAsia="微软雅黑" w:cs="微软雅黑"/>
                <w:bCs/>
              </w:rPr>
              <w:t>±</w:t>
            </w:r>
            <w:r>
              <w:rPr>
                <w:rFonts w:hint="eastAsia"/>
                <w:bCs/>
              </w:rPr>
              <w:t>20mm）。沿长边在中央位置建有隔板，隔板两端做弧形导流板，隔板尺寸为9000*600mm（</w:t>
            </w:r>
            <w:r>
              <w:rPr>
                <w:rFonts w:hint="eastAsia" w:ascii="微软雅黑" w:hAnsi="微软雅黑" w:eastAsia="微软雅黑" w:cs="微软雅黑"/>
                <w:bCs/>
              </w:rPr>
              <w:t>±</w:t>
            </w:r>
            <w:r>
              <w:rPr>
                <w:rFonts w:hint="eastAsia"/>
                <w:bCs/>
              </w:rPr>
              <w:t>20mm）。反应器两端制成弧形，弧长8000-9500mm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68" w:type="dxa"/>
            <w:vMerge w:val="continue"/>
            <w:vAlign w:val="center"/>
          </w:tcPr>
          <w:p/>
        </w:tc>
        <w:tc>
          <w:tcPr>
            <w:tcW w:w="1228" w:type="dxa"/>
            <w:vMerge w:val="continue"/>
            <w:vAlign w:val="center"/>
          </w:tcPr>
          <w:p/>
        </w:tc>
        <w:tc>
          <w:tcPr>
            <w:tcW w:w="6664" w:type="dxa"/>
          </w:tcPr>
          <w:p>
            <w:pPr>
              <w:rPr>
                <w:bCs/>
              </w:rPr>
            </w:pPr>
            <w:r>
              <w:rPr>
                <w:rFonts w:hint="eastAsia"/>
                <w:b/>
                <w:szCs w:val="21"/>
              </w:rPr>
              <w:t>★</w:t>
            </w:r>
            <w:r>
              <w:rPr>
                <w:rFonts w:hint="eastAsia"/>
                <w:b/>
              </w:rPr>
              <w:t>1.2</w:t>
            </w:r>
            <w:r>
              <w:rPr>
                <w:rFonts w:hint="eastAsia"/>
                <w:bCs/>
              </w:rPr>
              <w:t>反应器主体包含三级，二级反应器为双缸结构，长宽高分别为36000*（3000*2）*600mm（</w:t>
            </w:r>
            <w:r>
              <w:rPr>
                <w:rFonts w:hint="eastAsia" w:ascii="微软雅黑" w:hAnsi="微软雅黑" w:eastAsia="微软雅黑" w:cs="微软雅黑"/>
                <w:bCs/>
              </w:rPr>
              <w:t>±</w:t>
            </w:r>
            <w:r>
              <w:rPr>
                <w:rFonts w:hint="eastAsia"/>
                <w:bCs/>
              </w:rPr>
              <w:t>20mm），数量8台。反应器沿长边在中央位置建有隔板，隔板两端做弧形导流板，隔板尺寸为31000*600mm（</w:t>
            </w:r>
            <w:r>
              <w:rPr>
                <w:rFonts w:hint="eastAsia" w:ascii="微软雅黑" w:hAnsi="微软雅黑" w:eastAsia="微软雅黑" w:cs="微软雅黑"/>
                <w:bCs/>
              </w:rPr>
              <w:t>±</w:t>
            </w:r>
            <w:r>
              <w:rPr>
                <w:rFonts w:hint="eastAsia"/>
                <w:bCs/>
              </w:rPr>
              <w:t>20mm）。反应器两端制成弧形，弧长8000-9500mm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68" w:type="dxa"/>
            <w:vMerge w:val="continue"/>
            <w:vAlign w:val="center"/>
          </w:tcPr>
          <w:p>
            <w:pPr>
              <w:rPr>
                <w:bCs/>
              </w:rPr>
            </w:pPr>
          </w:p>
        </w:tc>
        <w:tc>
          <w:tcPr>
            <w:tcW w:w="1228" w:type="dxa"/>
            <w:vMerge w:val="continue"/>
            <w:vAlign w:val="center"/>
          </w:tcPr>
          <w:p>
            <w:pPr>
              <w:rPr>
                <w:bCs/>
              </w:rPr>
            </w:pPr>
          </w:p>
        </w:tc>
        <w:tc>
          <w:tcPr>
            <w:tcW w:w="6664" w:type="dxa"/>
          </w:tcPr>
          <w:p>
            <w:pPr>
              <w:rPr>
                <w:bCs/>
              </w:rPr>
            </w:pPr>
            <w:r>
              <w:rPr>
                <w:rFonts w:hint="eastAsia"/>
                <w:b/>
                <w:szCs w:val="21"/>
              </w:rPr>
              <w:t>★</w:t>
            </w:r>
            <w:r>
              <w:rPr>
                <w:rFonts w:hint="eastAsia"/>
                <w:b/>
              </w:rPr>
              <w:t>1.3</w:t>
            </w:r>
            <w:r>
              <w:rPr>
                <w:rFonts w:hint="eastAsia"/>
                <w:bCs/>
              </w:rPr>
              <w:t>反应器主体包含三级，三级反应器数量11台，长宽高分别为</w:t>
            </w:r>
          </w:p>
          <w:p>
            <w:pPr>
              <w:rPr>
                <w:bCs/>
              </w:rPr>
            </w:pPr>
            <w:r>
              <w:rPr>
                <w:rFonts w:hint="eastAsia"/>
                <w:bCs/>
              </w:rPr>
              <w:t>50000*6000*600mm（</w:t>
            </w:r>
            <w:r>
              <w:rPr>
                <w:rFonts w:hint="eastAsia" w:ascii="微软雅黑" w:hAnsi="微软雅黑" w:eastAsia="微软雅黑" w:cs="微软雅黑"/>
                <w:bCs/>
              </w:rPr>
              <w:t>±</w:t>
            </w:r>
            <w:r>
              <w:rPr>
                <w:rFonts w:hint="eastAsia"/>
                <w:bCs/>
              </w:rPr>
              <w:t>20mm）。反应器沿长边在中央位置建有隔板，隔板两端做弧形导流板，隔板尺寸为39000*600mm（</w:t>
            </w:r>
            <w:r>
              <w:rPr>
                <w:rFonts w:hint="eastAsia" w:ascii="微软雅黑" w:hAnsi="微软雅黑" w:eastAsia="微软雅黑" w:cs="微软雅黑"/>
                <w:bCs/>
              </w:rPr>
              <w:t>±</w:t>
            </w:r>
            <w:r>
              <w:rPr>
                <w:rFonts w:hint="eastAsia"/>
                <w:bCs/>
              </w:rPr>
              <w:t>20mm）。反应器两端制成弧形，弧长8000-9500mm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68" w:type="dxa"/>
            <w:vMerge w:val="continue"/>
            <w:vAlign w:val="center"/>
          </w:tcPr>
          <w:p/>
        </w:tc>
        <w:tc>
          <w:tcPr>
            <w:tcW w:w="1228" w:type="dxa"/>
            <w:vMerge w:val="continue"/>
            <w:vAlign w:val="center"/>
          </w:tcPr>
          <w:p/>
        </w:tc>
        <w:tc>
          <w:tcPr>
            <w:tcW w:w="6664" w:type="dxa"/>
          </w:tcPr>
          <w:p>
            <w:pPr>
              <w:rPr>
                <w:bCs/>
              </w:rPr>
            </w:pPr>
            <w:r>
              <w:rPr>
                <w:rFonts w:hint="eastAsia"/>
                <w:b/>
                <w:szCs w:val="21"/>
              </w:rPr>
              <w:t>★</w:t>
            </w:r>
            <w:r>
              <w:rPr>
                <w:rFonts w:hint="eastAsia"/>
                <w:b/>
              </w:rPr>
              <w:t>1.4</w:t>
            </w:r>
            <w:r>
              <w:rPr>
                <w:rFonts w:hint="eastAsia"/>
                <w:bCs/>
              </w:rPr>
              <w:t>反应器采用≥10mm厚食品级A级PP（聚丙烯）板熔接而成，</w:t>
            </w:r>
            <w:r>
              <w:rPr>
                <w:rFonts w:hint="eastAsia"/>
                <w:color w:val="000000"/>
              </w:rPr>
              <w:t>耐腐蚀、抗UV、抗老化，</w:t>
            </w:r>
            <w:r>
              <w:rPr>
                <w:rFonts w:hint="eastAsia"/>
                <w:bCs/>
              </w:rPr>
              <w:t>焊条与板材同质，材料提供权威第三方质检报告，符合：密度：0.9-0.92g/cm³，抗拉强度≥60Mpa，清洁度（色粒）：1～5个/Kg（目测），维卡软化温度≥135ºC，洛氏硬度≥R95/，拉伸强度≥60Mpa，弯曲强度≥3500Mpa，悬背梁冲击强度≥35J/m（23ºC），RoHS中限制使用的六种有害物质：镉、汞、铅、六价铬、聚溴二苯醚和聚溴联苯，其中镉的限量指标为100ppm（0.0lwt%），另外五种物质限量为1000ppm（0.lwt%），负荷变形温度＞60℃，弯曲模量＞1000Mpa。</w:t>
            </w:r>
          </w:p>
          <w:p>
            <w:pPr>
              <w:spacing w:line="80" w:lineRule="exact"/>
              <w:rPr>
                <w:bCs/>
              </w:rPr>
            </w:pPr>
          </w:p>
          <w:p>
            <w:pPr>
              <w:rPr>
                <w:bCs/>
              </w:rPr>
            </w:pPr>
            <w:r>
              <w:rPr>
                <w:rFonts w:hint="eastAsia"/>
                <w:bCs/>
              </w:rPr>
              <w:t>反应器熔接完成后，内部要求平整、光滑，无凹凸不平和毛刺，</w:t>
            </w:r>
            <w:r>
              <w:rPr>
                <w:rFonts w:hint="eastAsia"/>
                <w:color w:val="000000"/>
              </w:rPr>
              <w:t>可长期承受满载水体压力，可长期耐受海水腐蚀，并</w:t>
            </w:r>
            <w:r>
              <w:rPr>
                <w:rFonts w:hint="eastAsia"/>
              </w:rPr>
              <w:t>能够在0℃~60℃环境下稳定工作，</w:t>
            </w:r>
            <w:r>
              <w:rPr>
                <w:rFonts w:hint="eastAsia"/>
                <w:color w:val="000000"/>
              </w:rPr>
              <w:t>而不引起局部或整体的变形、渗漏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68" w:type="dxa"/>
            <w:vMerge w:val="continue"/>
            <w:vAlign w:val="center"/>
          </w:tcPr>
          <w:p>
            <w:pPr>
              <w:jc w:val="center"/>
              <w:rPr>
                <w:b/>
                <w:szCs w:val="21"/>
              </w:rPr>
            </w:pPr>
          </w:p>
        </w:tc>
        <w:tc>
          <w:tcPr>
            <w:tcW w:w="1228" w:type="dxa"/>
            <w:vMerge w:val="continue"/>
            <w:vAlign w:val="center"/>
          </w:tcPr>
          <w:p>
            <w:pPr>
              <w:jc w:val="center"/>
              <w:rPr>
                <w:b/>
                <w:szCs w:val="21"/>
              </w:rPr>
            </w:pPr>
          </w:p>
        </w:tc>
        <w:tc>
          <w:tcPr>
            <w:tcW w:w="6664" w:type="dxa"/>
          </w:tcPr>
          <w:p>
            <w:pPr>
              <w:rPr>
                <w:bCs/>
                <w:szCs w:val="21"/>
              </w:rPr>
            </w:pPr>
            <w:r>
              <w:rPr>
                <w:rFonts w:hint="eastAsia"/>
                <w:b/>
                <w:szCs w:val="21"/>
              </w:rPr>
              <w:t>1.5</w:t>
            </w:r>
            <w:r>
              <w:rPr>
                <w:rFonts w:hint="eastAsia"/>
                <w:bCs/>
                <w:szCs w:val="21"/>
              </w:rPr>
              <w:t xml:space="preserve">反应器安放区事先挖槽，反应器沉放后底板保持平整，底板表面纵向凹凸量的偏差值≤3mm；可以制造斜度，整体斜度范围在0.3%-2%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2</w:t>
            </w:r>
          </w:p>
        </w:tc>
        <w:tc>
          <w:tcPr>
            <w:tcW w:w="1228" w:type="dxa"/>
            <w:vAlign w:val="center"/>
          </w:tcPr>
          <w:p>
            <w:pPr>
              <w:spacing w:line="440" w:lineRule="exact"/>
              <w:jc w:val="center"/>
              <w:rPr>
                <w:rFonts w:ascii="宋体" w:hAnsi="宋体" w:cs="宋体"/>
              </w:rPr>
            </w:pPr>
            <w:r>
              <w:rPr>
                <w:rFonts w:hint="eastAsia" w:ascii="宋体" w:hAnsi="宋体" w:cs="宋体"/>
              </w:rPr>
              <w:t>推流搅拌器</w:t>
            </w:r>
          </w:p>
        </w:tc>
        <w:tc>
          <w:tcPr>
            <w:tcW w:w="6664" w:type="dxa"/>
          </w:tcPr>
          <w:p>
            <w:pPr>
              <w:rPr>
                <w:bCs/>
              </w:rPr>
            </w:pPr>
            <w:r>
              <w:rPr>
                <w:rFonts w:hint="eastAsia" w:ascii="仿宋_GB2312" w:eastAsia="仿宋_GB2312"/>
                <w:szCs w:val="21"/>
              </w:rPr>
              <w:t>▲</w:t>
            </w:r>
            <w:r>
              <w:rPr>
                <w:rFonts w:hint="eastAsia"/>
                <w:bCs/>
              </w:rPr>
              <w:t>推流搅拌器构造为叶轮式。叶片采用食品级304不锈钢或PP制成，主轴和支架采用食品级304不锈钢、304不锈钢制成，变频电机驱动，运行速度在下限为0rpm、上限60-80rpm范围内无极调速，轴距与三种规格反应器相匹配，分别为：1.5m、3m（</w:t>
            </w:r>
            <w:r>
              <w:rPr>
                <w:rFonts w:hint="eastAsia" w:ascii="微软雅黑" w:hAnsi="微软雅黑" w:eastAsia="微软雅黑" w:cs="微软雅黑"/>
                <w:bCs/>
              </w:rPr>
              <w:t>±</w:t>
            </w:r>
            <w:r>
              <w:rPr>
                <w:rFonts w:hint="eastAsia"/>
                <w:bCs/>
              </w:rPr>
              <w:t>20mm），运行压力＜0.4Mpa。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3</w:t>
            </w:r>
          </w:p>
        </w:tc>
        <w:tc>
          <w:tcPr>
            <w:tcW w:w="1228" w:type="dxa"/>
            <w:vAlign w:val="center"/>
          </w:tcPr>
          <w:p>
            <w:pPr>
              <w:spacing w:line="440" w:lineRule="exact"/>
              <w:jc w:val="center"/>
              <w:rPr>
                <w:rFonts w:ascii="宋体" w:hAnsi="宋体" w:cs="宋体"/>
              </w:rPr>
            </w:pPr>
            <w:r>
              <w:rPr>
                <w:rFonts w:hint="eastAsia" w:ascii="宋体" w:hAnsi="宋体" w:cs="宋体"/>
              </w:rPr>
              <w:t>反应器加固装置</w:t>
            </w:r>
          </w:p>
        </w:tc>
        <w:tc>
          <w:tcPr>
            <w:tcW w:w="6664" w:type="dxa"/>
          </w:tcPr>
          <w:p>
            <w:pPr>
              <w:rPr>
                <w:bCs/>
              </w:rPr>
            </w:pPr>
            <w:r>
              <w:rPr>
                <w:rFonts w:hint="eastAsia"/>
                <w:b/>
                <w:szCs w:val="21"/>
              </w:rPr>
              <w:t>★</w:t>
            </w:r>
            <w:r>
              <w:rPr>
                <w:rFonts w:hint="eastAsia"/>
                <w:bCs/>
              </w:rPr>
              <w:t>反应器整体下沉地平面20-30cm，事先在反应器安放区域根据反应器外形挖槽，槽区紧贴反应器，空位不超过30mm，并处理槽内底部和四壁土质达到平整和坚实。反应器外围加固，</w:t>
            </w:r>
            <w:r>
              <w:rPr>
                <w:rFonts w:hint="eastAsia"/>
                <w:bCs/>
                <w:szCs w:val="21"/>
              </w:rPr>
              <w:t>加固采用PP条板加筋加固，板条厚度≥12mm、宽度≥7cm，板条间距≤80cm，边缘上下加法兰，宽度≥8厘米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4</w:t>
            </w:r>
          </w:p>
        </w:tc>
        <w:tc>
          <w:tcPr>
            <w:tcW w:w="1228" w:type="dxa"/>
            <w:vAlign w:val="center"/>
          </w:tcPr>
          <w:p>
            <w:pPr>
              <w:spacing w:line="440" w:lineRule="exact"/>
              <w:jc w:val="center"/>
              <w:rPr>
                <w:rFonts w:ascii="宋体" w:hAnsi="宋体" w:cs="宋体"/>
              </w:rPr>
            </w:pPr>
            <w:r>
              <w:rPr>
                <w:rFonts w:hint="eastAsia" w:ascii="宋体" w:hAnsi="宋体" w:cs="宋体"/>
              </w:rPr>
              <w:t>主水管</w:t>
            </w:r>
          </w:p>
        </w:tc>
        <w:tc>
          <w:tcPr>
            <w:tcW w:w="6664" w:type="dxa"/>
          </w:tcPr>
          <w:p>
            <w:pPr>
              <w:rPr>
                <w:b/>
                <w:szCs w:val="21"/>
              </w:rPr>
            </w:pPr>
            <w:r>
              <w:rPr>
                <w:rFonts w:hint="eastAsia"/>
                <w:bCs/>
              </w:rPr>
              <w:t>进出水管网系统连接反应器和相关设备、设施，主水管总量≥550m（以实际用量为准），材质符合国标，PP、PPR或PVC，规格：DN150mm、160mm、100mm，工作压力≥1.2MPa，寿命≥50年，连接方式：热熔、电熔、专用胶。</w:t>
            </w:r>
            <w:r>
              <w:rPr>
                <w:rFonts w:hint="eastAsia" w:ascii="宋体" w:hAnsi="宋体"/>
              </w:rPr>
              <w:t>地埋处理，留检修口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5</w:t>
            </w:r>
          </w:p>
        </w:tc>
        <w:tc>
          <w:tcPr>
            <w:tcW w:w="1228" w:type="dxa"/>
            <w:vAlign w:val="center"/>
          </w:tcPr>
          <w:p>
            <w:pPr>
              <w:spacing w:line="440" w:lineRule="exact"/>
              <w:jc w:val="center"/>
              <w:rPr>
                <w:rFonts w:ascii="宋体" w:hAnsi="宋体" w:cs="宋体"/>
              </w:rPr>
            </w:pPr>
            <w:r>
              <w:rPr>
                <w:rFonts w:hint="eastAsia" w:ascii="宋体" w:hAnsi="宋体" w:cs="宋体"/>
              </w:rPr>
              <w:t>分水管</w:t>
            </w:r>
          </w:p>
        </w:tc>
        <w:tc>
          <w:tcPr>
            <w:tcW w:w="6664" w:type="dxa"/>
          </w:tcPr>
          <w:p>
            <w:pPr>
              <w:rPr>
                <w:b/>
                <w:szCs w:val="21"/>
                <w:highlight w:val="none"/>
              </w:rPr>
            </w:pPr>
            <w:r>
              <w:rPr>
                <w:rFonts w:hint="eastAsia"/>
                <w:bCs/>
                <w:highlight w:val="none"/>
              </w:rPr>
              <w:t>进出水管网系统连接反应器和相关设备、设施，分水管总量≥4800m（以实际用量为准），材质符合国标，PP、PPR或PVC，规格：DN25mm、40mm、80mm，工作压力≥1.2MPa，寿命≥50年，连接方式：热熔、电熔、专用胶。</w:t>
            </w:r>
            <w:r>
              <w:rPr>
                <w:rFonts w:hint="eastAsia" w:ascii="宋体" w:hAnsi="宋体"/>
                <w:highlight w:val="none"/>
              </w:rPr>
              <w:t>地埋处理，留检修口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6</w:t>
            </w:r>
          </w:p>
        </w:tc>
        <w:tc>
          <w:tcPr>
            <w:tcW w:w="1228" w:type="dxa"/>
            <w:vAlign w:val="center"/>
          </w:tcPr>
          <w:p>
            <w:pPr>
              <w:spacing w:line="440" w:lineRule="exact"/>
              <w:jc w:val="center"/>
              <w:rPr>
                <w:rFonts w:ascii="宋体" w:hAnsi="宋体" w:cs="宋体"/>
              </w:rPr>
            </w:pPr>
            <w:r>
              <w:rPr>
                <w:rFonts w:hint="eastAsia" w:ascii="宋体" w:hAnsi="宋体" w:cs="宋体"/>
              </w:rPr>
              <w:t>电缆</w:t>
            </w:r>
          </w:p>
        </w:tc>
        <w:tc>
          <w:tcPr>
            <w:tcW w:w="6664" w:type="dxa"/>
          </w:tcPr>
          <w:p>
            <w:pPr>
              <w:rPr>
                <w:bCs/>
                <w:highlight w:val="none"/>
                <w:vertAlign w:val="superscript"/>
              </w:rPr>
            </w:pPr>
            <w:r>
              <w:rPr>
                <w:rFonts w:hint="eastAsia"/>
                <w:bCs/>
                <w:highlight w:val="none"/>
              </w:rPr>
              <w:t>电网覆盖整个反应器和辅助设备、设施的工作区域，电缆用量≥28000m（以实际用量为准），材质符合国标，类型：塑料绝缘电力电缆，芯数：2-5芯，芯材：99.99%足铜，额定电压：450/750V，护套材质：PVC，电压等级：中、低压电力电缆（35千伏及以下），规格：0.5、0.75、2.5、25、120mm</w:t>
            </w:r>
            <w:r>
              <w:rPr>
                <w:rFonts w:hint="eastAsia"/>
                <w:bCs/>
                <w:highlight w:val="none"/>
                <w:vertAlign w:val="superscript"/>
              </w:rPr>
              <w:t>2</w:t>
            </w:r>
            <w:r>
              <w:rPr>
                <w:rFonts w:hint="eastAsia"/>
                <w:bCs/>
                <w:highlight w:val="none"/>
              </w:rPr>
              <w:t>。</w:t>
            </w:r>
            <w:r>
              <w:rPr>
                <w:rFonts w:hint="eastAsia" w:ascii="宋体" w:hAnsi="宋体"/>
                <w:highlight w:val="none"/>
              </w:rPr>
              <w:t>地埋处理，留检修口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jc w:val="center"/>
              <w:rPr>
                <w:b/>
                <w:szCs w:val="21"/>
              </w:rPr>
            </w:pPr>
            <w:r>
              <w:rPr>
                <w:rFonts w:hint="eastAsia"/>
                <w:b/>
                <w:szCs w:val="21"/>
              </w:rPr>
              <w:t>7</w:t>
            </w:r>
          </w:p>
        </w:tc>
        <w:tc>
          <w:tcPr>
            <w:tcW w:w="1228" w:type="dxa"/>
            <w:vAlign w:val="center"/>
          </w:tcPr>
          <w:p>
            <w:pPr>
              <w:spacing w:line="440" w:lineRule="exact"/>
              <w:jc w:val="center"/>
              <w:rPr>
                <w:rFonts w:ascii="宋体" w:hAnsi="宋体" w:cs="宋体"/>
              </w:rPr>
            </w:pPr>
            <w:r>
              <w:rPr>
                <w:rFonts w:hint="eastAsia" w:ascii="宋体" w:hAnsi="宋体" w:cs="宋体"/>
              </w:rPr>
              <w:t>阀门</w:t>
            </w:r>
          </w:p>
        </w:tc>
        <w:tc>
          <w:tcPr>
            <w:tcW w:w="6664" w:type="dxa"/>
          </w:tcPr>
          <w:p>
            <w:pPr>
              <w:rPr>
                <w:b/>
                <w:szCs w:val="21"/>
              </w:rPr>
            </w:pPr>
            <w:r>
              <w:rPr>
                <w:rFonts w:hint="eastAsia"/>
                <w:b/>
                <w:szCs w:val="21"/>
              </w:rPr>
              <w:t>★</w:t>
            </w:r>
            <w:r>
              <w:rPr>
                <w:rFonts w:hint="eastAsia"/>
                <w:bCs/>
              </w:rPr>
              <w:t>实现系统内液体流转的控制，阀门总数量≥160个，其中自动控制球阀/电磁阀不低于6个，阀门质量要</w:t>
            </w:r>
            <w:r>
              <w:rPr>
                <w:rFonts w:hint="eastAsia" w:ascii="宋体" w:hAnsi="宋体"/>
              </w:rPr>
              <w:t>求符合国标，</w:t>
            </w:r>
            <w:r>
              <w:rPr>
                <w:rFonts w:hint="eastAsia" w:ascii="宋体" w:hAnsi="宋体"/>
                <w:szCs w:val="21"/>
              </w:rPr>
              <w:t>主材：不锈钢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8</w:t>
            </w:r>
          </w:p>
        </w:tc>
        <w:tc>
          <w:tcPr>
            <w:tcW w:w="1228" w:type="dxa"/>
            <w:vAlign w:val="center"/>
          </w:tcPr>
          <w:p>
            <w:pPr>
              <w:spacing w:line="440" w:lineRule="exact"/>
              <w:jc w:val="center"/>
              <w:rPr>
                <w:rFonts w:ascii="宋体" w:hAnsi="宋体" w:cs="宋体"/>
              </w:rPr>
            </w:pPr>
            <w:r>
              <w:rPr>
                <w:rFonts w:hint="eastAsia" w:ascii="宋体" w:hAnsi="宋体" w:cs="宋体"/>
              </w:rPr>
              <w:t>水泵</w:t>
            </w:r>
          </w:p>
        </w:tc>
        <w:tc>
          <w:tcPr>
            <w:tcW w:w="6664" w:type="dxa"/>
          </w:tcPr>
          <w:p>
            <w:pPr>
              <w:rPr>
                <w:b/>
                <w:szCs w:val="21"/>
              </w:rPr>
            </w:pPr>
            <w:r>
              <w:rPr>
                <w:rFonts w:hint="eastAsia"/>
                <w:b/>
                <w:szCs w:val="21"/>
              </w:rPr>
              <w:t>★</w:t>
            </w:r>
            <w:r>
              <w:rPr>
                <w:rFonts w:hint="eastAsia"/>
                <w:bCs/>
              </w:rPr>
              <w:t>液体在整个系统内的流转尽量利用自然落差和重力，落差不足需引入水泵辅助，全场水泵数量不少于12台，功率≥4Kw，流量≥110m</w:t>
            </w:r>
            <w:r>
              <w:rPr>
                <w:rFonts w:hint="eastAsia"/>
                <w:bCs/>
                <w:vertAlign w:val="superscript"/>
              </w:rPr>
              <w:t>3</w:t>
            </w:r>
            <w:r>
              <w:rPr>
                <w:rFonts w:hint="eastAsia"/>
                <w:bCs/>
              </w:rPr>
              <w:t>/h，扬程≥9m，一二级反应器的配合水泵要求对细胞无剪切力，藻液经过水泵后不会造成细胞伤亡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9</w:t>
            </w:r>
          </w:p>
        </w:tc>
        <w:tc>
          <w:tcPr>
            <w:tcW w:w="1228" w:type="dxa"/>
            <w:vAlign w:val="center"/>
          </w:tcPr>
          <w:p>
            <w:pPr>
              <w:spacing w:line="440" w:lineRule="exact"/>
              <w:jc w:val="center"/>
              <w:rPr>
                <w:rFonts w:ascii="宋体" w:hAnsi="宋体" w:cs="宋体"/>
              </w:rPr>
            </w:pPr>
            <w:r>
              <w:rPr>
                <w:rFonts w:hint="eastAsia" w:ascii="宋体" w:hAnsi="宋体" w:cs="宋体"/>
              </w:rPr>
              <w:t>电柜（带开关）</w:t>
            </w:r>
          </w:p>
        </w:tc>
        <w:tc>
          <w:tcPr>
            <w:tcW w:w="6664" w:type="dxa"/>
          </w:tcPr>
          <w:p>
            <w:pPr>
              <w:rPr>
                <w:b/>
                <w:szCs w:val="21"/>
              </w:rPr>
            </w:pPr>
            <w:r>
              <w:rPr>
                <w:rFonts w:hint="eastAsia" w:ascii="仿宋_GB2312" w:eastAsia="仿宋_GB2312"/>
                <w:szCs w:val="21"/>
              </w:rPr>
              <w:t>▲</w:t>
            </w:r>
            <w:r>
              <w:rPr>
                <w:rFonts w:hint="eastAsia"/>
                <w:bCs/>
              </w:rPr>
              <w:t>电柜带开关，包括：</w:t>
            </w:r>
            <w:r>
              <w:rPr>
                <w:bCs/>
              </w:rPr>
              <w:t>机组控制</w:t>
            </w:r>
            <w:r>
              <w:rPr>
                <w:rFonts w:hint="eastAsia"/>
                <w:bCs/>
              </w:rPr>
              <w:t>总</w:t>
            </w:r>
            <w:r>
              <w:rPr>
                <w:bCs/>
              </w:rPr>
              <w:t>电柜（含变频控制）</w:t>
            </w:r>
            <w:r>
              <w:rPr>
                <w:rFonts w:hint="eastAsia"/>
                <w:bCs/>
              </w:rPr>
              <w:t>（</w:t>
            </w:r>
            <w:r>
              <w:rPr>
                <w:bCs/>
              </w:rPr>
              <w:t>机组开关300A</w:t>
            </w:r>
            <w:r>
              <w:rPr>
                <w:rFonts w:hint="eastAsia"/>
                <w:bCs/>
              </w:rPr>
              <w:t>、</w:t>
            </w:r>
            <w:r>
              <w:rPr>
                <w:bCs/>
              </w:rPr>
              <w:t>池子恒温泵</w:t>
            </w:r>
            <w:r>
              <w:rPr>
                <w:rFonts w:hint="eastAsia"/>
                <w:bCs/>
              </w:rPr>
              <w:t>开关</w:t>
            </w:r>
            <w:r>
              <w:rPr>
                <w:bCs/>
              </w:rPr>
              <w:t>125A</w:t>
            </w:r>
            <w:r>
              <w:rPr>
                <w:rFonts w:hint="eastAsia"/>
                <w:bCs/>
              </w:rPr>
              <w:t>、内循环泵开关63A、机组冷却泵开关100A）；</w:t>
            </w:r>
            <w:r>
              <w:rPr>
                <w:bCs/>
              </w:rPr>
              <w:t>A区电柜</w:t>
            </w:r>
            <w:r>
              <w:rPr>
                <w:rFonts w:hint="eastAsia"/>
                <w:bCs/>
              </w:rPr>
              <w:t>（</w:t>
            </w:r>
            <w:r>
              <w:rPr>
                <w:bCs/>
              </w:rPr>
              <w:t>总开关100A</w:t>
            </w:r>
            <w:r>
              <w:rPr>
                <w:rFonts w:hint="eastAsia"/>
                <w:bCs/>
              </w:rPr>
              <w:t>）；</w:t>
            </w:r>
            <w:r>
              <w:rPr>
                <w:bCs/>
              </w:rPr>
              <w:t>B区电柜</w:t>
            </w:r>
            <w:r>
              <w:rPr>
                <w:rFonts w:hint="eastAsia"/>
                <w:bCs/>
              </w:rPr>
              <w:t>（</w:t>
            </w:r>
            <w:r>
              <w:rPr>
                <w:bCs/>
              </w:rPr>
              <w:t>总开关100A</w:t>
            </w:r>
            <w:r>
              <w:rPr>
                <w:rFonts w:hint="eastAsia"/>
                <w:bCs/>
              </w:rPr>
              <w:t>）；</w:t>
            </w:r>
            <w:r>
              <w:rPr>
                <w:bCs/>
              </w:rPr>
              <w:t>推水器小电柜</w:t>
            </w:r>
            <w:r>
              <w:rPr>
                <w:rFonts w:hint="eastAsia"/>
                <w:bCs/>
              </w:rPr>
              <w:t>（关</w:t>
            </w:r>
            <w:r>
              <w:rPr>
                <w:bCs/>
              </w:rPr>
              <w:t>16A</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10</w:t>
            </w:r>
          </w:p>
        </w:tc>
        <w:tc>
          <w:tcPr>
            <w:tcW w:w="1228" w:type="dxa"/>
            <w:vAlign w:val="center"/>
          </w:tcPr>
          <w:p>
            <w:pPr>
              <w:spacing w:line="440" w:lineRule="exact"/>
              <w:jc w:val="center"/>
              <w:rPr>
                <w:rFonts w:ascii="宋体" w:hAnsi="宋体" w:cs="宋体"/>
              </w:rPr>
            </w:pPr>
            <w:r>
              <w:rPr>
                <w:rFonts w:hint="eastAsia" w:ascii="宋体" w:hAnsi="宋体" w:cs="宋体"/>
              </w:rPr>
              <w:t>恒温机组</w:t>
            </w:r>
          </w:p>
        </w:tc>
        <w:tc>
          <w:tcPr>
            <w:tcW w:w="6664" w:type="dxa"/>
          </w:tcPr>
          <w:p>
            <w:pPr>
              <w:rPr>
                <w:b/>
                <w:szCs w:val="21"/>
              </w:rPr>
            </w:pPr>
            <w:r>
              <w:rPr>
                <w:rFonts w:hint="eastAsia"/>
                <w:b/>
                <w:szCs w:val="21"/>
              </w:rPr>
              <w:t>★</w:t>
            </w:r>
            <w:r>
              <w:rPr>
                <w:rFonts w:hint="eastAsia"/>
                <w:bCs/>
              </w:rPr>
              <w:t>螺杆式双机头冷热一体式系统，具备制冷和升温双重功能，双机头模块式管理，各模块彼此独立、互为备用。功率≥200HP或可处理夏季冷负荷≥650Kw、冬季热负荷≥580Kw。系统最高处理水量≥800m</w:t>
            </w:r>
            <w:r>
              <w:rPr>
                <w:rFonts w:hint="eastAsia"/>
                <w:bCs/>
                <w:vertAlign w:val="superscript"/>
              </w:rPr>
              <w:t>3</w:t>
            </w:r>
            <w:r>
              <w:rPr>
                <w:rFonts w:hint="eastAsia"/>
                <w:bCs/>
              </w:rPr>
              <w:t>，按照初始进水常温，设定温度26℃，到达设定温度的处理时间≤12h，控温范围：3～40℃，控温精度±1℃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11</w:t>
            </w:r>
          </w:p>
        </w:tc>
        <w:tc>
          <w:tcPr>
            <w:tcW w:w="1228" w:type="dxa"/>
            <w:vAlign w:val="center"/>
          </w:tcPr>
          <w:p>
            <w:pPr>
              <w:spacing w:line="440" w:lineRule="exact"/>
              <w:jc w:val="center"/>
              <w:rPr>
                <w:rFonts w:ascii="宋体" w:hAnsi="宋体" w:cs="宋体"/>
              </w:rPr>
            </w:pPr>
            <w:r>
              <w:rPr>
                <w:rFonts w:hint="eastAsia" w:ascii="宋体" w:hAnsi="宋体" w:cs="宋体"/>
              </w:rPr>
              <w:t>水塔</w:t>
            </w:r>
          </w:p>
        </w:tc>
        <w:tc>
          <w:tcPr>
            <w:tcW w:w="6664" w:type="dxa"/>
            <w:vAlign w:val="center"/>
          </w:tcPr>
          <w:p>
            <w:pPr>
              <w:rPr>
                <w:b/>
                <w:szCs w:val="21"/>
              </w:rPr>
            </w:pPr>
            <w:r>
              <w:rPr>
                <w:rFonts w:hint="eastAsia"/>
                <w:bCs/>
              </w:rPr>
              <w:t>钢框架，流量：250—300 m</w:t>
            </w:r>
            <w:r>
              <w:rPr>
                <w:rFonts w:hint="eastAsia"/>
                <w:bCs/>
                <w:vertAlign w:val="superscript"/>
              </w:rPr>
              <w:t>3</w:t>
            </w:r>
            <w:r>
              <w:rPr>
                <w:rFonts w:hint="eastAsia"/>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12</w:t>
            </w:r>
          </w:p>
        </w:tc>
        <w:tc>
          <w:tcPr>
            <w:tcW w:w="1228" w:type="dxa"/>
            <w:vAlign w:val="center"/>
          </w:tcPr>
          <w:p>
            <w:pPr>
              <w:spacing w:line="440" w:lineRule="exact"/>
              <w:jc w:val="center"/>
              <w:rPr>
                <w:rFonts w:ascii="宋体" w:hAnsi="宋体" w:cs="宋体"/>
              </w:rPr>
            </w:pPr>
            <w:r>
              <w:rPr>
                <w:rFonts w:hint="eastAsia" w:ascii="宋体" w:hAnsi="宋体" w:cs="宋体"/>
              </w:rPr>
              <w:t>冷水机</w:t>
            </w:r>
          </w:p>
        </w:tc>
        <w:tc>
          <w:tcPr>
            <w:tcW w:w="6664" w:type="dxa"/>
          </w:tcPr>
          <w:p>
            <w:pPr>
              <w:rPr>
                <w:b/>
                <w:szCs w:val="21"/>
              </w:rPr>
            </w:pPr>
            <w:r>
              <w:rPr>
                <w:rFonts w:hint="eastAsia"/>
                <w:bCs/>
              </w:rPr>
              <w:t>触摸式集成控制系统，控温精度±1℃，控温范围：3～40℃，总功率≥140Kw，蒸发器水量≥120m³，管径≥5寸，外形尺寸长宽高分别为3350*1100*2100mm（</w:t>
            </w:r>
            <w:r>
              <w:rPr>
                <w:rFonts w:hint="eastAsia" w:ascii="微软雅黑" w:hAnsi="微软雅黑" w:eastAsia="微软雅黑" w:cs="微软雅黑"/>
                <w:bCs/>
              </w:rPr>
              <w:t>±</w:t>
            </w:r>
            <w:r>
              <w:rPr>
                <w:rFonts w:hint="eastAsia"/>
                <w:bCs/>
              </w:rPr>
              <w:t>20mm）（不含外部阀门及管道）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13</w:t>
            </w:r>
          </w:p>
        </w:tc>
        <w:tc>
          <w:tcPr>
            <w:tcW w:w="1228" w:type="dxa"/>
            <w:vAlign w:val="center"/>
          </w:tcPr>
          <w:p>
            <w:pPr>
              <w:spacing w:line="440" w:lineRule="exact"/>
              <w:jc w:val="center"/>
              <w:rPr>
                <w:rFonts w:ascii="宋体" w:hAnsi="宋体" w:cs="宋体"/>
              </w:rPr>
            </w:pPr>
            <w:r>
              <w:rPr>
                <w:rFonts w:hint="eastAsia" w:ascii="宋体" w:hAnsi="宋体" w:cs="宋体"/>
              </w:rPr>
              <w:t>水箱</w:t>
            </w:r>
          </w:p>
        </w:tc>
        <w:tc>
          <w:tcPr>
            <w:tcW w:w="6664" w:type="dxa"/>
          </w:tcPr>
          <w:p>
            <w:pPr>
              <w:spacing w:line="400" w:lineRule="exact"/>
              <w:rPr>
                <w:b/>
                <w:szCs w:val="21"/>
              </w:rPr>
            </w:pPr>
            <w:r>
              <w:rPr>
                <w:rFonts w:hint="eastAsia" w:ascii="宋体" w:hAnsi="宋体"/>
              </w:rPr>
              <w:t>循环保温水箱，不锈钢材质，容量不低于15m</w:t>
            </w:r>
            <w:r>
              <w:rPr>
                <w:rFonts w:hint="eastAsia"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14</w:t>
            </w:r>
          </w:p>
        </w:tc>
        <w:tc>
          <w:tcPr>
            <w:tcW w:w="1228" w:type="dxa"/>
            <w:vAlign w:val="center"/>
          </w:tcPr>
          <w:p>
            <w:pPr>
              <w:spacing w:line="440" w:lineRule="exact"/>
              <w:jc w:val="center"/>
              <w:rPr>
                <w:rFonts w:ascii="宋体" w:hAnsi="宋体" w:cs="宋体"/>
              </w:rPr>
            </w:pPr>
            <w:r>
              <w:rPr>
                <w:rFonts w:hint="eastAsia" w:ascii="宋体" w:hAnsi="宋体" w:cs="宋体"/>
              </w:rPr>
              <w:t>冷却循环泵</w:t>
            </w:r>
          </w:p>
        </w:tc>
        <w:tc>
          <w:tcPr>
            <w:tcW w:w="6664" w:type="dxa"/>
            <w:vAlign w:val="center"/>
          </w:tcPr>
          <w:p>
            <w:pPr>
              <w:rPr>
                <w:bCs/>
              </w:rPr>
            </w:pPr>
            <w:r>
              <w:rPr>
                <w:rFonts w:hint="eastAsia"/>
                <w:bCs/>
              </w:rPr>
              <w:t>一用一备，功率≥22Kw，流量≥166m</w:t>
            </w:r>
            <w:r>
              <w:rPr>
                <w:rFonts w:hint="eastAsia"/>
                <w:bCs/>
                <w:vertAlign w:val="superscript"/>
              </w:rPr>
              <w:t>3</w:t>
            </w:r>
            <w:r>
              <w:rPr>
                <w:rFonts w:hint="eastAsia"/>
                <w:bCs/>
              </w:rPr>
              <w:t>/h，扬程≥34m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15</w:t>
            </w:r>
          </w:p>
        </w:tc>
        <w:tc>
          <w:tcPr>
            <w:tcW w:w="1228" w:type="dxa"/>
            <w:vAlign w:val="center"/>
          </w:tcPr>
          <w:p>
            <w:pPr>
              <w:spacing w:line="440" w:lineRule="exact"/>
              <w:jc w:val="center"/>
              <w:rPr>
                <w:rFonts w:ascii="宋体" w:hAnsi="宋体" w:cs="宋体"/>
              </w:rPr>
            </w:pPr>
            <w:r>
              <w:rPr>
                <w:rFonts w:hint="eastAsia" w:ascii="宋体" w:hAnsi="宋体" w:cs="宋体"/>
              </w:rPr>
              <w:t>内冷水泵</w:t>
            </w:r>
          </w:p>
        </w:tc>
        <w:tc>
          <w:tcPr>
            <w:tcW w:w="6664" w:type="dxa"/>
            <w:vAlign w:val="center"/>
          </w:tcPr>
          <w:p>
            <w:pPr>
              <w:rPr>
                <w:bCs/>
              </w:rPr>
            </w:pPr>
            <w:r>
              <w:rPr>
                <w:rFonts w:hint="eastAsia"/>
                <w:bCs/>
              </w:rPr>
              <w:t>一用一备，功率≥15Kw，流量≥166m</w:t>
            </w:r>
            <w:r>
              <w:rPr>
                <w:rFonts w:hint="eastAsia"/>
                <w:bCs/>
                <w:vertAlign w:val="superscript"/>
              </w:rPr>
              <w:t>3</w:t>
            </w:r>
            <w:r>
              <w:rPr>
                <w:rFonts w:hint="eastAsia"/>
                <w:bCs/>
              </w:rPr>
              <w:t>/h，扬程≥21m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16</w:t>
            </w:r>
          </w:p>
        </w:tc>
        <w:tc>
          <w:tcPr>
            <w:tcW w:w="1228" w:type="dxa"/>
            <w:vAlign w:val="center"/>
          </w:tcPr>
          <w:p>
            <w:pPr>
              <w:spacing w:line="440" w:lineRule="exact"/>
              <w:jc w:val="center"/>
              <w:rPr>
                <w:rFonts w:ascii="宋体" w:hAnsi="宋体" w:cs="宋体"/>
              </w:rPr>
            </w:pPr>
            <w:r>
              <w:rPr>
                <w:rFonts w:hint="eastAsia" w:ascii="宋体" w:hAnsi="宋体" w:cs="宋体"/>
              </w:rPr>
              <w:t>外冷水泵</w:t>
            </w:r>
          </w:p>
        </w:tc>
        <w:tc>
          <w:tcPr>
            <w:tcW w:w="6664" w:type="dxa"/>
            <w:vAlign w:val="center"/>
          </w:tcPr>
          <w:p>
            <w:pPr>
              <w:rPr>
                <w:bCs/>
              </w:rPr>
            </w:pPr>
            <w:r>
              <w:rPr>
                <w:rFonts w:hint="eastAsia"/>
                <w:bCs/>
              </w:rPr>
              <w:t>一用一备，功率≥30Kw，流量≥180m</w:t>
            </w:r>
            <w:r>
              <w:rPr>
                <w:rFonts w:hint="eastAsia"/>
                <w:bCs/>
                <w:vertAlign w:val="superscript"/>
              </w:rPr>
              <w:t>3</w:t>
            </w:r>
            <w:r>
              <w:rPr>
                <w:rFonts w:hint="eastAsia"/>
                <w:bCs/>
              </w:rPr>
              <w:t>/h，扬程≥40m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68" w:type="dxa"/>
            <w:vAlign w:val="center"/>
          </w:tcPr>
          <w:p>
            <w:pPr>
              <w:jc w:val="center"/>
              <w:rPr>
                <w:b/>
                <w:szCs w:val="21"/>
              </w:rPr>
            </w:pPr>
            <w:r>
              <w:rPr>
                <w:rFonts w:hint="eastAsia"/>
                <w:b/>
                <w:szCs w:val="21"/>
              </w:rPr>
              <w:t>17</w:t>
            </w:r>
          </w:p>
        </w:tc>
        <w:tc>
          <w:tcPr>
            <w:tcW w:w="1228" w:type="dxa"/>
            <w:vAlign w:val="center"/>
          </w:tcPr>
          <w:p>
            <w:pPr>
              <w:spacing w:line="440" w:lineRule="exact"/>
              <w:jc w:val="center"/>
              <w:rPr>
                <w:rFonts w:ascii="宋体" w:hAnsi="宋体" w:cs="宋体"/>
              </w:rPr>
            </w:pPr>
            <w:r>
              <w:rPr>
                <w:rFonts w:hint="eastAsia" w:ascii="宋体" w:hAnsi="宋体" w:cs="宋体"/>
              </w:rPr>
              <w:t>沉浸式热交换装置</w:t>
            </w:r>
          </w:p>
        </w:tc>
        <w:tc>
          <w:tcPr>
            <w:tcW w:w="6664" w:type="dxa"/>
            <w:vAlign w:val="center"/>
          </w:tcPr>
          <w:p>
            <w:pPr>
              <w:rPr>
                <w:b/>
                <w:szCs w:val="21"/>
              </w:rPr>
            </w:pPr>
            <w:r>
              <w:rPr>
                <w:rFonts w:hint="eastAsia"/>
                <w:b/>
                <w:szCs w:val="21"/>
              </w:rPr>
              <w:t>★</w:t>
            </w:r>
            <w:r>
              <w:rPr>
                <w:rFonts w:hint="eastAsia" w:ascii="宋体" w:hAnsi="宋体"/>
              </w:rPr>
              <w:t>1寸食品级304无缝不锈钢管，</w:t>
            </w:r>
            <w:r>
              <w:rPr>
                <w:rFonts w:hint="eastAsia" w:ascii="宋体" w:hAnsi="宋体"/>
                <w:szCs w:val="21"/>
              </w:rPr>
              <w:t>承压</w:t>
            </w:r>
            <w:r>
              <w:rPr>
                <w:rFonts w:hint="eastAsia"/>
                <w:bCs/>
              </w:rPr>
              <w:t>≥</w:t>
            </w:r>
            <w:r>
              <w:rPr>
                <w:rFonts w:hint="eastAsia" w:ascii="宋体" w:hAnsi="宋体"/>
                <w:szCs w:val="21"/>
              </w:rPr>
              <w:t>1.6Mpa，</w:t>
            </w:r>
            <w:r>
              <w:rPr>
                <w:rFonts w:hint="eastAsia" w:ascii="宋体" w:hAnsi="宋体"/>
              </w:rPr>
              <w:t>距反应器底部5-10cm安装，总长不低于4200m，具快速接头设计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18</w:t>
            </w:r>
          </w:p>
        </w:tc>
        <w:tc>
          <w:tcPr>
            <w:tcW w:w="1228" w:type="dxa"/>
            <w:vAlign w:val="center"/>
          </w:tcPr>
          <w:p>
            <w:pPr>
              <w:spacing w:line="440" w:lineRule="exact"/>
              <w:jc w:val="center"/>
              <w:rPr>
                <w:rFonts w:ascii="宋体" w:hAnsi="宋体" w:cs="宋体"/>
              </w:rPr>
            </w:pPr>
            <w:r>
              <w:rPr>
                <w:rFonts w:hint="eastAsia" w:ascii="宋体" w:hAnsi="宋体" w:cs="宋体"/>
              </w:rPr>
              <w:t>水温传感器</w:t>
            </w:r>
          </w:p>
        </w:tc>
        <w:tc>
          <w:tcPr>
            <w:tcW w:w="6664" w:type="dxa"/>
            <w:vAlign w:val="center"/>
          </w:tcPr>
          <w:p>
            <w:pPr>
              <w:rPr>
                <w:rFonts w:ascii="宋体" w:hAnsi="宋体" w:cs="宋体"/>
                <w:sz w:val="18"/>
                <w:szCs w:val="18"/>
              </w:rPr>
            </w:pPr>
            <w:r>
              <w:rPr>
                <w:rFonts w:hint="eastAsia"/>
                <w:b/>
                <w:szCs w:val="21"/>
              </w:rPr>
              <w:t>★</w:t>
            </w:r>
            <w:r>
              <w:rPr>
                <w:rFonts w:hint="eastAsia"/>
                <w:bCs/>
                <w:szCs w:val="21"/>
              </w:rPr>
              <w:t>接入到一二级反应器中，探测反应器运行温度并反馈到恒温控制的中控台，</w:t>
            </w:r>
            <w:r>
              <w:rPr>
                <w:rFonts w:hint="eastAsia"/>
                <w:bCs/>
              </w:rPr>
              <w:t>量程：-50～80℃，分辩率：0.1℃，准确度：±0.3℃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b/>
                <w:szCs w:val="21"/>
              </w:rPr>
              <w:t>19</w:t>
            </w:r>
          </w:p>
        </w:tc>
        <w:tc>
          <w:tcPr>
            <w:tcW w:w="1228" w:type="dxa"/>
            <w:vAlign w:val="center"/>
          </w:tcPr>
          <w:p>
            <w:pPr>
              <w:spacing w:line="440" w:lineRule="exact"/>
              <w:jc w:val="center"/>
              <w:rPr>
                <w:rFonts w:ascii="宋体" w:hAnsi="宋体" w:cs="宋体"/>
              </w:rPr>
            </w:pPr>
            <w:r>
              <w:rPr>
                <w:rFonts w:hint="eastAsia" w:ascii="宋体" w:hAnsi="宋体" w:cs="宋体"/>
              </w:rPr>
              <w:t>中控台</w:t>
            </w:r>
          </w:p>
        </w:tc>
        <w:tc>
          <w:tcPr>
            <w:tcW w:w="6664" w:type="dxa"/>
            <w:vAlign w:val="center"/>
          </w:tcPr>
          <w:p>
            <w:pPr>
              <w:rPr>
                <w:rFonts w:ascii="宋体" w:hAnsi="宋体" w:cs="宋体"/>
                <w:sz w:val="18"/>
                <w:szCs w:val="18"/>
              </w:rPr>
            </w:pPr>
            <w:r>
              <w:rPr>
                <w:rFonts w:hint="eastAsia" w:ascii="仿宋_GB2312" w:eastAsia="仿宋_GB2312"/>
                <w:szCs w:val="21"/>
              </w:rPr>
              <w:t>▲</w:t>
            </w:r>
            <w:r>
              <w:rPr>
                <w:rFonts w:hint="eastAsia"/>
                <w:bCs/>
              </w:rPr>
              <w:t>PLC全自动控制，带触摸屏，通过接收水温传感器传输的信号，启动或停止恒温机组，自动调控一二级反应器中的水体温度在设定范围内。同时集合到整个系统的中央处理器中，实现在中央控制系统中同时开展自动监控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b/>
                <w:szCs w:val="21"/>
              </w:rPr>
              <w:t>20</w:t>
            </w:r>
          </w:p>
        </w:tc>
        <w:tc>
          <w:tcPr>
            <w:tcW w:w="1228" w:type="dxa"/>
            <w:vAlign w:val="center"/>
          </w:tcPr>
          <w:p>
            <w:pPr>
              <w:spacing w:line="440" w:lineRule="exact"/>
              <w:jc w:val="center"/>
              <w:rPr>
                <w:rFonts w:ascii="宋体" w:hAnsi="宋体" w:cs="宋体"/>
              </w:rPr>
            </w:pPr>
            <w:r>
              <w:rPr>
                <w:rFonts w:hint="eastAsia" w:ascii="宋体" w:hAnsi="宋体" w:cs="宋体"/>
              </w:rPr>
              <w:t>沉降罐</w:t>
            </w:r>
          </w:p>
        </w:tc>
        <w:tc>
          <w:tcPr>
            <w:tcW w:w="6664" w:type="dxa"/>
            <w:vAlign w:val="center"/>
          </w:tcPr>
          <w:p>
            <w:pPr>
              <w:rPr>
                <w:rFonts w:ascii="宋体" w:hAnsi="宋体" w:cs="宋体"/>
                <w:sz w:val="18"/>
                <w:szCs w:val="18"/>
              </w:rPr>
            </w:pPr>
            <w:r>
              <w:rPr>
                <w:rFonts w:hint="eastAsia" w:ascii="仿宋_GB2312" w:eastAsia="仿宋_GB2312"/>
                <w:szCs w:val="21"/>
              </w:rPr>
              <w:t>▲</w:t>
            </w:r>
            <w:r>
              <w:rPr>
                <w:rFonts w:hint="eastAsia"/>
                <w:bCs/>
              </w:rPr>
              <w:t>食品级PP或不锈钢建造，圆柱体、底部锥体，带支撑，容量35-60T，承压≥5000kg/m</w:t>
            </w:r>
            <w:r>
              <w:rPr>
                <w:rFonts w:hint="eastAsia"/>
                <w:bCs/>
                <w:vertAlign w:val="superscript"/>
              </w:rPr>
              <w:t>2</w:t>
            </w:r>
            <w:r>
              <w:rPr>
                <w:rFonts w:hint="eastAsia"/>
                <w:bCs/>
              </w:rPr>
              <w:t>，高径比不超过1.65，不会出现倾覆、横移。带2-4个窥视窗，具低温保温设计，内部暗光，内部顶端带高压自动冲洗装置；下沉式安装（不超出养殖区地平面1.5米）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21</w:t>
            </w:r>
          </w:p>
        </w:tc>
        <w:tc>
          <w:tcPr>
            <w:tcW w:w="1228" w:type="dxa"/>
            <w:vAlign w:val="center"/>
          </w:tcPr>
          <w:p>
            <w:pPr>
              <w:spacing w:line="440" w:lineRule="exact"/>
              <w:jc w:val="center"/>
              <w:rPr>
                <w:rFonts w:ascii="宋体" w:hAnsi="宋体" w:cs="宋体"/>
              </w:rPr>
            </w:pPr>
            <w:r>
              <w:rPr>
                <w:rFonts w:hint="eastAsia" w:ascii="宋体" w:hAnsi="宋体" w:cs="宋体"/>
              </w:rPr>
              <w:t>废液池</w:t>
            </w:r>
          </w:p>
        </w:tc>
        <w:tc>
          <w:tcPr>
            <w:tcW w:w="6664" w:type="dxa"/>
            <w:vAlign w:val="center"/>
          </w:tcPr>
          <w:p>
            <w:pPr>
              <w:rPr>
                <w:b/>
                <w:szCs w:val="21"/>
              </w:rPr>
            </w:pPr>
            <w:r>
              <w:rPr>
                <w:rFonts w:hint="eastAsia"/>
                <w:bCs/>
              </w:rPr>
              <w:t>水泥池，整池做防水处理，容量≥20T，形状不限，四周安装铁质（刷不锈漆）防护栏，防护栏高度≥1m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2</w:t>
            </w:r>
            <w:r>
              <w:rPr>
                <w:b/>
                <w:szCs w:val="21"/>
              </w:rPr>
              <w:t>2</w:t>
            </w:r>
          </w:p>
        </w:tc>
        <w:tc>
          <w:tcPr>
            <w:tcW w:w="1228" w:type="dxa"/>
            <w:vAlign w:val="center"/>
          </w:tcPr>
          <w:p>
            <w:pPr>
              <w:spacing w:line="440" w:lineRule="exact"/>
              <w:jc w:val="center"/>
              <w:rPr>
                <w:rFonts w:ascii="宋体" w:hAnsi="宋体" w:cs="宋体"/>
              </w:rPr>
            </w:pPr>
            <w:r>
              <w:rPr>
                <w:rFonts w:hint="eastAsia" w:ascii="宋体" w:hAnsi="宋体" w:cs="宋体"/>
              </w:rPr>
              <w:t>冷库</w:t>
            </w:r>
          </w:p>
        </w:tc>
        <w:tc>
          <w:tcPr>
            <w:tcW w:w="6664" w:type="dxa"/>
            <w:vAlign w:val="center"/>
          </w:tcPr>
          <w:p>
            <w:pPr>
              <w:rPr>
                <w:rFonts w:ascii="宋体" w:hAnsi="宋体" w:cs="宋体"/>
                <w:sz w:val="18"/>
                <w:szCs w:val="18"/>
              </w:rPr>
            </w:pPr>
            <w:r>
              <w:rPr>
                <w:rFonts w:hint="eastAsia" w:ascii="仿宋_GB2312" w:eastAsia="仿宋_GB2312"/>
                <w:szCs w:val="21"/>
              </w:rPr>
              <w:t>▲</w:t>
            </w:r>
            <w:r>
              <w:rPr>
                <w:rFonts w:hint="eastAsia"/>
                <w:bCs/>
              </w:rPr>
              <w:t>冷库规格不小于长宽高：6000*2400*2500mm，主机≥5HP，半封闭风冷机组，高效冷却，风机功率≥5Kw，库容≥35m</w:t>
            </w:r>
            <w:r>
              <w:rPr>
                <w:rFonts w:hint="eastAsia"/>
                <w:bCs/>
                <w:vertAlign w:val="superscript"/>
              </w:rPr>
              <w:t>3</w:t>
            </w:r>
            <w:r>
              <w:rPr>
                <w:rFonts w:hint="eastAsia"/>
                <w:bCs/>
              </w:rPr>
              <w:t xml:space="preserve"> ，制冷温度：-25℃范围内可调。主材采用厚度不低于0.5mm的304不锈钢板，保温板采用不低于100mm厚的聚氨酯保温板，库门不小于800*1800mm，双面不锈钢材质制成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2</w:t>
            </w:r>
            <w:r>
              <w:rPr>
                <w:b/>
                <w:szCs w:val="21"/>
              </w:rPr>
              <w:t>3</w:t>
            </w:r>
          </w:p>
        </w:tc>
        <w:tc>
          <w:tcPr>
            <w:tcW w:w="1228" w:type="dxa"/>
            <w:vAlign w:val="center"/>
          </w:tcPr>
          <w:p>
            <w:pPr>
              <w:spacing w:line="440" w:lineRule="exact"/>
              <w:jc w:val="center"/>
              <w:rPr>
                <w:rFonts w:ascii="宋体" w:hAnsi="宋体" w:cs="宋体"/>
              </w:rPr>
            </w:pPr>
            <w:r>
              <w:rPr>
                <w:rFonts w:hint="eastAsia" w:ascii="宋体" w:hAnsi="宋体" w:cs="宋体"/>
              </w:rPr>
              <w:t>排水渠</w:t>
            </w:r>
          </w:p>
        </w:tc>
        <w:tc>
          <w:tcPr>
            <w:tcW w:w="6664" w:type="dxa"/>
            <w:vAlign w:val="center"/>
          </w:tcPr>
          <w:p>
            <w:pPr>
              <w:rPr>
                <w:b/>
                <w:szCs w:val="21"/>
              </w:rPr>
            </w:pPr>
            <w:r>
              <w:rPr>
                <w:rFonts w:hint="eastAsia"/>
                <w:b/>
                <w:szCs w:val="21"/>
              </w:rPr>
              <w:t>★</w:t>
            </w:r>
            <w:r>
              <w:rPr>
                <w:rFonts w:hint="eastAsia"/>
                <w:bCs/>
              </w:rPr>
              <w:t>整个场地做排水渠导流，达到及时排水，不会在表面局部积水的效果，排水渠长度不低于800m，以覆盖整个工作区为准，地面制造倾角，最低处向下开挖排水渠。反应器与地面接触位置以胶条或砂浆做封水处理，封水宽度不低于5cm，并于反应器离地高度50-100mm处制作斜面导流板，导流板与地面夹角45-50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2</w:t>
            </w:r>
            <w:r>
              <w:rPr>
                <w:b/>
                <w:szCs w:val="21"/>
              </w:rPr>
              <w:t>4</w:t>
            </w:r>
          </w:p>
        </w:tc>
        <w:tc>
          <w:tcPr>
            <w:tcW w:w="1228" w:type="dxa"/>
            <w:vAlign w:val="center"/>
          </w:tcPr>
          <w:p>
            <w:pPr>
              <w:spacing w:line="440" w:lineRule="exact"/>
              <w:jc w:val="center"/>
              <w:rPr>
                <w:rFonts w:ascii="宋体" w:hAnsi="宋体" w:cs="宋体"/>
              </w:rPr>
            </w:pPr>
            <w:r>
              <w:rPr>
                <w:rFonts w:hint="eastAsia" w:ascii="宋体" w:hAnsi="宋体" w:cs="宋体"/>
              </w:rPr>
              <w:t>玻璃钢格栅</w:t>
            </w:r>
          </w:p>
        </w:tc>
        <w:tc>
          <w:tcPr>
            <w:tcW w:w="6664" w:type="dxa"/>
            <w:vAlign w:val="center"/>
          </w:tcPr>
          <w:p>
            <w:pPr>
              <w:rPr>
                <w:b/>
                <w:szCs w:val="21"/>
              </w:rPr>
            </w:pPr>
            <w:r>
              <w:rPr>
                <w:rFonts w:hint="eastAsia" w:ascii="仿宋_GB2312" w:eastAsia="仿宋_GB2312"/>
                <w:szCs w:val="21"/>
              </w:rPr>
              <w:t>▲</w:t>
            </w:r>
            <w:r>
              <w:rPr>
                <w:rFonts w:hint="eastAsia"/>
                <w:bCs/>
              </w:rPr>
              <w:t>采用玻璃格栅铺设主通道，主通道宽80-120mm，玻璃钢格栅总使用面积≥1400m</w:t>
            </w:r>
            <w:r>
              <w:rPr>
                <w:rFonts w:hint="eastAsia"/>
                <w:bCs/>
                <w:vertAlign w:val="superscript"/>
              </w:rPr>
              <w:t>2</w:t>
            </w:r>
            <w:r>
              <w:rPr>
                <w:rFonts w:hint="eastAsia"/>
                <w:bCs/>
              </w:rPr>
              <w:t>，规格：厚度≥25mm，孔径≥1.2cm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2</w:t>
            </w:r>
            <w:r>
              <w:rPr>
                <w:b/>
                <w:szCs w:val="21"/>
              </w:rPr>
              <w:t>5</w:t>
            </w:r>
          </w:p>
        </w:tc>
        <w:tc>
          <w:tcPr>
            <w:tcW w:w="1228" w:type="dxa"/>
            <w:vAlign w:val="center"/>
          </w:tcPr>
          <w:p>
            <w:pPr>
              <w:spacing w:line="440" w:lineRule="exact"/>
              <w:jc w:val="center"/>
              <w:rPr>
                <w:rFonts w:ascii="宋体" w:hAnsi="宋体" w:cs="宋体"/>
              </w:rPr>
            </w:pPr>
            <w:r>
              <w:rPr>
                <w:rFonts w:hint="eastAsia" w:ascii="宋体" w:hAnsi="宋体" w:cs="宋体"/>
              </w:rPr>
              <w:t>塑胶格栅</w:t>
            </w:r>
          </w:p>
        </w:tc>
        <w:tc>
          <w:tcPr>
            <w:tcW w:w="6664" w:type="dxa"/>
            <w:vAlign w:val="center"/>
          </w:tcPr>
          <w:p>
            <w:pPr>
              <w:rPr>
                <w:b/>
                <w:szCs w:val="21"/>
              </w:rPr>
            </w:pPr>
            <w:r>
              <w:rPr>
                <w:rFonts w:hint="eastAsia" w:ascii="仿宋_GB2312" w:eastAsia="仿宋_GB2312"/>
                <w:szCs w:val="21"/>
              </w:rPr>
              <w:t>▲</w:t>
            </w:r>
            <w:r>
              <w:rPr>
                <w:rFonts w:hint="eastAsia"/>
                <w:bCs/>
              </w:rPr>
              <w:t>除主通道外的剩余面积采用塑胶格栅铺设，塑胶格栅总使用面积≥1200m</w:t>
            </w:r>
            <w:r>
              <w:rPr>
                <w:rFonts w:hint="eastAsia"/>
                <w:bCs/>
                <w:vertAlign w:val="superscript"/>
              </w:rPr>
              <w:t>2</w:t>
            </w:r>
            <w:r>
              <w:rPr>
                <w:rFonts w:hint="eastAsia"/>
                <w:bCs/>
              </w:rPr>
              <w:t xml:space="preserve">，规格：厚度≥18mm，孔径≥1.2cm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68" w:type="dxa"/>
            <w:vAlign w:val="center"/>
          </w:tcPr>
          <w:p>
            <w:pPr>
              <w:jc w:val="center"/>
              <w:rPr>
                <w:b/>
                <w:szCs w:val="21"/>
              </w:rPr>
            </w:pPr>
            <w:r>
              <w:rPr>
                <w:rFonts w:hint="eastAsia"/>
                <w:b/>
                <w:szCs w:val="21"/>
              </w:rPr>
              <w:t>2</w:t>
            </w:r>
            <w:r>
              <w:rPr>
                <w:b/>
                <w:szCs w:val="21"/>
              </w:rPr>
              <w:t>6</w:t>
            </w:r>
          </w:p>
        </w:tc>
        <w:tc>
          <w:tcPr>
            <w:tcW w:w="1228" w:type="dxa"/>
            <w:vAlign w:val="center"/>
          </w:tcPr>
          <w:p>
            <w:pPr>
              <w:spacing w:line="440" w:lineRule="exact"/>
              <w:jc w:val="center"/>
              <w:rPr>
                <w:rFonts w:ascii="宋体" w:hAnsi="宋体" w:cs="宋体"/>
              </w:rPr>
            </w:pPr>
            <w:r>
              <w:rPr>
                <w:rFonts w:hint="eastAsia" w:ascii="宋体" w:hAnsi="宋体" w:cs="宋体"/>
              </w:rPr>
              <w:t>地膜</w:t>
            </w:r>
          </w:p>
        </w:tc>
        <w:tc>
          <w:tcPr>
            <w:tcW w:w="6664" w:type="dxa"/>
            <w:vAlign w:val="center"/>
          </w:tcPr>
          <w:p>
            <w:pPr>
              <w:rPr>
                <w:bCs/>
              </w:rPr>
            </w:pPr>
            <w:r>
              <w:rPr>
                <w:rFonts w:hint="eastAsia"/>
                <w:bCs/>
              </w:rPr>
              <w:t>辅助铺设地膜，规格≥90g，总用量3000-5000m</w:t>
            </w:r>
            <w:r>
              <w:rPr>
                <w:rFonts w:hint="eastAsia"/>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trPr>
        <w:tc>
          <w:tcPr>
            <w:tcW w:w="568" w:type="dxa"/>
            <w:vAlign w:val="center"/>
          </w:tcPr>
          <w:p>
            <w:pPr>
              <w:jc w:val="center"/>
              <w:rPr>
                <w:b/>
                <w:szCs w:val="21"/>
              </w:rPr>
            </w:pPr>
            <w:r>
              <w:rPr>
                <w:rFonts w:hint="eastAsia"/>
                <w:b/>
                <w:szCs w:val="21"/>
              </w:rPr>
              <w:t>2</w:t>
            </w:r>
            <w:r>
              <w:rPr>
                <w:b/>
                <w:szCs w:val="21"/>
              </w:rPr>
              <w:t>7</w:t>
            </w:r>
          </w:p>
        </w:tc>
        <w:tc>
          <w:tcPr>
            <w:tcW w:w="1228" w:type="dxa"/>
            <w:vAlign w:val="center"/>
          </w:tcPr>
          <w:p>
            <w:pPr>
              <w:spacing w:line="440" w:lineRule="exact"/>
              <w:jc w:val="center"/>
              <w:rPr>
                <w:rFonts w:ascii="宋体" w:hAnsi="宋体" w:cs="宋体"/>
              </w:rPr>
            </w:pPr>
            <w:r>
              <w:rPr>
                <w:rFonts w:hint="eastAsia" w:ascii="宋体" w:hAnsi="宋体" w:cs="宋体"/>
              </w:rPr>
              <w:t>传感器</w:t>
            </w:r>
          </w:p>
          <w:p>
            <w:pPr>
              <w:spacing w:line="440" w:lineRule="exact"/>
              <w:jc w:val="center"/>
              <w:rPr>
                <w:rFonts w:ascii="宋体" w:hAnsi="宋体" w:cs="宋体"/>
              </w:rPr>
            </w:pPr>
          </w:p>
        </w:tc>
        <w:tc>
          <w:tcPr>
            <w:tcW w:w="6664" w:type="dxa"/>
            <w:vAlign w:val="center"/>
          </w:tcPr>
          <w:p>
            <w:pPr>
              <w:rPr>
                <w:bCs/>
              </w:rPr>
            </w:pPr>
            <w:r>
              <w:rPr>
                <w:rFonts w:hint="eastAsia"/>
                <w:b/>
                <w:szCs w:val="21"/>
              </w:rPr>
              <w:t>★</w:t>
            </w:r>
            <w:r>
              <w:rPr>
                <w:rFonts w:hint="eastAsia" w:ascii="宋体" w:hAnsi="宋体" w:cs="宋体"/>
              </w:rPr>
              <w:t>系统内传感器类型</w:t>
            </w:r>
            <w:r>
              <w:rPr>
                <w:rFonts w:hint="eastAsia"/>
                <w:bCs/>
              </w:rPr>
              <w:t>≥12种，名称和技术参数分别为：</w:t>
            </w:r>
            <w:r>
              <w:rPr>
                <w:rFonts w:hint="eastAsia" w:ascii="宋体" w:hAnsi="宋体" w:cs="宋体"/>
              </w:rPr>
              <w:t>PH传感器（</w:t>
            </w:r>
            <w:r>
              <w:rPr>
                <w:rFonts w:hint="eastAsia"/>
                <w:bCs/>
              </w:rPr>
              <w:t>量程0-14，分辨率0.1，精度±0.1）、</w:t>
            </w:r>
            <w:r>
              <w:rPr>
                <w:rFonts w:ascii="宋体" w:hAnsi="宋体" w:cs="宋体"/>
              </w:rPr>
              <w:t>液位开关</w:t>
            </w:r>
            <w:r>
              <w:rPr>
                <w:rFonts w:hint="eastAsia" w:ascii="宋体" w:hAnsi="宋体" w:cs="宋体"/>
              </w:rPr>
              <w:t>（</w:t>
            </w:r>
            <w:r>
              <w:rPr>
                <w:rFonts w:hint="eastAsia"/>
                <w:bCs/>
              </w:rPr>
              <w:t>防</w:t>
            </w:r>
            <w:r>
              <w:rPr>
                <w:bCs/>
              </w:rPr>
              <w:t>护等级IP68，开关角度±45°，最大深度1BAR</w:t>
            </w:r>
            <w:r>
              <w:rPr>
                <w:rFonts w:hint="eastAsia"/>
                <w:bCs/>
              </w:rPr>
              <w:t>）、</w:t>
            </w:r>
            <w:r>
              <w:rPr>
                <w:rFonts w:ascii="宋体" w:hAnsi="宋体" w:cs="宋体"/>
              </w:rPr>
              <w:t>溶解氧</w:t>
            </w:r>
            <w:r>
              <w:rPr>
                <w:rFonts w:hint="eastAsia" w:ascii="宋体" w:hAnsi="宋体" w:cs="宋体"/>
              </w:rPr>
              <w:t>传感器（</w:t>
            </w:r>
            <w:r>
              <w:rPr>
                <w:rFonts w:hint="eastAsia"/>
                <w:bCs/>
              </w:rPr>
              <w:t>量程0-20mg/L，精度±3%，荧光法测量原理）、</w:t>
            </w:r>
            <w:r>
              <w:rPr>
                <w:rFonts w:ascii="宋体" w:hAnsi="宋体" w:cs="宋体"/>
              </w:rPr>
              <w:t>雨量传感器</w:t>
            </w:r>
            <w:r>
              <w:rPr>
                <w:rFonts w:hint="eastAsia" w:ascii="宋体" w:hAnsi="宋体" w:cs="宋体"/>
              </w:rPr>
              <w:t>（</w:t>
            </w:r>
            <w:r>
              <w:rPr>
                <w:bCs/>
              </w:rPr>
              <w:t>量程0-999.9mm，准确度±4%，分辩率0.2mm</w:t>
            </w:r>
            <w:r>
              <w:rPr>
                <w:rFonts w:hint="eastAsia"/>
                <w:bCs/>
              </w:rPr>
              <w:t>，</w:t>
            </w:r>
            <w:r>
              <w:rPr>
                <w:bCs/>
              </w:rPr>
              <w:t>降雨强度</w:t>
            </w:r>
            <w:r>
              <w:rPr>
                <w:rFonts w:hint="eastAsia"/>
                <w:bCs/>
              </w:rPr>
              <w:t>≤4mm/min（允许通过8mm/min））、</w:t>
            </w:r>
            <w:r>
              <w:rPr>
                <w:rFonts w:hint="eastAsia" w:ascii="宋体" w:hAnsi="宋体" w:cs="宋体"/>
              </w:rPr>
              <w:t>气</w:t>
            </w:r>
            <w:r>
              <w:rPr>
                <w:rFonts w:ascii="宋体" w:hAnsi="宋体" w:cs="宋体"/>
              </w:rPr>
              <w:t>温</w:t>
            </w:r>
            <w:r>
              <w:rPr>
                <w:rFonts w:hint="eastAsia" w:ascii="宋体" w:hAnsi="宋体" w:cs="宋体"/>
              </w:rPr>
              <w:t>探测器（</w:t>
            </w:r>
            <w:r>
              <w:rPr>
                <w:bCs/>
              </w:rPr>
              <w:t>量程</w:t>
            </w:r>
            <w:r>
              <w:rPr>
                <w:rFonts w:hint="eastAsia"/>
                <w:bCs/>
              </w:rPr>
              <w:t xml:space="preserve"> </w:t>
            </w:r>
            <w:r>
              <w:rPr>
                <w:bCs/>
              </w:rPr>
              <w:t>-50～100℃，准确度±0.5℃，分辨率0.1℃</w:t>
            </w:r>
            <w:r>
              <w:rPr>
                <w:rFonts w:hint="eastAsia"/>
                <w:bCs/>
              </w:rPr>
              <w:t>）、</w:t>
            </w:r>
            <w:r>
              <w:rPr>
                <w:rFonts w:ascii="宋体" w:hAnsi="宋体" w:cs="宋体"/>
              </w:rPr>
              <w:t>湿度传感器</w:t>
            </w:r>
            <w:r>
              <w:rPr>
                <w:rFonts w:hint="eastAsia" w:ascii="宋体" w:hAnsi="宋体" w:cs="宋体"/>
              </w:rPr>
              <w:t>（</w:t>
            </w:r>
            <w:r>
              <w:rPr>
                <w:bCs/>
              </w:rPr>
              <w:t>0～100%</w:t>
            </w:r>
            <w:r>
              <w:rPr>
                <w:rFonts w:hint="eastAsia"/>
                <w:bCs/>
              </w:rPr>
              <w:t xml:space="preserve"> </w:t>
            </w:r>
            <w:r>
              <w:rPr>
                <w:bCs/>
              </w:rPr>
              <w:t xml:space="preserve">RH，准确度±3%，分辨率0.1% </w:t>
            </w:r>
            <w:r>
              <w:rPr>
                <w:rFonts w:hint="eastAsia"/>
                <w:bCs/>
              </w:rPr>
              <w:t>）、</w:t>
            </w:r>
            <w:r>
              <w:rPr>
                <w:rFonts w:ascii="宋体" w:hAnsi="宋体" w:cs="宋体"/>
              </w:rPr>
              <w:t>流量传感器</w:t>
            </w:r>
            <w:r>
              <w:rPr>
                <w:rFonts w:hint="eastAsia" w:ascii="宋体" w:hAnsi="宋体" w:cs="宋体"/>
              </w:rPr>
              <w:t>（</w:t>
            </w:r>
            <w:r>
              <w:rPr>
                <w:bCs/>
              </w:rPr>
              <w:t>DWM2000 24VDC</w:t>
            </w:r>
            <w:r>
              <w:rPr>
                <w:rFonts w:hint="eastAsia"/>
                <w:bCs/>
              </w:rPr>
              <w:t>，</w:t>
            </w:r>
            <w:r>
              <w:rPr>
                <w:bCs/>
              </w:rPr>
              <w:t>4-20mA输出</w:t>
            </w:r>
            <w:r>
              <w:rPr>
                <w:rFonts w:hint="eastAsia"/>
                <w:bCs/>
              </w:rPr>
              <w:t>）、</w:t>
            </w:r>
            <w:r>
              <w:rPr>
                <w:rFonts w:ascii="宋体" w:hAnsi="宋体" w:cs="宋体"/>
              </w:rPr>
              <w:t>气象检测终端</w:t>
            </w:r>
            <w:r>
              <w:rPr>
                <w:rFonts w:hint="eastAsia" w:ascii="宋体" w:hAnsi="宋体" w:cs="宋体"/>
              </w:rPr>
              <w:t>（</w:t>
            </w:r>
            <w:r>
              <w:rPr>
                <w:bCs/>
              </w:rPr>
              <w:t>PM2.5</w:t>
            </w:r>
            <w:r>
              <w:rPr>
                <w:rFonts w:hint="eastAsia"/>
                <w:bCs/>
              </w:rPr>
              <w:t>、</w:t>
            </w:r>
            <w:r>
              <w:rPr>
                <w:bCs/>
              </w:rPr>
              <w:t>PM10</w:t>
            </w:r>
            <w:r>
              <w:rPr>
                <w:rFonts w:hint="eastAsia"/>
                <w:bCs/>
              </w:rPr>
              <w:t>，</w:t>
            </w:r>
            <w:r>
              <w:rPr>
                <w:bCs/>
              </w:rPr>
              <w:t>量程0～500ug/m</w:t>
            </w:r>
            <w:r>
              <w:rPr>
                <w:bCs/>
                <w:vertAlign w:val="superscript"/>
              </w:rPr>
              <w:t>3</w:t>
            </w:r>
            <w:r>
              <w:rPr>
                <w:rFonts w:hint="eastAsia"/>
                <w:bCs/>
              </w:rPr>
              <w:t>，</w:t>
            </w:r>
            <w:r>
              <w:rPr>
                <w:bCs/>
              </w:rPr>
              <w:t>计数准确率50%@0.3um、98%@≥0.5um；称准体积0.1L；响应时间≤10s</w:t>
            </w:r>
            <w:r>
              <w:rPr>
                <w:rFonts w:hint="eastAsia"/>
                <w:bCs/>
              </w:rPr>
              <w:t>)、</w:t>
            </w:r>
            <w:r>
              <w:rPr>
                <w:rFonts w:ascii="宋体" w:hAnsi="宋体" w:cs="宋体"/>
              </w:rPr>
              <w:t>电导率</w:t>
            </w:r>
            <w:r>
              <w:rPr>
                <w:rFonts w:hint="eastAsia" w:ascii="宋体" w:hAnsi="宋体" w:cs="宋体"/>
              </w:rPr>
              <w:t>传感器（</w:t>
            </w:r>
            <w:r>
              <w:rPr>
                <w:bCs/>
              </w:rPr>
              <w:t>量程0～2000μS/cm</w:t>
            </w:r>
            <w:r>
              <w:rPr>
                <w:rFonts w:hint="eastAsia"/>
                <w:bCs/>
              </w:rPr>
              <w:t>，</w:t>
            </w:r>
            <w:r>
              <w:rPr>
                <w:bCs/>
              </w:rPr>
              <w:t>分辨率1μS/cm</w:t>
            </w:r>
            <w:r>
              <w:rPr>
                <w:rFonts w:hint="eastAsia"/>
                <w:bCs/>
              </w:rPr>
              <w:t>，</w:t>
            </w:r>
            <w:r>
              <w:rPr>
                <w:bCs/>
              </w:rPr>
              <w:t>精度±1.5%</w:t>
            </w:r>
            <w:r>
              <w:rPr>
                <w:rFonts w:hint="eastAsia"/>
                <w:bCs/>
              </w:rPr>
              <w:t xml:space="preserve"> </w:t>
            </w:r>
            <w:r>
              <w:rPr>
                <w:bCs/>
              </w:rPr>
              <w:t>F.S.</w:t>
            </w:r>
            <w:r>
              <w:rPr>
                <w:rFonts w:hint="eastAsia"/>
                <w:bCs/>
              </w:rPr>
              <w:t>）、</w:t>
            </w:r>
          </w:p>
          <w:p>
            <w:pPr>
              <w:rPr>
                <w:bCs/>
              </w:rPr>
            </w:pPr>
            <w:r>
              <w:rPr>
                <w:rFonts w:ascii="宋体" w:hAnsi="宋体" w:cs="宋体"/>
              </w:rPr>
              <w:t>浊度</w:t>
            </w:r>
            <w:r>
              <w:rPr>
                <w:rFonts w:hint="eastAsia" w:ascii="宋体" w:hAnsi="宋体" w:cs="宋体"/>
              </w:rPr>
              <w:t>传感器（</w:t>
            </w:r>
            <w:r>
              <w:rPr>
                <w:bCs/>
              </w:rPr>
              <w:t>量程0～200</w:t>
            </w:r>
            <w:r>
              <w:rPr>
                <w:rFonts w:hint="eastAsia"/>
                <w:bCs/>
              </w:rPr>
              <w:t>0</w:t>
            </w:r>
            <w:r>
              <w:rPr>
                <w:bCs/>
              </w:rPr>
              <w:t>NTU</w:t>
            </w:r>
            <w:r>
              <w:rPr>
                <w:rFonts w:hint="eastAsia"/>
                <w:bCs/>
              </w:rPr>
              <w:t>，</w:t>
            </w:r>
            <w:r>
              <w:rPr>
                <w:bCs/>
              </w:rPr>
              <w:t>分辨率0.1NTU，0.1℃ 精度±5%或±3NTU/±3%或±2NTU ±0.5℃</w:t>
            </w:r>
            <w:r>
              <w:rPr>
                <w:rFonts w:hint="eastAsia"/>
                <w:bCs/>
              </w:rPr>
              <w:t>）、</w:t>
            </w:r>
            <w:r>
              <w:rPr>
                <w:rFonts w:hint="eastAsia" w:ascii="宋体" w:hAnsi="宋体" w:cs="宋体"/>
              </w:rPr>
              <w:t>光照传感器（</w:t>
            </w:r>
            <w:r>
              <w:rPr>
                <w:rFonts w:hint="eastAsia"/>
                <w:bCs/>
              </w:rPr>
              <w:t>量</w:t>
            </w:r>
            <w:r>
              <w:rPr>
                <w:bCs/>
              </w:rPr>
              <w:t>程0-20000mW/cm</w:t>
            </w:r>
            <w:r>
              <w:rPr>
                <w:bCs/>
                <w:vertAlign w:val="superscript"/>
              </w:rPr>
              <w:t>2</w:t>
            </w:r>
            <w:r>
              <w:rPr>
                <w:rFonts w:hint="eastAsia"/>
                <w:bCs/>
              </w:rPr>
              <w:t>，</w:t>
            </w:r>
            <w:r>
              <w:rPr>
                <w:bCs/>
              </w:rPr>
              <w:t>测量精度±10 %</w:t>
            </w:r>
            <w:r>
              <w:rPr>
                <w:rFonts w:hint="eastAsia"/>
                <w:bCs/>
              </w:rPr>
              <w:t>，</w:t>
            </w:r>
            <w:r>
              <w:rPr>
                <w:bCs/>
              </w:rPr>
              <w:t>分辨率0.1 mW/cm</w:t>
            </w:r>
            <w:r>
              <w:rPr>
                <w:bCs/>
                <w:vertAlign w:val="superscript"/>
              </w:rPr>
              <w:t>2</w:t>
            </w:r>
            <w:r>
              <w:rPr>
                <w:rFonts w:hint="eastAsia"/>
                <w:bCs/>
              </w:rPr>
              <w:t>，</w:t>
            </w:r>
            <w:r>
              <w:rPr>
                <w:bCs/>
              </w:rPr>
              <w:t>测试光孔直:9.2mm</w:t>
            </w:r>
            <w:r>
              <w:rPr>
                <w:rFonts w:hint="eastAsia"/>
                <w:bCs/>
              </w:rPr>
              <w:t>，</w:t>
            </w:r>
            <w:r>
              <w:rPr>
                <w:bCs/>
              </w:rPr>
              <w:t>光谱响应340nm-420nm</w:t>
            </w:r>
            <w:r>
              <w:rPr>
                <w:rFonts w:hint="eastAsia"/>
                <w:bCs/>
              </w:rPr>
              <w:t>，</w:t>
            </w:r>
            <w:r>
              <w:rPr>
                <w:bCs/>
              </w:rPr>
              <w:t>λp=365nm</w:t>
            </w:r>
            <w:r>
              <w:rPr>
                <w:rFonts w:hint="eastAsia"/>
                <w:bCs/>
              </w:rPr>
              <w:t>，</w:t>
            </w:r>
            <w:r>
              <w:rPr>
                <w:bCs/>
              </w:rPr>
              <w:t>能量测量范围0-999999mJ/cm</w:t>
            </w:r>
            <w:r>
              <w:rPr>
                <w:bCs/>
                <w:vertAlign w:val="superscript"/>
              </w:rPr>
              <w:t>2</w:t>
            </w:r>
            <w:r>
              <w:rPr>
                <w:rFonts w:hint="eastAsia"/>
                <w:bCs/>
              </w:rPr>
              <w:t>）、</w:t>
            </w:r>
            <w:r>
              <w:rPr>
                <w:rFonts w:hint="eastAsia" w:ascii="宋体" w:hAnsi="宋体" w:cs="宋体"/>
              </w:rPr>
              <w:t>叶绿素传感器（</w:t>
            </w:r>
            <w:r>
              <w:rPr>
                <w:rFonts w:hint="eastAsia"/>
                <w:bCs/>
              </w:rPr>
              <w:t>量程0-400μg/L,精度</w:t>
            </w:r>
            <w:r>
              <w:rPr>
                <w:bCs/>
              </w:rPr>
              <w:t>±</w:t>
            </w:r>
            <w:r>
              <w:rPr>
                <w:rFonts w:hint="eastAsia"/>
                <w:bCs/>
              </w:rPr>
              <w:t>5%，分辨率0.1μg/L）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2</w:t>
            </w:r>
            <w:r>
              <w:rPr>
                <w:b/>
                <w:szCs w:val="21"/>
              </w:rPr>
              <w:t>8</w:t>
            </w:r>
          </w:p>
        </w:tc>
        <w:tc>
          <w:tcPr>
            <w:tcW w:w="1228" w:type="dxa"/>
            <w:vAlign w:val="center"/>
          </w:tcPr>
          <w:p>
            <w:pPr>
              <w:spacing w:line="440" w:lineRule="exact"/>
              <w:jc w:val="center"/>
              <w:rPr>
                <w:rFonts w:ascii="宋体" w:hAnsi="宋体" w:cs="宋体"/>
              </w:rPr>
            </w:pPr>
            <w:r>
              <w:rPr>
                <w:rFonts w:hint="eastAsia" w:ascii="宋体" w:hAnsi="宋体" w:cs="宋体"/>
              </w:rPr>
              <w:t>数据采集仪</w:t>
            </w:r>
          </w:p>
        </w:tc>
        <w:tc>
          <w:tcPr>
            <w:tcW w:w="6664" w:type="dxa"/>
            <w:vAlign w:val="center"/>
          </w:tcPr>
          <w:p>
            <w:pPr>
              <w:rPr>
                <w:rFonts w:ascii="宋体" w:hAnsi="宋体"/>
                <w:sz w:val="18"/>
                <w:szCs w:val="18"/>
              </w:rPr>
            </w:pPr>
            <w:r>
              <w:rPr>
                <w:rFonts w:hint="eastAsia"/>
                <w:bCs/>
              </w:rPr>
              <w:t>★</w:t>
            </w:r>
            <w:r>
              <w:rPr>
                <w:bCs/>
              </w:rPr>
              <w:t>一体式无人值守采集器</w:t>
            </w:r>
            <w:r>
              <w:rPr>
                <w:rFonts w:hint="eastAsia"/>
                <w:bCs/>
              </w:rPr>
              <w:t>，具数据采集、自动控制输出、数据上传、报警输出、自定义逻辑计算功能，</w:t>
            </w:r>
            <w:r>
              <w:rPr>
                <w:bCs/>
              </w:rPr>
              <w:t>开放式通讯协议,</w:t>
            </w:r>
            <w:r>
              <w:rPr>
                <w:rFonts w:hint="eastAsia"/>
                <w:bCs/>
              </w:rPr>
              <w:t>可进行RS232/RS485/USB通信；可扩展 CAN总线通信接口；支持现场和远程操作，支持手机、IPAD、电脑同时控制及编程；支持Modbus协议，支持物联网通讯协议。</w:t>
            </w:r>
            <w:r>
              <w:rPr>
                <w:bCs/>
              </w:rPr>
              <w:t>内核</w:t>
            </w:r>
            <w:r>
              <w:rPr>
                <w:rFonts w:hint="eastAsia"/>
                <w:bCs/>
              </w:rPr>
              <w:t>配置高于</w:t>
            </w:r>
            <w:r>
              <w:rPr>
                <w:bCs/>
              </w:rPr>
              <w:t>ARM 32位Cortex-M3 CPU</w:t>
            </w:r>
            <w:r>
              <w:rPr>
                <w:rFonts w:hint="eastAsia"/>
                <w:bCs/>
              </w:rPr>
              <w:t>，FLASH容量≥4M bits，</w:t>
            </w:r>
            <w:r>
              <w:rPr>
                <w:bCs/>
              </w:rPr>
              <w:t>模拟/计数通道：16路，可扩展32路</w:t>
            </w:r>
            <w:r>
              <w:rPr>
                <w:rFonts w:hint="eastAsia"/>
                <w:bCs/>
              </w:rPr>
              <w:t>，</w:t>
            </w:r>
            <w:r>
              <w:rPr>
                <w:bCs/>
              </w:rPr>
              <w:t>可扩展USB接口</w:t>
            </w:r>
            <w:r>
              <w:rPr>
                <w:rFonts w:hint="eastAsia"/>
                <w:bCs/>
              </w:rPr>
              <w:t>，模拟量A/D转换精度12位，</w:t>
            </w:r>
            <w:r>
              <w:rPr>
                <w:bCs/>
              </w:rPr>
              <w:t>系统时钟：72MHz</w:t>
            </w:r>
            <w:r>
              <w:rPr>
                <w:rFonts w:hint="eastAsia"/>
                <w:bCs/>
              </w:rPr>
              <w:t>，</w:t>
            </w:r>
            <w:r>
              <w:rPr>
                <w:bCs/>
              </w:rPr>
              <w:t>指令执行速度</w:t>
            </w:r>
            <w:r>
              <w:rPr>
                <w:rFonts w:hint="eastAsia"/>
                <w:bCs/>
              </w:rPr>
              <w:t>≥</w:t>
            </w:r>
            <w:r>
              <w:rPr>
                <w:bCs/>
              </w:rPr>
              <w:t>1.25Dmips/MHz</w:t>
            </w:r>
            <w:r>
              <w:rPr>
                <w:rFonts w:hint="eastAsia"/>
                <w:bCs/>
              </w:rPr>
              <w:t>，</w:t>
            </w:r>
            <w:r>
              <w:rPr>
                <w:bCs/>
              </w:rPr>
              <w:t>采样频率：0.5s/次</w:t>
            </w:r>
            <w:r>
              <w:rPr>
                <w:rFonts w:hint="eastAsia"/>
                <w:bCs/>
              </w:rPr>
              <w:t>，</w:t>
            </w:r>
            <w:r>
              <w:rPr>
                <w:bCs/>
              </w:rPr>
              <w:t>具看门狗电路，自动复位，掉电采用电池供电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b/>
                <w:szCs w:val="21"/>
              </w:rPr>
              <w:t>29</w:t>
            </w:r>
          </w:p>
        </w:tc>
        <w:tc>
          <w:tcPr>
            <w:tcW w:w="1228" w:type="dxa"/>
            <w:vAlign w:val="center"/>
          </w:tcPr>
          <w:p>
            <w:pPr>
              <w:spacing w:line="440" w:lineRule="exact"/>
              <w:jc w:val="center"/>
              <w:rPr>
                <w:rFonts w:ascii="宋体" w:hAnsi="宋体" w:cs="宋体"/>
              </w:rPr>
            </w:pPr>
            <w:r>
              <w:rPr>
                <w:rFonts w:hint="eastAsia" w:ascii="宋体" w:hAnsi="宋体" w:cs="宋体"/>
              </w:rPr>
              <w:t>通讯模块</w:t>
            </w:r>
          </w:p>
        </w:tc>
        <w:tc>
          <w:tcPr>
            <w:tcW w:w="6664" w:type="dxa"/>
            <w:vAlign w:val="center"/>
          </w:tcPr>
          <w:p>
            <w:pPr>
              <w:rPr>
                <w:rFonts w:ascii="宋体" w:hAnsi="宋体" w:cs="宋体"/>
                <w:sz w:val="18"/>
                <w:szCs w:val="18"/>
              </w:rPr>
            </w:pPr>
            <w:r>
              <w:rPr>
                <w:rFonts w:hint="eastAsia"/>
                <w:bCs/>
              </w:rPr>
              <w:t xml:space="preserve">★数据处理、反馈控制，包括恒温系统运行、反应器内部养殖参数调节、水电气管网系统工作以及场区环境在内的所有数据的采集和处理整合到一个终端，并对各部分进行反馈调控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3</w:t>
            </w:r>
            <w:r>
              <w:rPr>
                <w:b/>
                <w:szCs w:val="21"/>
              </w:rPr>
              <w:t>0</w:t>
            </w:r>
          </w:p>
        </w:tc>
        <w:tc>
          <w:tcPr>
            <w:tcW w:w="1228" w:type="dxa"/>
            <w:vAlign w:val="center"/>
          </w:tcPr>
          <w:p>
            <w:pPr>
              <w:spacing w:line="440" w:lineRule="exact"/>
              <w:jc w:val="center"/>
              <w:rPr>
                <w:rFonts w:ascii="宋体" w:hAnsi="宋体" w:cs="宋体"/>
              </w:rPr>
            </w:pPr>
            <w:r>
              <w:rPr>
                <w:rFonts w:hint="eastAsia" w:ascii="宋体" w:hAnsi="宋体" w:cs="宋体"/>
              </w:rPr>
              <w:t>处理器和显示屏</w:t>
            </w:r>
          </w:p>
        </w:tc>
        <w:tc>
          <w:tcPr>
            <w:tcW w:w="6664" w:type="dxa"/>
            <w:vAlign w:val="center"/>
          </w:tcPr>
          <w:p>
            <w:pPr>
              <w:rPr>
                <w:bCs/>
              </w:rPr>
            </w:pPr>
            <w:r>
              <w:rPr>
                <w:rFonts w:hint="eastAsia" w:ascii="仿宋_GB2312" w:eastAsia="仿宋_GB2312"/>
                <w:szCs w:val="21"/>
              </w:rPr>
              <w:t>▲</w:t>
            </w:r>
            <w:r>
              <w:rPr>
                <w:rFonts w:hint="eastAsia"/>
                <w:bCs/>
              </w:rPr>
              <w:t>服务器CPU≥2.5GHz、八核，内存≥32G，处理器不低于11代Intel，硬盘1T（2个）+512G固态，显示器23英寸，独立显卡4GB，分辨率1920*1080；</w:t>
            </w:r>
          </w:p>
          <w:p>
            <w:pPr>
              <w:rPr>
                <w:rFonts w:ascii="宋体" w:hAnsi="宋体" w:cs="宋体"/>
                <w:sz w:val="18"/>
                <w:szCs w:val="18"/>
              </w:rPr>
            </w:pPr>
            <w:r>
              <w:rPr>
                <w:rFonts w:hint="eastAsia"/>
                <w:bCs/>
              </w:rPr>
              <w:t>显示屏≥55寸，分辨率：1920*1080，色域：72%NTSC，响应速度：4ms，视频接口：VGA+DVI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Align w:val="center"/>
          </w:tcPr>
          <w:p>
            <w:pPr>
              <w:jc w:val="center"/>
              <w:rPr>
                <w:b/>
                <w:szCs w:val="21"/>
              </w:rPr>
            </w:pPr>
            <w:r>
              <w:rPr>
                <w:rFonts w:hint="eastAsia"/>
                <w:b/>
                <w:szCs w:val="21"/>
              </w:rPr>
              <w:t>3</w:t>
            </w:r>
            <w:r>
              <w:rPr>
                <w:b/>
                <w:szCs w:val="21"/>
              </w:rPr>
              <w:t>1</w:t>
            </w:r>
          </w:p>
        </w:tc>
        <w:tc>
          <w:tcPr>
            <w:tcW w:w="1228" w:type="dxa"/>
            <w:vAlign w:val="center"/>
          </w:tcPr>
          <w:p>
            <w:pPr>
              <w:spacing w:line="440" w:lineRule="exact"/>
              <w:jc w:val="center"/>
              <w:rPr>
                <w:rFonts w:ascii="宋体" w:hAnsi="宋体" w:cs="宋体"/>
              </w:rPr>
            </w:pPr>
            <w:r>
              <w:rPr>
                <w:rFonts w:hint="eastAsia" w:ascii="宋体" w:hAnsi="宋体" w:cs="宋体"/>
              </w:rPr>
              <w:t>防护装置</w:t>
            </w:r>
          </w:p>
        </w:tc>
        <w:tc>
          <w:tcPr>
            <w:tcW w:w="6664" w:type="dxa"/>
            <w:vAlign w:val="center"/>
          </w:tcPr>
          <w:p>
            <w:pPr>
              <w:spacing w:line="440" w:lineRule="exact"/>
              <w:jc w:val="left"/>
              <w:rPr>
                <w:rFonts w:ascii="宋体" w:hAnsi="宋体" w:cs="宋体"/>
                <w:sz w:val="18"/>
                <w:szCs w:val="18"/>
              </w:rPr>
            </w:pPr>
            <w:r>
              <w:rPr>
                <w:rFonts w:hint="eastAsia"/>
                <w:bCs/>
              </w:rPr>
              <w:t>安全运行、防雷设施</w:t>
            </w:r>
          </w:p>
        </w:tc>
      </w:tr>
    </w:tbl>
    <w:p>
      <w:pPr>
        <w:rPr>
          <w:b/>
          <w:szCs w:val="21"/>
        </w:rPr>
      </w:pPr>
    </w:p>
    <w:p>
      <w:pPr>
        <w:pStyle w:val="5"/>
        <w:spacing w:before="120" w:beforeLines="50" w:after="120" w:afterLines="50"/>
        <w:rPr>
          <w:sz w:val="28"/>
          <w:szCs w:val="28"/>
        </w:rPr>
      </w:pPr>
      <w:r>
        <w:rPr>
          <w:rFonts w:hint="eastAsia"/>
          <w:sz w:val="28"/>
          <w:szCs w:val="28"/>
        </w:rPr>
        <w:t>四、商务需求</w:t>
      </w:r>
    </w:p>
    <w:p/>
    <w:tbl>
      <w:tblPr>
        <w:tblStyle w:val="5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594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Align w:val="center"/>
          </w:tcPr>
          <w:p>
            <w:pPr>
              <w:jc w:val="center"/>
              <w:rPr>
                <w:b/>
              </w:rPr>
            </w:pPr>
            <w:r>
              <w:rPr>
                <w:rFonts w:hint="eastAsia"/>
                <w:b/>
              </w:rPr>
              <w:t>1</w:t>
            </w:r>
          </w:p>
        </w:tc>
        <w:tc>
          <w:tcPr>
            <w:tcW w:w="1620" w:type="dxa"/>
            <w:vAlign w:val="center"/>
          </w:tcPr>
          <w:p>
            <w:r>
              <w:rPr>
                <w:rFonts w:hint="eastAsia"/>
              </w:rPr>
              <w:t>免费保修期</w:t>
            </w:r>
          </w:p>
        </w:tc>
        <w:tc>
          <w:tcPr>
            <w:tcW w:w="5940" w:type="dxa"/>
          </w:tcPr>
          <w:p>
            <w:pPr>
              <w:rPr>
                <w:b/>
                <w:color w:val="FF0000"/>
              </w:rPr>
            </w:pPr>
            <w:r>
              <w:rPr>
                <w:rFonts w:hint="eastAsia"/>
                <w:bCs/>
                <w:szCs w:val="21"/>
              </w:rPr>
              <w:t>货物</w:t>
            </w:r>
            <w:r>
              <w:rPr>
                <w:rFonts w:hint="eastAsia" w:ascii="宋体" w:hAnsi="宋体"/>
                <w:color w:val="FF0000"/>
                <w:szCs w:val="21"/>
                <w:u w:val="single"/>
              </w:rPr>
              <w:t>反应器主体、温控主机</w:t>
            </w:r>
            <w:r>
              <w:rPr>
                <w:rFonts w:hint="eastAsia"/>
                <w:bCs/>
                <w:szCs w:val="21"/>
              </w:rPr>
              <w:t>免费保修期</w:t>
            </w:r>
            <w:r>
              <w:rPr>
                <w:rFonts w:hint="eastAsia" w:ascii="宋体" w:hAnsi="宋体"/>
                <w:color w:val="FF0000"/>
                <w:szCs w:val="21"/>
                <w:u w:val="single"/>
              </w:rPr>
              <w:t>2年，其它设备</w:t>
            </w:r>
            <w:r>
              <w:rPr>
                <w:rFonts w:hint="eastAsia"/>
                <w:bCs/>
                <w:szCs w:val="21"/>
              </w:rPr>
              <w:t>免费保修期</w:t>
            </w:r>
            <w:r>
              <w:rPr>
                <w:rFonts w:hint="eastAsia" w:ascii="宋体" w:hAnsi="宋体"/>
                <w:color w:val="FF0000"/>
                <w:szCs w:val="21"/>
                <w:u w:val="single"/>
              </w:rPr>
              <w:t>1</w:t>
            </w:r>
            <w:r>
              <w:rPr>
                <w:rFonts w:hint="eastAsia" w:ascii="宋体" w:hAnsi="宋体"/>
                <w:color w:val="FF0000"/>
                <w:szCs w:val="21"/>
              </w:rPr>
              <w:t>年。</w:t>
            </w:r>
            <w:r>
              <w:rPr>
                <w:rFonts w:hint="eastAsia"/>
                <w:bCs/>
                <w:szCs w:val="21"/>
              </w:rPr>
              <w:t>时间自最终验收合格并交付使用之日起计算。</w:t>
            </w:r>
            <w:r>
              <w:rPr>
                <w:rFonts w:hint="eastAsia"/>
                <w:bCs/>
                <w:color w:val="FF0000"/>
              </w:rPr>
              <w:t>货物的检修期应以双倍计算延长免费保修期。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rPr>
            </w:pPr>
            <w:r>
              <w:rPr>
                <w:rFonts w:hint="eastAsia"/>
                <w:b/>
              </w:rPr>
              <w:t>2</w:t>
            </w:r>
          </w:p>
        </w:tc>
        <w:tc>
          <w:tcPr>
            <w:tcW w:w="1620" w:type="dxa"/>
          </w:tcPr>
          <w:p>
            <w:r>
              <w:rPr>
                <w:rFonts w:hint="eastAsia"/>
              </w:rPr>
              <w:t>维修响应及故障解决时间</w:t>
            </w:r>
          </w:p>
        </w:tc>
        <w:tc>
          <w:tcPr>
            <w:tcW w:w="5940" w:type="dxa"/>
          </w:tcPr>
          <w:p>
            <w:pPr>
              <w:rPr>
                <w:b/>
              </w:rPr>
            </w:pPr>
            <w:r>
              <w:rPr>
                <w:rFonts w:hint="eastAsia"/>
                <w:bCs/>
                <w:szCs w:val="21"/>
              </w:rPr>
              <w:t>在保修期内，一旦发生质量问题，投标人保证在接到通知1 小时内电话相应.如故障不能排除，供方应在 4小时 内提供现场服务，待产品运行正常后撤离现场。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rPr>
            </w:pPr>
            <w:r>
              <w:rPr>
                <w:rFonts w:hint="eastAsia"/>
                <w:b/>
              </w:rPr>
              <w:t>3</w:t>
            </w:r>
          </w:p>
        </w:tc>
        <w:tc>
          <w:tcPr>
            <w:tcW w:w="1620" w:type="dxa"/>
          </w:tcPr>
          <w:p>
            <w:r>
              <w:rPr>
                <w:rFonts w:hint="eastAsia"/>
              </w:rPr>
              <w:t>发生</w:t>
            </w:r>
            <w:r>
              <w:t>质量问题</w:t>
            </w:r>
            <w:r>
              <w:rPr>
                <w:rFonts w:hint="eastAsia"/>
              </w:rPr>
              <w:t>的</w:t>
            </w:r>
            <w:r>
              <w:t>处理方式</w:t>
            </w:r>
          </w:p>
        </w:tc>
        <w:tc>
          <w:tcPr>
            <w:tcW w:w="5940" w:type="dxa"/>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pPr>
              <w:jc w:val="center"/>
              <w:rPr>
                <w:b/>
              </w:rPr>
            </w:pPr>
            <w:r>
              <w:rPr>
                <w:rFonts w:hint="eastAsia"/>
                <w:b/>
              </w:rPr>
              <w:t>4</w:t>
            </w:r>
          </w:p>
        </w:tc>
        <w:tc>
          <w:tcPr>
            <w:tcW w:w="1620" w:type="dxa"/>
            <w:vAlign w:val="center"/>
          </w:tcPr>
          <w:p>
            <w:pPr>
              <w:rPr>
                <w:b/>
              </w:rPr>
            </w:pPr>
            <w:r>
              <w:rPr>
                <w:rFonts w:hint="eastAsia"/>
              </w:rPr>
              <w:t>其他</w:t>
            </w:r>
          </w:p>
        </w:tc>
        <w:tc>
          <w:tcPr>
            <w:tcW w:w="5940" w:type="dxa"/>
            <w:vAlign w:val="center"/>
          </w:tcPr>
          <w:p>
            <w:pPr>
              <w:rPr>
                <w:bCs/>
                <w:szCs w:val="21"/>
              </w:rPr>
            </w:pPr>
            <w:r>
              <w:rPr>
                <w:rFonts w:hint="eastAsia"/>
                <w:bCs/>
                <w:szCs w:val="21"/>
              </w:rPr>
              <w:t>投标人应按其投标文件中的承诺，进行其他售后服务工作。</w:t>
            </w:r>
          </w:p>
          <w:p>
            <w:pPr>
              <w:rPr>
                <w:bCs/>
              </w:rPr>
            </w:pPr>
            <w:r>
              <w:rPr>
                <w:rFonts w:hint="eastAsia"/>
                <w:bCs/>
                <w:color w:val="FF0000"/>
              </w:rPr>
              <w:t>设备安装完成后，对设备进行试机运行，并培训需方相关操作人员至熟练掌握。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1</w:t>
            </w:r>
          </w:p>
        </w:tc>
        <w:tc>
          <w:tcPr>
            <w:tcW w:w="1620" w:type="dxa"/>
          </w:tcPr>
          <w:p>
            <w:pPr>
              <w:rPr>
                <w:b/>
              </w:rPr>
            </w:pPr>
          </w:p>
        </w:tc>
        <w:tc>
          <w:tcPr>
            <w:tcW w:w="5940" w:type="dxa"/>
          </w:tcPr>
          <w:p>
            <w:r>
              <w:rPr>
                <w:rFonts w:hint="eastAsia"/>
              </w:rPr>
              <w:t>免费</w:t>
            </w:r>
            <w:r>
              <w:t>保修期</w:t>
            </w:r>
            <w:r>
              <w:rPr>
                <w:rFonts w:hint="eastAsia"/>
              </w:rPr>
              <w:t>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1</w:t>
            </w:r>
          </w:p>
        </w:tc>
        <w:tc>
          <w:tcPr>
            <w:tcW w:w="1620" w:type="dxa"/>
            <w:vMerge w:val="restart"/>
            <w:vAlign w:val="center"/>
          </w:tcPr>
          <w:p>
            <w:pPr>
              <w:jc w:val="center"/>
            </w:pPr>
            <w:r>
              <w:rPr>
                <w:rFonts w:hint="eastAsia"/>
              </w:rPr>
              <w:t>关于交货</w:t>
            </w:r>
          </w:p>
        </w:tc>
        <w:tc>
          <w:tcPr>
            <w:tcW w:w="5940" w:type="dxa"/>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1.3 交货（具体）地点：</w:t>
            </w:r>
            <w:r>
              <w:rPr>
                <w:rFonts w:hint="eastAsia" w:ascii="宋体" w:hAnsi="宋体"/>
                <w:bCs/>
                <w:szCs w:val="21"/>
                <w:u w:val="single"/>
              </w:rPr>
              <w:t xml:space="preserve">深圳大学龙华生物产业创新研究院指定区域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r>
              <w:rPr>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2</w:t>
            </w:r>
          </w:p>
        </w:tc>
        <w:tc>
          <w:tcPr>
            <w:tcW w:w="1620" w:type="dxa"/>
            <w:vMerge w:val="restart"/>
            <w:vAlign w:val="center"/>
          </w:tcPr>
          <w:p>
            <w:pPr>
              <w:jc w:val="center"/>
            </w:pPr>
            <w:r>
              <w:rPr>
                <w:rFonts w:hint="eastAsia"/>
              </w:rPr>
              <w:t>关于验收</w:t>
            </w:r>
          </w:p>
        </w:tc>
        <w:tc>
          <w:tcPr>
            <w:tcW w:w="5940" w:type="dxa"/>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tcPr>
          <w:p>
            <w:pPr>
              <w:rPr>
                <w:b/>
              </w:rPr>
            </w:pPr>
          </w:p>
        </w:tc>
        <w:tc>
          <w:tcPr>
            <w:tcW w:w="5940" w:type="dxa"/>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3</w:t>
            </w:r>
          </w:p>
        </w:tc>
        <w:tc>
          <w:tcPr>
            <w:tcW w:w="1620" w:type="dxa"/>
            <w:vAlign w:val="center"/>
          </w:tcPr>
          <w:p>
            <w:pPr>
              <w:jc w:val="center"/>
            </w:pPr>
            <w:r>
              <w:rPr>
                <w:rFonts w:hint="eastAsia"/>
              </w:rPr>
              <w:t>付款方式</w:t>
            </w:r>
          </w:p>
        </w:tc>
        <w:tc>
          <w:tcPr>
            <w:tcW w:w="5940" w:type="dxa"/>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color w:val="0000FF"/>
                <w:szCs w:val="21"/>
              </w:rPr>
            </w:pPr>
            <w:r>
              <w:rPr>
                <w:rFonts w:hint="eastAsia" w:ascii="宋体" w:hAnsi="宋体"/>
                <w:bCs/>
                <w:szCs w:val="21"/>
              </w:rPr>
              <w:t>验收合格后，需方整</w:t>
            </w:r>
            <w:r>
              <w:rPr>
                <w:rFonts w:hint="eastAsia" w:ascii="宋体" w:hAnsi="宋体"/>
                <w:color w:val="000000"/>
                <w:szCs w:val="21"/>
              </w:rPr>
              <w:t>理相关付款资料，经付款审批流程后支付货款</w:t>
            </w:r>
            <w:r>
              <w:rPr>
                <w:rFonts w:hint="eastAsia" w:ascii="宋体" w:hAnsi="宋体"/>
                <w:color w:val="000000"/>
                <w:szCs w:val="21"/>
                <w:lang w:eastAsia="zh-CN"/>
              </w:rPr>
              <w:t>，</w:t>
            </w:r>
            <w:r>
              <w:rPr>
                <w:rFonts w:hint="eastAsia" w:ascii="宋体" w:hAnsi="宋体"/>
                <w:color w:val="000000"/>
                <w:szCs w:val="21"/>
              </w:rPr>
              <w:t>分两期付款，其中首付款为中标价的50%，付款条件为中标方完成</w:t>
            </w:r>
            <w:r>
              <w:rPr>
                <w:rFonts w:hint="eastAsia" w:ascii="宋体" w:hAnsi="宋体"/>
                <w:color w:val="000000"/>
                <w:szCs w:val="21"/>
                <w:lang w:val="en-US" w:eastAsia="zh-CN"/>
              </w:rPr>
              <w:t>定</w:t>
            </w:r>
            <w:r>
              <w:rPr>
                <w:rFonts w:hint="eastAsia" w:ascii="宋体" w:hAnsi="宋体"/>
                <w:color w:val="000000"/>
                <w:szCs w:val="21"/>
              </w:rPr>
              <w:t>制光合反应器主体所用</w:t>
            </w:r>
            <w:r>
              <w:rPr>
                <w:rFonts w:hint="eastAsia" w:ascii="宋体" w:hAnsi="宋体"/>
                <w:color w:val="000000"/>
                <w:szCs w:val="21"/>
                <w:lang w:val="en-US" w:eastAsia="zh-CN"/>
              </w:rPr>
              <w:t>的</w:t>
            </w:r>
            <w:r>
              <w:rPr>
                <w:rFonts w:hint="eastAsia" w:ascii="宋体" w:hAnsi="宋体"/>
                <w:color w:val="000000"/>
                <w:szCs w:val="21"/>
              </w:rPr>
              <w:t>全部PP</w:t>
            </w:r>
            <w:r>
              <w:rPr>
                <w:rFonts w:hint="eastAsia" w:ascii="宋体" w:hAnsi="宋体"/>
                <w:color w:val="000000"/>
                <w:szCs w:val="21"/>
                <w:lang w:val="en-US" w:eastAsia="zh-CN"/>
              </w:rPr>
              <w:t>板</w:t>
            </w:r>
            <w:r>
              <w:rPr>
                <w:rFonts w:hint="eastAsia" w:ascii="宋体" w:hAnsi="宋体"/>
                <w:color w:val="000000"/>
                <w:szCs w:val="21"/>
              </w:rPr>
              <w:t>材（符合技术规格要求，且不少于6500平方米）的订购与进场，并提供权威第三方质检报告，经采购方点收后付款；尾款比例为50%，付款条件为验收合格后，需方整理相关付款资料，经付款审批流程后支付货款。质保金为中标价的5%，需在收到首付款一周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pPr>
            <w:r>
              <w:rPr>
                <w:rFonts w:hint="eastAsia"/>
                <w:b/>
              </w:rPr>
              <w:t>4</w:t>
            </w:r>
          </w:p>
        </w:tc>
        <w:tc>
          <w:tcPr>
            <w:tcW w:w="1620" w:type="dxa"/>
            <w:vAlign w:val="center"/>
          </w:tcPr>
          <w:p>
            <w:r>
              <w:rPr>
                <w:rFonts w:hint="eastAsia"/>
              </w:rPr>
              <w:t>关于</w:t>
            </w:r>
            <w:r>
              <w:t>知识产权</w:t>
            </w:r>
          </w:p>
        </w:tc>
        <w:tc>
          <w:tcPr>
            <w:tcW w:w="5940" w:type="dxa"/>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b/>
              </w:rPr>
              <w:t>5</w:t>
            </w:r>
          </w:p>
        </w:tc>
        <w:tc>
          <w:tcPr>
            <w:tcW w:w="1620" w:type="dxa"/>
            <w:vAlign w:val="center"/>
          </w:tcPr>
          <w:p>
            <w:r>
              <w:rPr>
                <w:rFonts w:hint="eastAsia"/>
              </w:rPr>
              <w:t>关于</w:t>
            </w:r>
            <w:r>
              <w:t>商检</w:t>
            </w:r>
          </w:p>
        </w:tc>
        <w:tc>
          <w:tcPr>
            <w:tcW w:w="5940" w:type="dxa"/>
          </w:tcPr>
          <w:p>
            <w:r>
              <w:rPr>
                <w:rFonts w:hint="eastAsia"/>
              </w:rPr>
              <w:t>依据相关法律法规要求，如</w:t>
            </w:r>
            <w:r>
              <w:t>所提供的货物需</w:t>
            </w:r>
            <w:r>
              <w:rPr>
                <w:rFonts w:hint="eastAsia"/>
              </w:rPr>
              <w:t>由国家商检部门进行商检的，商检、检疫费用由中标人承担。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60" w:type="dxa"/>
            <w:vAlign w:val="center"/>
          </w:tcPr>
          <w:p>
            <w:pPr>
              <w:jc w:val="center"/>
              <w:rPr>
                <w:rFonts w:hint="eastAsia" w:eastAsia="宋体"/>
                <w:b/>
                <w:lang w:val="en-US" w:eastAsia="zh-CN"/>
              </w:rPr>
            </w:pPr>
            <w:r>
              <w:rPr>
                <w:rFonts w:hint="eastAsia"/>
                <w:b/>
                <w:lang w:val="en-US" w:eastAsia="zh-CN"/>
              </w:rPr>
              <w:t>6</w:t>
            </w:r>
          </w:p>
        </w:tc>
        <w:tc>
          <w:tcPr>
            <w:tcW w:w="1620" w:type="dxa"/>
            <w:vAlign w:val="center"/>
          </w:tcPr>
          <w:p>
            <w:pPr>
              <w:rPr>
                <w:rFonts w:hint="default" w:eastAsia="宋体"/>
                <w:lang w:val="en-US" w:eastAsia="zh-CN"/>
              </w:rPr>
            </w:pPr>
            <w:r>
              <w:rPr>
                <w:rFonts w:hint="eastAsia"/>
                <w:lang w:val="en-US" w:eastAsia="zh-CN"/>
              </w:rPr>
              <w:t>其它要求</w:t>
            </w:r>
          </w:p>
        </w:tc>
        <w:tc>
          <w:tcPr>
            <w:tcW w:w="5940" w:type="dxa"/>
          </w:tcPr>
          <w:p>
            <w:pPr>
              <w:pStyle w:val="5"/>
              <w:spacing w:before="120" w:beforeLines="50" w:after="120" w:afterLines="50"/>
              <w:jc w:val="left"/>
              <w:rPr>
                <w:rFonts w:hint="default" w:eastAsia="宋体"/>
                <w:lang w:val="en-US" w:eastAsia="zh-CN"/>
              </w:rPr>
            </w:pPr>
            <w:r>
              <w:rPr>
                <w:rFonts w:hint="eastAsia" w:ascii="Times New Roman" w:hAnsi="Times New Roman" w:eastAsia="宋体" w:cs="Times New Roman"/>
                <w:b w:val="0"/>
                <w:bCs/>
                <w:kern w:val="2"/>
                <w:sz w:val="21"/>
                <w:szCs w:val="24"/>
                <w:lang w:val="en-US" w:eastAsia="zh-CN" w:bidi="ar-SA"/>
              </w:rPr>
              <w:t>★用于建造微藻光合反应器及自动检测与温控系统所需要的主水管</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分水管</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电缆</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玻璃钢格栅</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塑胶格栅</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地膜</w:t>
            </w:r>
            <w:r>
              <w:rPr>
                <w:rFonts w:hint="eastAsia" w:ascii="Times New Roman" w:hAnsi="Times New Roman" w:cs="Times New Roman"/>
                <w:b w:val="0"/>
                <w:bCs/>
                <w:kern w:val="2"/>
                <w:sz w:val="21"/>
                <w:szCs w:val="24"/>
                <w:lang w:val="en-US" w:eastAsia="zh-CN" w:bidi="ar-SA"/>
              </w:rPr>
              <w:t>等配件需满足系统建造的用量，其中，</w:t>
            </w:r>
            <w:r>
              <w:rPr>
                <w:rFonts w:hint="eastAsia" w:ascii="Times New Roman" w:hAnsi="Times New Roman" w:eastAsia="宋体" w:cs="Times New Roman"/>
                <w:b w:val="0"/>
                <w:bCs/>
                <w:kern w:val="2"/>
                <w:sz w:val="21"/>
                <w:szCs w:val="24"/>
                <w:lang w:val="en-US" w:eastAsia="zh-CN" w:bidi="ar-SA"/>
              </w:rPr>
              <w:t>主水管</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分水管</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电缆</w:t>
            </w:r>
            <w:r>
              <w:rPr>
                <w:rFonts w:hint="eastAsia" w:ascii="Times New Roman" w:hAnsi="Times New Roman" w:cs="Times New Roman"/>
                <w:b w:val="0"/>
                <w:bCs/>
                <w:kern w:val="2"/>
                <w:sz w:val="21"/>
                <w:szCs w:val="24"/>
                <w:lang w:val="en-US" w:eastAsia="zh-CN" w:bidi="ar-SA"/>
              </w:rPr>
              <w:t>等主要配件需符合国标</w:t>
            </w:r>
          </w:p>
        </w:tc>
      </w:tr>
    </w:tbl>
    <w:p>
      <w:pPr>
        <w:rPr>
          <w:rFonts w:cs="宋体"/>
          <w:color w:val="FF0000"/>
        </w:rPr>
      </w:pPr>
    </w:p>
    <w:p>
      <w:pPr>
        <w:pStyle w:val="5"/>
        <w:spacing w:before="120" w:beforeLines="50" w:after="120" w:afterLines="5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pPr>
        <w:rPr>
          <w:b/>
          <w:sz w:val="24"/>
        </w:rPr>
      </w:pPr>
    </w:p>
    <w:p>
      <w:pPr>
        <w:pStyle w:val="7"/>
        <w:spacing w:line="360" w:lineRule="auto"/>
        <w:rPr>
          <w:rFonts w:ascii="宋体" w:hAnsi="宋体"/>
          <w:szCs w:val="21"/>
        </w:rPr>
      </w:pPr>
      <w:r>
        <w:rPr>
          <w:rFonts w:hint="eastAsia" w:ascii="宋体" w:hAnsi="宋体"/>
          <w:szCs w:val="21"/>
        </w:rPr>
        <w:t>本项目</w:t>
      </w:r>
      <w:r>
        <w:rPr>
          <w:rFonts w:ascii="宋体" w:hAnsi="宋体"/>
          <w:szCs w:val="21"/>
        </w:rPr>
        <w:t>采购的</w:t>
      </w:r>
      <w:r>
        <w:rPr>
          <w:rFonts w:hint="eastAsia" w:ascii="宋体" w:hAnsi="宋体"/>
          <w:szCs w:val="21"/>
        </w:rPr>
        <w:t>是</w:t>
      </w:r>
      <w:r>
        <w:rPr>
          <w:rFonts w:ascii="宋体" w:hAnsi="宋体"/>
          <w:szCs w:val="21"/>
        </w:rPr>
        <w:t>用于教学、科研的仪器设备</w:t>
      </w:r>
      <w:r>
        <w:rPr>
          <w:rFonts w:hint="eastAsia" w:ascii="宋体" w:hAnsi="宋体"/>
          <w:szCs w:val="21"/>
        </w:rPr>
        <w:t>，对于“二、</w:t>
      </w:r>
      <w:r>
        <w:rPr>
          <w:rFonts w:ascii="宋体" w:hAnsi="宋体"/>
          <w:szCs w:val="21"/>
        </w:rPr>
        <w:t>货物清单</w:t>
      </w:r>
      <w:r>
        <w:rPr>
          <w:rFonts w:hint="eastAsia" w:ascii="宋体" w:hAnsi="宋体"/>
          <w:szCs w:val="21"/>
        </w:rPr>
        <w:t>”中“接受进口”的</w:t>
      </w:r>
      <w:r>
        <w:rPr>
          <w:rFonts w:ascii="宋体" w:hAnsi="宋体"/>
          <w:szCs w:val="21"/>
        </w:rPr>
        <w:t>货物，</w:t>
      </w:r>
      <w:r>
        <w:rPr>
          <w:rFonts w:hint="eastAsia" w:ascii="宋体" w:hAnsi="宋体"/>
          <w:szCs w:val="21"/>
        </w:rPr>
        <w:t>如果</w:t>
      </w:r>
      <w:r>
        <w:rPr>
          <w:rFonts w:ascii="宋体" w:hAnsi="宋体"/>
          <w:szCs w:val="21"/>
        </w:rPr>
        <w:t>投标人选用进口产品投标</w:t>
      </w:r>
      <w:r>
        <w:rPr>
          <w:rFonts w:hint="eastAsia" w:ascii="宋体" w:hAnsi="宋体"/>
          <w:szCs w:val="21"/>
        </w:rPr>
        <w:t>并且所选用产品</w:t>
      </w:r>
      <w:r>
        <w:rPr>
          <w:rFonts w:ascii="宋体" w:hAnsi="宋体"/>
          <w:szCs w:val="21"/>
        </w:rPr>
        <w:t>符合</w:t>
      </w:r>
      <w:r>
        <w:rPr>
          <w:rFonts w:hint="eastAsia" w:ascii="宋体" w:hAnsi="宋体"/>
          <w:szCs w:val="21"/>
        </w:rPr>
        <w:t>《科技开发用品免征进口税收暂行规定》 和 《科学研究和教学用品免征进口税收规定》中的免税政策</w:t>
      </w:r>
      <w:r>
        <w:rPr>
          <w:rFonts w:ascii="宋体" w:hAnsi="宋体"/>
          <w:szCs w:val="21"/>
        </w:rPr>
        <w:t>，</w:t>
      </w:r>
      <w:r>
        <w:rPr>
          <w:rFonts w:hint="eastAsia" w:ascii="宋体" w:hAnsi="宋体"/>
          <w:szCs w:val="21"/>
        </w:rPr>
        <w:t>投标人</w:t>
      </w:r>
      <w:r>
        <w:rPr>
          <w:rFonts w:ascii="宋体" w:hAnsi="宋体"/>
          <w:szCs w:val="21"/>
        </w:rPr>
        <w:t>应报</w:t>
      </w:r>
      <w:r>
        <w:rPr>
          <w:rFonts w:hint="eastAsia" w:ascii="宋体" w:hAnsi="宋体"/>
          <w:szCs w:val="21"/>
        </w:rPr>
        <w:t>CIP深圳大学的免税人民币价(不包括进口关税和增值税)，报价中</w:t>
      </w:r>
      <w:r>
        <w:rPr>
          <w:rFonts w:ascii="宋体" w:hAnsi="宋体"/>
          <w:szCs w:val="21"/>
        </w:rPr>
        <w:t>须包含代理服务费。</w:t>
      </w:r>
      <w:r>
        <w:rPr>
          <w:rFonts w:hint="eastAsia" w:ascii="宋体" w:hAnsi="宋体"/>
          <w:color w:val="FF0000"/>
          <w:szCs w:val="21"/>
        </w:rPr>
        <w:t>若供应商所投产品的原产地为美国，且在中国针对美国惩罚性关税清单内，供应商的投标报价应包含惩罚性关税，但不包含原进口关税和增值税，惩罚性关税由中标人支付。</w:t>
      </w:r>
    </w:p>
    <w:p>
      <w:pPr>
        <w:pStyle w:val="7"/>
        <w:spacing w:line="360" w:lineRule="auto"/>
        <w:rPr>
          <w:rFonts w:ascii="宋体" w:hAnsi="宋体"/>
          <w:szCs w:val="21"/>
        </w:rPr>
      </w:pPr>
    </w:p>
    <w:p>
      <w:pPr>
        <w:pStyle w:val="5"/>
        <w:spacing w:before="120" w:beforeLines="50" w:after="120" w:afterLines="50"/>
        <w:rPr>
          <w:sz w:val="28"/>
          <w:szCs w:val="28"/>
        </w:rPr>
      </w:pPr>
      <w:r>
        <w:rPr>
          <w:rFonts w:hint="eastAsia"/>
          <w:sz w:val="28"/>
          <w:szCs w:val="28"/>
        </w:rPr>
        <w:t>六、注意</w:t>
      </w:r>
      <w:r>
        <w:rPr>
          <w:sz w:val="28"/>
          <w:szCs w:val="28"/>
        </w:rPr>
        <w:t>事项</w:t>
      </w:r>
    </w:p>
    <w:p>
      <w:pPr>
        <w:rPr>
          <w:b/>
          <w:sz w:val="24"/>
        </w:rPr>
      </w:pPr>
    </w:p>
    <w:p>
      <w:pPr>
        <w:pStyle w:val="7"/>
        <w:spacing w:line="360" w:lineRule="auto"/>
        <w:ind w:firstLineChars="200"/>
        <w:rPr>
          <w:rFonts w:ascii="宋体" w:hAnsi="宋体"/>
          <w:szCs w:val="21"/>
        </w:rPr>
      </w:pPr>
      <w:r>
        <w:rPr>
          <w:rFonts w:ascii="宋体" w:hAnsi="宋体"/>
          <w:szCs w:val="21"/>
        </w:rPr>
        <w:t>1、</w:t>
      </w:r>
      <w:r>
        <w:rPr>
          <w:rFonts w:hint="eastAsia" w:ascii="宋体" w:hAnsi="宋体"/>
          <w:szCs w:val="21"/>
        </w:rPr>
        <w:t>提供相同品牌产品的不同投标人参加本项目投标的按</w:t>
      </w:r>
      <w:r>
        <w:rPr>
          <w:rFonts w:ascii="宋体" w:hAnsi="宋体"/>
          <w:szCs w:val="21"/>
        </w:rPr>
        <w:t>一家投标人计算</w:t>
      </w:r>
      <w:r>
        <w:rPr>
          <w:rFonts w:hint="eastAsia" w:ascii="宋体" w:hAnsi="宋体"/>
          <w:szCs w:val="21"/>
        </w:rPr>
        <w:t>。非单一产品采购项目，根据采购项目技术构成、产品价格比重等合理确定核心产品，并在招标文件中载明。如</w:t>
      </w:r>
      <w:r>
        <w:rPr>
          <w:rFonts w:ascii="宋体" w:hAnsi="宋体"/>
          <w:szCs w:val="21"/>
        </w:rPr>
        <w:t>不同</w:t>
      </w:r>
      <w:r>
        <w:rPr>
          <w:rFonts w:hint="eastAsia" w:ascii="宋体" w:hAnsi="宋体"/>
          <w:szCs w:val="21"/>
        </w:rPr>
        <w:t>投标人提供的核心产品品牌相同，</w:t>
      </w:r>
      <w:r>
        <w:rPr>
          <w:rFonts w:ascii="宋体" w:hAnsi="宋体"/>
          <w:szCs w:val="21"/>
        </w:rPr>
        <w:t>即认为</w:t>
      </w:r>
      <w:r>
        <w:rPr>
          <w:rFonts w:hint="eastAsia" w:ascii="宋体" w:hAnsi="宋体"/>
          <w:szCs w:val="21"/>
        </w:rPr>
        <w:t>是</w:t>
      </w:r>
      <w:r>
        <w:rPr>
          <w:rFonts w:ascii="宋体" w:hAnsi="宋体"/>
          <w:szCs w:val="21"/>
        </w:rPr>
        <w:t>提供相同</w:t>
      </w:r>
      <w:r>
        <w:rPr>
          <w:rFonts w:hint="eastAsia" w:ascii="宋体" w:hAnsi="宋体"/>
          <w:szCs w:val="21"/>
        </w:rPr>
        <w:t>品牌</w:t>
      </w:r>
      <w:r>
        <w:rPr>
          <w:rFonts w:ascii="宋体" w:hAnsi="宋体"/>
          <w:szCs w:val="21"/>
        </w:rPr>
        <w:t>产品。</w:t>
      </w:r>
    </w:p>
    <w:p>
      <w:pPr>
        <w:pStyle w:val="7"/>
        <w:spacing w:line="360" w:lineRule="auto"/>
        <w:ind w:firstLineChars="200"/>
        <w:rPr>
          <w:rFonts w:ascii="宋体" w:hAnsi="宋体"/>
          <w:szCs w:val="21"/>
        </w:rPr>
      </w:pP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pacing w:line="360" w:lineRule="auto"/>
        <w:ind w:firstLineChars="200"/>
        <w:rPr>
          <w:rFonts w:ascii="宋体" w:hAnsi="宋体"/>
          <w:szCs w:val="21"/>
        </w:rPr>
      </w:pPr>
      <w:r>
        <w:rPr>
          <w:rFonts w:hint="eastAsia" w:ascii="宋体" w:hAnsi="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pacing w:line="360" w:lineRule="auto"/>
        <w:ind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中标人不得将项目非法分包或转包给任何单位和个人。否则，采购单位有权即刻终止合同，并要求中标人赔偿相应损失。</w:t>
      </w:r>
    </w:p>
    <w:p>
      <w:pPr>
        <w:pStyle w:val="7"/>
        <w:spacing w:line="360" w:lineRule="auto"/>
        <w:ind w:firstLineChars="200"/>
        <w:rPr>
          <w:rFonts w:ascii="宋体" w:hAnsi="宋体"/>
          <w:szCs w:val="21"/>
        </w:rPr>
      </w:pPr>
      <w:r>
        <w:rPr>
          <w:rFonts w:ascii="宋体" w:hAnsi="宋体"/>
          <w:szCs w:val="21"/>
        </w:rPr>
        <w:t>3</w:t>
      </w:r>
      <w:r>
        <w:rPr>
          <w:rFonts w:hint="eastAsia" w:ascii="宋体" w:hAnsi="宋体"/>
          <w:szCs w:val="21"/>
        </w:rPr>
        <w:t>、投标人若认为招标文件的技术要求或其他要求有倾向性或不公正性，可在招标答疑阶段提出，以维护招标行为的公平、公正。</w:t>
      </w:r>
    </w:p>
    <w:p>
      <w:pPr>
        <w:pStyle w:val="7"/>
        <w:spacing w:line="360" w:lineRule="auto"/>
        <w:ind w:firstLineChars="200"/>
        <w:rPr>
          <w:rFonts w:ascii="宋体" w:hAnsi="宋体"/>
          <w:szCs w:val="21"/>
        </w:rPr>
      </w:pPr>
      <w:r>
        <w:rPr>
          <w:rFonts w:ascii="宋体" w:hAnsi="宋体"/>
          <w:szCs w:val="21"/>
        </w:rPr>
        <w:t>4</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、投标人所提交的投标文件对技术参数和各项要求的响应必须列出具体内容。如果投标人只注明“符合”或“满足”，将被视为“不符合”，并可能严重影响评标结果。</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、“综合实力部分”评分中出现无证明资料或专家无法凭所提供资料判断是否得分的情况，一律作不得分处理。</w:t>
      </w:r>
    </w:p>
    <w:p>
      <w:pPr>
        <w:widowControl/>
        <w:jc w:val="left"/>
        <w:rPr>
          <w:b/>
          <w:sz w:val="24"/>
        </w:rPr>
      </w:pPr>
      <w:r>
        <w:rPr>
          <w:b/>
          <w:sz w:val="24"/>
        </w:rPr>
        <w:br w:type="page"/>
      </w:r>
    </w:p>
    <w:p>
      <w:pPr>
        <w:pStyle w:val="5"/>
        <w:rPr>
          <w:kern w:val="2"/>
          <w:sz w:val="32"/>
          <w:szCs w:val="32"/>
        </w:rPr>
      </w:pPr>
      <w:bookmarkStart w:id="29" w:name="bt投标书"/>
      <w:bookmarkEnd w:id="29"/>
      <w:bookmarkStart w:id="30" w:name="bt附件"/>
      <w:bookmarkEnd w:id="30"/>
      <w:r>
        <w:rPr>
          <w:rFonts w:hint="eastAsia"/>
          <w:kern w:val="2"/>
          <w:sz w:val="32"/>
          <w:szCs w:val="32"/>
        </w:rPr>
        <w:t>第三章  投标文件格式</w:t>
      </w:r>
    </w:p>
    <w:p>
      <w:pPr>
        <w:rPr>
          <w:rStyle w:val="71"/>
          <w:color w:val="FF0000"/>
          <w:sz w:val="24"/>
        </w:rPr>
      </w:pPr>
      <w:r>
        <w:rPr>
          <w:rStyle w:val="71"/>
          <w:rFonts w:hint="eastAsia"/>
          <w:color w:val="FF0000"/>
          <w:sz w:val="24"/>
        </w:rPr>
        <w:t>特别提醒：</w:t>
      </w:r>
    </w:p>
    <w:p>
      <w:pPr>
        <w:ind w:firstLine="480" w:firstLineChars="200"/>
        <w:rPr>
          <w:rFonts w:ascii="仿宋_GB2312" w:eastAsia="仿宋_GB2312"/>
          <w:color w:val="000000"/>
          <w:sz w:val="24"/>
        </w:rPr>
      </w:pPr>
      <w:r>
        <w:rPr>
          <w:rFonts w:hint="eastAsia" w:ascii="仿宋_GB2312" w:eastAsia="仿宋_GB2312"/>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pPr>
        <w:ind w:firstLine="480" w:firstLineChars="200"/>
        <w:rPr>
          <w:rFonts w:ascii="仿宋_GB2312" w:eastAsia="仿宋_GB2312"/>
          <w:color w:val="000000"/>
          <w:sz w:val="24"/>
        </w:rPr>
      </w:pPr>
      <w:r>
        <w:rPr>
          <w:rFonts w:hint="eastAsia" w:ascii="仿宋_GB2312" w:eastAsia="仿宋_GB2312"/>
          <w:color w:val="000000"/>
          <w:sz w:val="24"/>
        </w:rPr>
        <w:t>下文中的</w:t>
      </w:r>
      <w:r>
        <w:rPr>
          <w:rFonts w:ascii="仿宋_GB2312" w:eastAsia="仿宋_GB2312"/>
          <w:color w:val="000000"/>
          <w:sz w:val="24"/>
        </w:rPr>
        <w:t>“</w:t>
      </w:r>
      <w:r>
        <w:rPr>
          <w:rFonts w:hint="eastAsia" w:ascii="仿宋_GB2312" w:eastAsia="仿宋_GB2312"/>
          <w:color w:val="000000"/>
          <w:sz w:val="24"/>
        </w:rPr>
        <w:t>投标人</w:t>
      </w:r>
      <w:r>
        <w:rPr>
          <w:rFonts w:ascii="仿宋_GB2312" w:eastAsia="仿宋_GB2312"/>
          <w:color w:val="000000"/>
          <w:sz w:val="24"/>
        </w:rPr>
        <w:t>”</w:t>
      </w:r>
      <w:r>
        <w:rPr>
          <w:rFonts w:hint="eastAsia" w:ascii="仿宋_GB2312" w:eastAsia="仿宋_GB2312"/>
          <w:color w:val="000000"/>
          <w:sz w:val="24"/>
        </w:rPr>
        <w:t>是</w:t>
      </w:r>
      <w:r>
        <w:rPr>
          <w:rFonts w:ascii="仿宋_GB2312" w:eastAsia="仿宋_GB2312"/>
          <w:color w:val="000000"/>
          <w:sz w:val="24"/>
        </w:rPr>
        <w:t>参与投标的公司</w:t>
      </w:r>
      <w:r>
        <w:rPr>
          <w:rFonts w:hint="eastAsia" w:ascii="仿宋_GB2312" w:eastAsia="仿宋_GB2312"/>
          <w:color w:val="000000"/>
          <w:sz w:val="24"/>
        </w:rPr>
        <w:t>。</w:t>
      </w:r>
    </w:p>
    <w:p>
      <w:pPr>
        <w:ind w:firstLine="480" w:firstLineChars="200"/>
        <w:rPr>
          <w:rFonts w:ascii="仿宋_GB2312" w:eastAsia="仿宋_GB2312"/>
          <w:color w:val="000000"/>
          <w:sz w:val="24"/>
        </w:rPr>
      </w:pPr>
      <w:r>
        <w:rPr>
          <w:rFonts w:hint="eastAsia" w:ascii="仿宋_GB2312" w:eastAsia="仿宋_GB2312"/>
          <w:color w:val="000000"/>
          <w:sz w:val="24"/>
        </w:rPr>
        <w:t>在投标</w:t>
      </w:r>
      <w:r>
        <w:rPr>
          <w:rFonts w:ascii="仿宋_GB2312" w:eastAsia="仿宋_GB2312"/>
          <w:color w:val="000000"/>
          <w:sz w:val="24"/>
        </w:rPr>
        <w:t>文件格式中提示（</w:t>
      </w:r>
      <w:r>
        <w:rPr>
          <w:rFonts w:hint="eastAsia" w:ascii="仿宋_GB2312" w:eastAsia="仿宋_GB2312"/>
          <w:color w:val="000000"/>
          <w:sz w:val="24"/>
        </w:rPr>
        <w:t>盖章</w:t>
      </w:r>
      <w:r>
        <w:rPr>
          <w:rFonts w:ascii="仿宋_GB2312" w:eastAsia="仿宋_GB2312"/>
          <w:color w:val="000000"/>
          <w:sz w:val="24"/>
        </w:rPr>
        <w:t>）</w:t>
      </w:r>
      <w:r>
        <w:rPr>
          <w:rFonts w:hint="eastAsia" w:ascii="仿宋_GB2312" w:eastAsia="仿宋_GB2312"/>
          <w:color w:val="000000"/>
          <w:sz w:val="24"/>
        </w:rPr>
        <w:t>或</w:t>
      </w:r>
      <w:r>
        <w:rPr>
          <w:rFonts w:ascii="仿宋_GB2312" w:eastAsia="仿宋_GB2312"/>
          <w:color w:val="000000"/>
          <w:sz w:val="24"/>
        </w:rPr>
        <w:t>（</w:t>
      </w:r>
      <w:r>
        <w:rPr>
          <w:rFonts w:hint="eastAsia" w:ascii="仿宋_GB2312" w:eastAsia="仿宋_GB2312"/>
          <w:color w:val="000000"/>
          <w:sz w:val="24"/>
        </w:rPr>
        <w:t>公章</w:t>
      </w:r>
      <w:r>
        <w:rPr>
          <w:rFonts w:ascii="仿宋_GB2312" w:eastAsia="仿宋_GB2312"/>
          <w:color w:val="000000"/>
          <w:sz w:val="24"/>
        </w:rPr>
        <w:t>）</w:t>
      </w:r>
      <w:r>
        <w:rPr>
          <w:rFonts w:hint="eastAsia" w:ascii="仿宋_GB2312" w:eastAsia="仿宋_GB2312"/>
          <w:color w:val="000000"/>
          <w:sz w:val="24"/>
        </w:rPr>
        <w:t>的</w:t>
      </w:r>
      <w:r>
        <w:rPr>
          <w:rFonts w:ascii="仿宋_GB2312" w:eastAsia="仿宋_GB2312"/>
          <w:color w:val="000000"/>
          <w:sz w:val="24"/>
        </w:rPr>
        <w:t>位置必须盖投标人公章，提示（</w:t>
      </w:r>
      <w:r>
        <w:rPr>
          <w:rFonts w:hint="eastAsia" w:ascii="仿宋_GB2312" w:eastAsia="仿宋_GB2312"/>
          <w:color w:val="000000"/>
          <w:sz w:val="24"/>
        </w:rPr>
        <w:t>签字</w:t>
      </w:r>
      <w:r>
        <w:rPr>
          <w:rFonts w:ascii="仿宋_GB2312" w:eastAsia="仿宋_GB2312"/>
          <w:color w:val="000000"/>
          <w:sz w:val="24"/>
        </w:rPr>
        <w:t>或签章）</w:t>
      </w:r>
      <w:r>
        <w:rPr>
          <w:rFonts w:hint="eastAsia" w:ascii="仿宋_GB2312" w:eastAsia="仿宋_GB2312"/>
          <w:color w:val="000000"/>
          <w:sz w:val="24"/>
        </w:rPr>
        <w:t>的</w:t>
      </w:r>
      <w:r>
        <w:rPr>
          <w:rFonts w:ascii="仿宋_GB2312" w:eastAsia="仿宋_GB2312"/>
          <w:color w:val="000000"/>
          <w:sz w:val="24"/>
        </w:rPr>
        <w:t>地方必须由相关人员亲笔签名或加盖其名章，否则将导致投标无效，</w:t>
      </w:r>
      <w:r>
        <w:rPr>
          <w:rFonts w:hint="eastAsia" w:ascii="仿宋_GB2312" w:eastAsia="仿宋_GB2312"/>
          <w:color w:val="000000"/>
          <w:sz w:val="24"/>
        </w:rPr>
        <w:t>一切后果由供应商自行承担。</w:t>
      </w:r>
    </w:p>
    <w:p>
      <w:pPr>
        <w:rPr>
          <w:sz w:val="32"/>
          <w:szCs w:val="32"/>
        </w:rPr>
      </w:pPr>
    </w:p>
    <w:p>
      <w:pPr>
        <w:ind w:firstLine="480" w:firstLineChars="200"/>
        <w:rPr>
          <w:rFonts w:ascii="宋体" w:hAnsi="宋体"/>
          <w:sz w:val="24"/>
        </w:rPr>
      </w:pPr>
      <w:r>
        <w:rPr>
          <w:rFonts w:hint="eastAsia" w:ascii="宋体" w:hAnsi="宋体"/>
          <w:sz w:val="24"/>
        </w:rPr>
        <w:t>投标文件组成：</w:t>
      </w:r>
    </w:p>
    <w:p>
      <w:pPr>
        <w:pStyle w:val="7"/>
        <w:ind w:firstLine="1575" w:firstLineChars="750"/>
        <w:rPr>
          <w:rFonts w:ascii="宋体" w:hAnsi="宋体"/>
          <w:color w:val="000000"/>
          <w:szCs w:val="21"/>
        </w:rPr>
      </w:pPr>
      <w:r>
        <w:rPr>
          <w:rFonts w:hint="eastAsia" w:ascii="宋体" w:hAnsi="宋体"/>
          <w:color w:val="000000"/>
          <w:szCs w:val="21"/>
        </w:rPr>
        <w:t>1、投标文件封面</w:t>
      </w:r>
    </w:p>
    <w:p>
      <w:pPr>
        <w:pStyle w:val="7"/>
        <w:ind w:firstLine="1575" w:firstLineChars="75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目录</w:t>
      </w:r>
    </w:p>
    <w:p>
      <w:pPr>
        <w:ind w:firstLine="1575" w:firstLineChars="750"/>
        <w:rPr>
          <w:sz w:val="32"/>
          <w:szCs w:val="32"/>
        </w:rPr>
      </w:pPr>
      <w:r>
        <w:rPr>
          <w:rFonts w:ascii="宋体" w:hAnsi="宋体"/>
          <w:color w:val="000000"/>
          <w:szCs w:val="21"/>
        </w:rPr>
        <w:t>3</w:t>
      </w:r>
      <w:r>
        <w:rPr>
          <w:rFonts w:hint="eastAsia" w:ascii="宋体" w:hAnsi="宋体"/>
          <w:color w:val="000000"/>
          <w:szCs w:val="21"/>
        </w:rPr>
        <w:t>、投标文件第一部分</w:t>
      </w:r>
    </w:p>
    <w:p>
      <w:pPr>
        <w:ind w:left="718" w:leftChars="342" w:firstLine="1417" w:firstLineChars="675"/>
        <w:rPr>
          <w:szCs w:val="21"/>
        </w:rPr>
      </w:pPr>
      <w:r>
        <w:rPr>
          <w:rFonts w:hint="eastAsia"/>
          <w:szCs w:val="21"/>
        </w:rPr>
        <w:t>（1）投标函</w:t>
      </w:r>
    </w:p>
    <w:p>
      <w:pPr>
        <w:ind w:left="718" w:leftChars="342" w:firstLine="1417" w:firstLineChars="675"/>
        <w:rPr>
          <w:szCs w:val="21"/>
        </w:rPr>
      </w:pPr>
      <w:r>
        <w:rPr>
          <w:rFonts w:hint="eastAsia"/>
          <w:szCs w:val="21"/>
        </w:rPr>
        <w:t>（2）投标</w:t>
      </w:r>
      <w:r>
        <w:rPr>
          <w:szCs w:val="21"/>
        </w:rPr>
        <w:t>及履约承诺</w:t>
      </w:r>
      <w:r>
        <w:rPr>
          <w:rFonts w:hint="eastAsia"/>
          <w:szCs w:val="21"/>
        </w:rPr>
        <w:t>函</w:t>
      </w:r>
    </w:p>
    <w:p>
      <w:pPr>
        <w:ind w:left="718" w:leftChars="342" w:firstLine="1417" w:firstLineChars="675"/>
        <w:rPr>
          <w:szCs w:val="21"/>
        </w:rPr>
      </w:pPr>
      <w:r>
        <w:rPr>
          <w:szCs w:val="21"/>
        </w:rPr>
        <w:t>（3）</w:t>
      </w:r>
      <w:r>
        <w:rPr>
          <w:rFonts w:hint="eastAsia"/>
          <w:szCs w:val="21"/>
        </w:rPr>
        <w:t>投标</w:t>
      </w:r>
      <w:r>
        <w:rPr>
          <w:szCs w:val="21"/>
        </w:rPr>
        <w:t>一览表</w:t>
      </w:r>
    </w:p>
    <w:p>
      <w:pPr>
        <w:ind w:left="718" w:leftChars="342" w:firstLine="1417" w:firstLineChars="675"/>
        <w:rPr>
          <w:szCs w:val="21"/>
        </w:rPr>
      </w:pPr>
      <w:r>
        <w:rPr>
          <w:rFonts w:hint="eastAsia"/>
          <w:szCs w:val="21"/>
        </w:rPr>
        <w:t>（4）分项报价清单表</w:t>
      </w:r>
    </w:p>
    <w:p>
      <w:pPr>
        <w:ind w:left="2692" w:leftChars="1017" w:hanging="556" w:hangingChars="265"/>
        <w:rPr>
          <w:szCs w:val="21"/>
        </w:rPr>
      </w:pPr>
      <w:r>
        <w:rPr>
          <w:rFonts w:hint="eastAsia"/>
          <w:szCs w:val="21"/>
        </w:rPr>
        <w:t>（5）投标人资格</w:t>
      </w:r>
      <w:r>
        <w:rPr>
          <w:szCs w:val="21"/>
        </w:rPr>
        <w:t>证明</w:t>
      </w:r>
      <w:r>
        <w:rPr>
          <w:rFonts w:hint="eastAsia"/>
          <w:szCs w:val="21"/>
        </w:rPr>
        <w:t>文件</w:t>
      </w:r>
    </w:p>
    <w:p>
      <w:pPr>
        <w:ind w:left="718" w:leftChars="342" w:firstLine="1417" w:firstLineChars="675"/>
        <w:rPr>
          <w:szCs w:val="21"/>
        </w:rPr>
      </w:pPr>
      <w:r>
        <w:rPr>
          <w:rFonts w:hint="eastAsia"/>
          <w:szCs w:val="21"/>
        </w:rPr>
        <w:t>（6）保障措施</w:t>
      </w:r>
      <w:r>
        <w:rPr>
          <w:szCs w:val="21"/>
        </w:rPr>
        <w:t>及环保</w:t>
      </w:r>
    </w:p>
    <w:p>
      <w:pPr>
        <w:ind w:left="718" w:leftChars="342" w:firstLine="1417" w:firstLineChars="675"/>
        <w:rPr>
          <w:szCs w:val="21"/>
        </w:rPr>
      </w:pPr>
      <w:r>
        <w:rPr>
          <w:rFonts w:hint="eastAsia"/>
          <w:szCs w:val="21"/>
        </w:rPr>
        <w:t>（7）近</w:t>
      </w:r>
      <w:r>
        <w:rPr>
          <w:szCs w:val="21"/>
        </w:rPr>
        <w:t>三年同类业绩</w:t>
      </w:r>
    </w:p>
    <w:p>
      <w:pPr>
        <w:ind w:left="718" w:leftChars="342" w:firstLine="1417" w:firstLineChars="675"/>
        <w:rPr>
          <w:szCs w:val="21"/>
        </w:rPr>
      </w:pPr>
      <w:r>
        <w:rPr>
          <w:rFonts w:hint="eastAsia"/>
          <w:szCs w:val="21"/>
        </w:rPr>
        <w:t>（8）投标人</w:t>
      </w:r>
      <w:r>
        <w:rPr>
          <w:szCs w:val="21"/>
        </w:rPr>
        <w:t>认为需要提供的其他证明材料</w:t>
      </w:r>
    </w:p>
    <w:p>
      <w:pPr>
        <w:ind w:left="718" w:leftChars="342" w:firstLine="1417" w:firstLineChars="675"/>
        <w:rPr>
          <w:szCs w:val="21"/>
        </w:rPr>
      </w:pPr>
      <w:r>
        <w:rPr>
          <w:rFonts w:hint="eastAsia"/>
          <w:szCs w:val="21"/>
        </w:rPr>
        <w:t>（9）技术规格</w:t>
      </w:r>
      <w:r>
        <w:rPr>
          <w:szCs w:val="21"/>
        </w:rPr>
        <w:t>证明文件</w:t>
      </w:r>
    </w:p>
    <w:p>
      <w:pPr>
        <w:ind w:left="718" w:leftChars="342" w:firstLine="1417" w:firstLineChars="675"/>
        <w:rPr>
          <w:szCs w:val="21"/>
        </w:rPr>
      </w:pPr>
      <w:r>
        <w:rPr>
          <w:rFonts w:hint="eastAsia"/>
          <w:szCs w:val="21"/>
        </w:rPr>
        <w:t>（10）技术规格偏离表</w:t>
      </w:r>
    </w:p>
    <w:p>
      <w:pPr>
        <w:ind w:left="718" w:leftChars="342" w:firstLine="1417" w:firstLineChars="675"/>
        <w:rPr>
          <w:szCs w:val="21"/>
        </w:rPr>
      </w:pPr>
      <w:r>
        <w:rPr>
          <w:rFonts w:hint="eastAsia"/>
          <w:szCs w:val="21"/>
        </w:rPr>
        <w:t>（11）商务需求偏离表</w:t>
      </w:r>
    </w:p>
    <w:p>
      <w:pPr>
        <w:ind w:left="718" w:leftChars="342" w:firstLine="1417" w:firstLineChars="675"/>
        <w:rPr>
          <w:szCs w:val="21"/>
        </w:rPr>
      </w:pPr>
      <w:r>
        <w:rPr>
          <w:rFonts w:hint="eastAsia"/>
          <w:szCs w:val="21"/>
        </w:rPr>
        <w:t>（12）投标人认为需要加以说明的其他内容</w:t>
      </w:r>
    </w:p>
    <w:p>
      <w:pPr>
        <w:ind w:left="718" w:leftChars="342" w:firstLine="1417" w:firstLineChars="675"/>
        <w:rPr>
          <w:szCs w:val="21"/>
        </w:rPr>
      </w:pPr>
    </w:p>
    <w:p>
      <w:pPr>
        <w:ind w:firstLine="1200" w:firstLineChars="500"/>
        <w:rPr>
          <w:rFonts w:ascii="宋体" w:hAnsi="宋体"/>
          <w:sz w:val="24"/>
        </w:rPr>
      </w:pPr>
      <w:r>
        <w:rPr>
          <w:rFonts w:hint="eastAsia" w:ascii="宋体" w:hAnsi="宋体"/>
          <w:sz w:val="24"/>
        </w:rPr>
        <w:t>2.投标文件第二</w:t>
      </w:r>
      <w:r>
        <w:rPr>
          <w:rFonts w:ascii="宋体" w:hAnsi="宋体"/>
          <w:sz w:val="24"/>
        </w:rPr>
        <w:t>部分</w:t>
      </w:r>
      <w:r>
        <w:rPr>
          <w:rFonts w:hint="eastAsia" w:ascii="宋体" w:hAnsi="宋体"/>
          <w:sz w:val="24"/>
        </w:rPr>
        <w:t>：主要包括以下内容：</w:t>
      </w:r>
    </w:p>
    <w:p>
      <w:pPr>
        <w:ind w:firstLine="2100" w:firstLineChars="1000"/>
        <w:rPr>
          <w:szCs w:val="21"/>
        </w:rPr>
      </w:pPr>
      <w:r>
        <w:rPr>
          <w:rFonts w:hint="eastAsia"/>
          <w:szCs w:val="21"/>
        </w:rPr>
        <w:t>（1）法定代表人证明书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（3）项目实施方案</w:t>
      </w:r>
    </w:p>
    <w:p>
      <w:pPr>
        <w:ind w:left="718" w:leftChars="342" w:firstLine="1417" w:firstLineChars="675"/>
        <w:rPr>
          <w:szCs w:val="21"/>
        </w:rPr>
      </w:pPr>
      <w:r>
        <w:rPr>
          <w:rFonts w:hint="eastAsia"/>
          <w:szCs w:val="21"/>
        </w:rPr>
        <w:t>（4）售后服务方案</w:t>
      </w:r>
    </w:p>
    <w:p>
      <w:pPr>
        <w:widowControl/>
        <w:jc w:val="left"/>
        <w:rPr>
          <w:szCs w:val="21"/>
        </w:rPr>
      </w:pPr>
      <w:r>
        <w:rPr>
          <w:szCs w:val="21"/>
        </w:rPr>
        <w:br w:type="page"/>
      </w:r>
    </w:p>
    <w:p>
      <w:pPr>
        <w:pStyle w:val="3"/>
        <w:rPr>
          <w:color w:val="FF0000"/>
        </w:rPr>
      </w:pPr>
      <w:r>
        <w:rPr>
          <w:rFonts w:hint="eastAsia"/>
          <w:color w:val="FF0000"/>
        </w:rPr>
        <w:t>封面</w:t>
      </w:r>
    </w:p>
    <w:p>
      <w:pPr>
        <w:rPr>
          <w:rFonts w:asciiTheme="minorEastAsia" w:hAnsiTheme="minorEastAsia" w:eastAsiaTheme="minorEastAsia"/>
          <w:b/>
          <w:color w:val="FF0000"/>
          <w:sz w:val="30"/>
          <w:szCs w:val="30"/>
        </w:rPr>
      </w:pPr>
    </w:p>
    <w:p>
      <w:pPr>
        <w:jc w:val="right"/>
        <w:rPr>
          <w:rFonts w:asciiTheme="minorEastAsia" w:hAnsiTheme="minorEastAsia" w:eastAsiaTheme="minorEastAsia"/>
          <w:b/>
          <w:sz w:val="36"/>
          <w:szCs w:val="36"/>
        </w:rPr>
      </w:pPr>
      <w:r>
        <w:rPr>
          <w:rFonts w:hint="eastAsia" w:asciiTheme="minorEastAsia" w:hAnsiTheme="minorEastAsia" w:eastAsiaTheme="minorEastAsia"/>
          <w:b/>
          <w:sz w:val="36"/>
          <w:szCs w:val="36"/>
          <w:highlight w:val="yellow"/>
        </w:rPr>
        <w:t>正本</w:t>
      </w:r>
      <w:r>
        <w:rPr>
          <w:rFonts w:asciiTheme="minorEastAsia" w:hAnsiTheme="minorEastAsia" w:eastAsiaTheme="minorEastAsia"/>
          <w:b/>
          <w:sz w:val="36"/>
          <w:szCs w:val="36"/>
          <w:highlight w:val="yellow"/>
        </w:rPr>
        <w:t>/副本</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投 标 文 件</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w:t>
      </w:r>
      <w:r>
        <w:rPr>
          <w:rFonts w:asciiTheme="minorEastAsia" w:hAnsiTheme="minorEastAsia" w:eastAsiaTheme="minorEastAsia"/>
          <w:b/>
          <w:sz w:val="32"/>
          <w:szCs w:val="32"/>
        </w:rPr>
        <w:t>名称：</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w:t>
      </w:r>
      <w:r>
        <w:rPr>
          <w:rFonts w:asciiTheme="minorEastAsia" w:hAnsiTheme="minorEastAsia" w:eastAsiaTheme="minorEastAsia"/>
          <w:b/>
          <w:sz w:val="32"/>
          <w:szCs w:val="32"/>
        </w:rPr>
        <w:t>（供应商</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p>
    <w:p>
      <w:pPr>
        <w:rPr>
          <w:rFonts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p>
    <w:p>
      <w:pPr>
        <w:widowControl/>
        <w:jc w:val="left"/>
        <w:rPr>
          <w:rFonts w:asciiTheme="minorEastAsia" w:hAnsiTheme="minorEastAsia" w:eastAsiaTheme="minorEastAsia"/>
          <w:b/>
          <w:color w:val="FF0000"/>
          <w:sz w:val="30"/>
          <w:szCs w:val="30"/>
        </w:rPr>
      </w:pPr>
      <w:r>
        <w:rPr>
          <w:rFonts w:asciiTheme="minorEastAsia" w:hAnsiTheme="minorEastAsia" w:eastAsiaTheme="minorEastAsia"/>
          <w:b/>
          <w:color w:val="FF0000"/>
          <w:sz w:val="30"/>
          <w:szCs w:val="30"/>
        </w:rPr>
        <w:br w:type="page"/>
      </w:r>
    </w:p>
    <w:p>
      <w:pPr>
        <w:pStyle w:val="3"/>
        <w:jc w:val="center"/>
        <w:rPr>
          <w:sz w:val="36"/>
          <w:szCs w:val="36"/>
        </w:rPr>
      </w:pPr>
      <w:r>
        <w:rPr>
          <w:rFonts w:hint="eastAsia"/>
          <w:sz w:val="36"/>
          <w:szCs w:val="36"/>
        </w:rPr>
        <w:t>目录</w:t>
      </w:r>
    </w:p>
    <w:p>
      <w:pPr>
        <w:rPr>
          <w:rFonts w:ascii="仿宋_GB2312" w:eastAsia="仿宋_GB2312"/>
          <w:sz w:val="30"/>
          <w:szCs w:val="30"/>
        </w:rPr>
      </w:pPr>
      <w:r>
        <w:rPr>
          <w:rFonts w:hint="eastAsia" w:ascii="仿宋_GB2312" w:eastAsia="仿宋_GB2312"/>
          <w:sz w:val="30"/>
          <w:szCs w:val="30"/>
        </w:rPr>
        <w:t>投标文件第一部分</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一、投标函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投标及履约承诺函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投标一览表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w:t>
      </w:r>
      <w:r>
        <w:rPr>
          <w:rFonts w:hint="eastAsia" w:asciiTheme="minorEastAsia" w:hAnsiTheme="minorEastAsia" w:eastAsiaTheme="minorEastAsia"/>
          <w:sz w:val="28"/>
          <w:szCs w:val="28"/>
        </w:rPr>
        <w:t>分项报价清单表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六</w:t>
      </w:r>
      <w:r>
        <w:rPr>
          <w:rFonts w:asciiTheme="minorEastAsia" w:hAnsiTheme="minorEastAsia" w:eastAsiaTheme="minorEastAsia"/>
          <w:sz w:val="28"/>
          <w:szCs w:val="28"/>
        </w:rPr>
        <w:t>、</w:t>
      </w:r>
      <w:r>
        <w:rPr>
          <w:rFonts w:hint="eastAsia" w:asciiTheme="minorEastAsia" w:hAnsiTheme="minorEastAsia" w:eastAsiaTheme="minorEastAsia"/>
          <w:sz w:val="28"/>
          <w:szCs w:val="28"/>
        </w:rPr>
        <w:t>保障措施及环保</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w:t>
      </w:r>
      <w:r>
        <w:rPr>
          <w:rFonts w:hint="eastAsia" w:asciiTheme="minorEastAsia" w:hAnsiTheme="minorEastAsia" w:eastAsiaTheme="minorEastAsia"/>
          <w:sz w:val="28"/>
          <w:szCs w:val="28"/>
        </w:rPr>
        <w:t>近三年同类业绩</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八</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投标人认为需要提供的其他证明材料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九</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十一</w:t>
      </w:r>
      <w:r>
        <w:rPr>
          <w:rFonts w:asciiTheme="minorEastAsia" w:hAnsiTheme="minorEastAsia" w:eastAsiaTheme="minorEastAsia"/>
          <w:sz w:val="28"/>
          <w:szCs w:val="28"/>
        </w:rPr>
        <w:t>、</w:t>
      </w:r>
      <w:r>
        <w:rPr>
          <w:rFonts w:hint="eastAsia" w:asciiTheme="minorEastAsia" w:hAnsiTheme="minorEastAsia" w:eastAsiaTheme="minorEastAsia"/>
          <w:sz w:val="28"/>
          <w:szCs w:val="28"/>
        </w:rPr>
        <w:t>商务需求偏离表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十二</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投标人认为需要加以说明的其他内容                          </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投标文件第二部分</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一、法定</w:t>
      </w:r>
      <w:r>
        <w:rPr>
          <w:rFonts w:asciiTheme="minorEastAsia" w:hAnsiTheme="minorEastAsia" w:eastAsiaTheme="minorEastAsia"/>
          <w:sz w:val="28"/>
          <w:szCs w:val="28"/>
        </w:rPr>
        <w:t>代表人证明书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投标文件签署授权委托书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、项目实施方案</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、售后服务方案</w:t>
      </w:r>
    </w:p>
    <w:p/>
    <w:p/>
    <w:p>
      <w:pPr>
        <w:rPr>
          <w:color w:val="FF0000"/>
        </w:rPr>
      </w:pPr>
      <w:r>
        <w:rPr>
          <w:rFonts w:hint="eastAsia"/>
          <w:color w:val="FF0000"/>
        </w:rPr>
        <w:t>注意</w:t>
      </w:r>
      <w:r>
        <w:rPr>
          <w:color w:val="FF0000"/>
        </w:rPr>
        <w:t>：</w:t>
      </w:r>
      <w:r>
        <w:rPr>
          <w:rFonts w:hint="eastAsia"/>
          <w:color w:val="FF0000"/>
        </w:rPr>
        <w:t xml:space="preserve"> 目录</w:t>
      </w:r>
      <w:r>
        <w:rPr>
          <w:color w:val="FF0000"/>
        </w:rPr>
        <w:t>须标注</w:t>
      </w:r>
      <w:r>
        <w:rPr>
          <w:rFonts w:hint="eastAsia"/>
          <w:color w:val="FF0000"/>
        </w:rPr>
        <w:t>对应</w:t>
      </w:r>
      <w:r>
        <w:rPr>
          <w:color w:val="FF0000"/>
        </w:rPr>
        <w:t>的页码</w:t>
      </w: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pStyle w:val="3"/>
      </w:pPr>
      <w:r>
        <w:rPr>
          <w:rFonts w:hint="eastAsia"/>
          <w:color w:val="FF0000"/>
        </w:rPr>
        <w:t>投标文件第一部分</w:t>
      </w:r>
    </w:p>
    <w:p>
      <w:pPr>
        <w:rPr>
          <w:kern w:val="0"/>
        </w:rPr>
      </w:pPr>
    </w:p>
    <w:p>
      <w:pPr>
        <w:pStyle w:val="3"/>
        <w:jc w:val="center"/>
        <w:rPr>
          <w:rFonts w:ascii="黑体" w:eastAsia="黑体"/>
          <w:b w:val="0"/>
          <w:kern w:val="0"/>
          <w:sz w:val="32"/>
        </w:rPr>
      </w:pPr>
      <w:r>
        <w:rPr>
          <w:rFonts w:hint="eastAsia" w:ascii="黑体" w:eastAsia="黑体"/>
          <w:b w:val="0"/>
          <w:kern w:val="0"/>
          <w:sz w:val="32"/>
        </w:rPr>
        <w:t>一、投标函</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深圳大学  </w:t>
      </w:r>
    </w:p>
    <w:p>
      <w:pPr>
        <w:spacing w:after="120" w:afterLines="50"/>
        <w:ind w:firstLine="560" w:firstLineChars="200"/>
        <w:rPr>
          <w:sz w:val="28"/>
          <w:szCs w:val="28"/>
        </w:rPr>
      </w:pPr>
      <w:r>
        <w:rPr>
          <w:rFonts w:hint="eastAsia"/>
          <w:sz w:val="28"/>
          <w:szCs w:val="28"/>
        </w:rPr>
        <w:t>1、根据已收到贵方的项目编号为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pPr>
        <w:spacing w:after="120" w:afterLines="50"/>
        <w:ind w:firstLine="560" w:firstLineChars="20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pPr>
        <w:spacing w:after="120" w:afterLines="50"/>
        <w:ind w:firstLine="548" w:firstLineChars="196"/>
        <w:rPr>
          <w:rFonts w:ascii="宋体" w:hAnsi="宋体"/>
          <w:sz w:val="28"/>
          <w:szCs w:val="28"/>
        </w:rPr>
      </w:pPr>
      <w:r>
        <w:rPr>
          <w:rFonts w:hint="eastAsia" w:ascii="宋体" w:hAnsi="宋体"/>
          <w:sz w:val="28"/>
          <w:szCs w:val="28"/>
        </w:rPr>
        <w:t>3、我方同意所递交的投标文件在“对通用条款的补充内容”中的投标有效期内有效，在此期间内我方的投标有可能中标，我方将受此约束。</w:t>
      </w:r>
    </w:p>
    <w:p>
      <w:pPr>
        <w:spacing w:after="120" w:afterLines="50"/>
        <w:ind w:firstLine="548" w:firstLineChars="196"/>
        <w:rPr>
          <w:rFonts w:ascii="宋体" w:hAnsi="宋体"/>
          <w:sz w:val="28"/>
          <w:szCs w:val="28"/>
        </w:rPr>
      </w:pPr>
      <w:r>
        <w:rPr>
          <w:rFonts w:hint="eastAsia" w:ascii="宋体" w:hAnsi="宋体"/>
          <w:sz w:val="28"/>
          <w:szCs w:val="28"/>
        </w:rPr>
        <w:t>4、除非另外达成协议并生效，贵方的中标通知书和本投标文件将构成约束我们双方的合同。</w:t>
      </w:r>
    </w:p>
    <w:p>
      <w:pPr>
        <w:spacing w:after="120" w:afterLines="50"/>
        <w:ind w:firstLine="548" w:firstLineChars="196"/>
        <w:rPr>
          <w:rFonts w:ascii="宋体" w:hAnsi="宋体"/>
          <w:sz w:val="28"/>
          <w:szCs w:val="28"/>
        </w:rPr>
      </w:pPr>
      <w:r>
        <w:rPr>
          <w:rFonts w:hint="eastAsia" w:ascii="宋体" w:hAnsi="宋体"/>
          <w:sz w:val="28"/>
          <w:szCs w:val="28"/>
        </w:rPr>
        <w:t>5、我方理解贵方将不受必须接受你们所收到的最低标价或其它任何投标文件的约束。</w:t>
      </w:r>
    </w:p>
    <w:p>
      <w:pPr>
        <w:ind w:left="540" w:leftChars="257"/>
        <w:rPr>
          <w:sz w:val="28"/>
          <w:szCs w:val="28"/>
        </w:rPr>
      </w:pPr>
    </w:p>
    <w:p>
      <w:pPr>
        <w:ind w:left="540" w:leftChars="257"/>
        <w:rPr>
          <w:sz w:val="28"/>
          <w:szCs w:val="28"/>
        </w:rPr>
      </w:pPr>
    </w:p>
    <w:p>
      <w:pPr>
        <w:ind w:left="540" w:leftChars="257"/>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(盖章) </w:t>
      </w:r>
    </w:p>
    <w:p>
      <w:pPr>
        <w:ind w:left="540" w:leftChars="257"/>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pPr>
        <w:ind w:left="540" w:leftChars="257"/>
        <w:rPr>
          <w:sz w:val="28"/>
          <w:szCs w:val="28"/>
          <w:u w:val="single"/>
        </w:rPr>
      </w:pPr>
      <w:r>
        <w:rPr>
          <w:rFonts w:hint="eastAsia"/>
          <w:sz w:val="28"/>
          <w:szCs w:val="28"/>
        </w:rPr>
        <w:t>法定代表人或其委托代理人：</w:t>
      </w:r>
      <w:r>
        <w:rPr>
          <w:rFonts w:hint="eastAsia"/>
          <w:sz w:val="28"/>
          <w:szCs w:val="28"/>
          <w:u w:val="single"/>
        </w:rPr>
        <w:t xml:space="preserve">                  （签字</w:t>
      </w:r>
      <w:r>
        <w:rPr>
          <w:sz w:val="28"/>
          <w:szCs w:val="28"/>
          <w:u w:val="single"/>
        </w:rPr>
        <w:t>或签章</w:t>
      </w:r>
      <w:r>
        <w:rPr>
          <w:rFonts w:hint="eastAsia"/>
          <w:sz w:val="28"/>
          <w:szCs w:val="28"/>
          <w:u w:val="single"/>
        </w:rPr>
        <w:t xml:space="preserve">） </w:t>
      </w:r>
    </w:p>
    <w:p>
      <w:pPr>
        <w:ind w:left="540" w:leftChars="257"/>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传真：</w:t>
      </w:r>
      <w:r>
        <w:rPr>
          <w:rFonts w:hint="eastAsia"/>
          <w:sz w:val="28"/>
          <w:szCs w:val="28"/>
          <w:u w:val="single"/>
        </w:rPr>
        <w:t xml:space="preserve">            </w:t>
      </w:r>
    </w:p>
    <w:p>
      <w:pPr>
        <w:ind w:left="540" w:leftChars="257"/>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left="540" w:leftChars="257"/>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firstLineChars="200"/>
        <w:rPr>
          <w:sz w:val="24"/>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sz w:val="28"/>
          <w:szCs w:val="28"/>
        </w:rPr>
        <w:t xml:space="preserve">            </w:t>
      </w:r>
      <w:r>
        <w:rPr>
          <w:rFonts w:hint="eastAsia"/>
          <w:sz w:val="24"/>
        </w:rPr>
        <w:t xml:space="preserve">                    </w:t>
      </w:r>
    </w:p>
    <w:p>
      <w:pPr>
        <w:rPr>
          <w:rFonts w:ascii="黑体" w:hAnsi="宋体" w:eastAsia="黑体"/>
        </w:rPr>
      </w:pPr>
      <w:r>
        <w:rPr>
          <w:rFonts w:ascii="黑体" w:hAnsi="宋体" w:eastAsia="黑体"/>
        </w:rPr>
        <w:br w:type="page"/>
      </w:r>
    </w:p>
    <w:p>
      <w:pPr>
        <w:pStyle w:val="3"/>
        <w:jc w:val="center"/>
        <w:rPr>
          <w:rFonts w:ascii="黑体" w:eastAsia="黑体"/>
          <w:b w:val="0"/>
          <w:kern w:val="0"/>
          <w:sz w:val="32"/>
        </w:rPr>
      </w:pPr>
      <w:r>
        <w:rPr>
          <w:rFonts w:hint="eastAsia" w:ascii="黑体" w:eastAsia="黑体"/>
          <w:b w:val="0"/>
          <w:kern w:val="0"/>
          <w:sz w:val="32"/>
        </w:rPr>
        <w:t>二、投标及履约承诺函</w:t>
      </w:r>
    </w:p>
    <w:p>
      <w:pPr>
        <w:rPr>
          <w:rFonts w:ascii="宋体" w:hAnsi="宋体"/>
          <w:sz w:val="24"/>
        </w:rPr>
      </w:pPr>
    </w:p>
    <w:p>
      <w:pPr>
        <w:rPr>
          <w:rFonts w:ascii="宋体" w:hAnsi="宋体"/>
          <w:sz w:val="28"/>
          <w:szCs w:val="28"/>
        </w:rPr>
      </w:pPr>
      <w:r>
        <w:rPr>
          <w:rFonts w:hint="eastAsia" w:ascii="宋体" w:hAnsi="宋体"/>
          <w:sz w:val="28"/>
          <w:szCs w:val="28"/>
        </w:rPr>
        <w:t>致：</w:t>
      </w:r>
      <w:r>
        <w:rPr>
          <w:rFonts w:hint="eastAsia" w:ascii="宋体" w:hAnsi="宋体"/>
          <w:sz w:val="28"/>
          <w:szCs w:val="28"/>
          <w:u w:val="single"/>
        </w:rPr>
        <w:t>深圳大学</w:t>
      </w:r>
    </w:p>
    <w:p>
      <w:pPr>
        <w:rPr>
          <w:rFonts w:ascii="宋体" w:hAnsi="宋体"/>
          <w:sz w:val="28"/>
          <w:szCs w:val="28"/>
        </w:rPr>
      </w:pPr>
    </w:p>
    <w:p>
      <w:pPr>
        <w:ind w:right="-815" w:firstLine="560" w:firstLineChars="200"/>
        <w:rPr>
          <w:rFonts w:ascii="宋体" w:hAnsi="宋体"/>
          <w:sz w:val="28"/>
          <w:szCs w:val="28"/>
        </w:rPr>
      </w:pPr>
      <w:r>
        <w:rPr>
          <w:rFonts w:hint="eastAsia" w:ascii="宋体" w:hAnsi="宋体"/>
          <w:sz w:val="28"/>
          <w:szCs w:val="28"/>
        </w:rPr>
        <w:t>我公司承诺：</w:t>
      </w:r>
    </w:p>
    <w:p>
      <w:pPr>
        <w:ind w:firstLine="560" w:firstLineChars="200"/>
        <w:rPr>
          <w:rFonts w:ascii="宋体" w:hAnsi="宋体"/>
          <w:sz w:val="28"/>
          <w:szCs w:val="28"/>
        </w:rPr>
      </w:pPr>
      <w:r>
        <w:rPr>
          <w:rFonts w:hint="eastAsia" w:ascii="宋体" w:hAnsi="宋体"/>
          <w:sz w:val="28"/>
          <w:szCs w:val="28"/>
        </w:rPr>
        <w:t>1.我公司依法缴纳税收和社会保障资金。</w:t>
      </w:r>
    </w:p>
    <w:p>
      <w:pPr>
        <w:ind w:firstLine="560" w:firstLineChars="200"/>
        <w:rPr>
          <w:rFonts w:ascii="宋体" w:hAnsi="宋体"/>
          <w:sz w:val="28"/>
          <w:szCs w:val="28"/>
        </w:rPr>
      </w:pPr>
      <w:r>
        <w:rPr>
          <w:rFonts w:hint="eastAsia" w:ascii="宋体" w:hAnsi="宋体"/>
          <w:sz w:val="28"/>
          <w:szCs w:val="28"/>
        </w:rPr>
        <w:t>2.我公司具备合同所必需的社保和专业技术能力。</w:t>
      </w:r>
    </w:p>
    <w:p>
      <w:pPr>
        <w:ind w:firstLine="560" w:firstLineChars="200"/>
        <w:rPr>
          <w:rFonts w:ascii="宋体" w:hAnsi="宋体"/>
          <w:sz w:val="28"/>
          <w:szCs w:val="28"/>
        </w:rPr>
      </w:pPr>
      <w:r>
        <w:rPr>
          <w:rFonts w:hint="eastAsia" w:ascii="宋体" w:hAnsi="宋体"/>
          <w:sz w:val="28"/>
          <w:szCs w:val="28"/>
        </w:rPr>
        <w:t>3.我公司参与本项目投标前三年内在经营活动中没有重大违法记录。</w:t>
      </w:r>
    </w:p>
    <w:p>
      <w:pPr>
        <w:ind w:firstLine="560" w:firstLineChars="200"/>
        <w:rPr>
          <w:rFonts w:ascii="宋体" w:hAnsi="宋体"/>
          <w:sz w:val="28"/>
          <w:szCs w:val="28"/>
        </w:rPr>
      </w:pPr>
      <w:r>
        <w:rPr>
          <w:rFonts w:hint="eastAsia" w:ascii="宋体" w:hAnsi="宋体"/>
          <w:sz w:val="28"/>
          <w:szCs w:val="28"/>
        </w:rPr>
        <w:t>4.</w:t>
      </w:r>
      <w:r>
        <w:rPr>
          <w:rFonts w:hint="eastAsia"/>
          <w:sz w:val="28"/>
          <w:szCs w:val="28"/>
        </w:rPr>
        <w:t>我公司参与本项目采购活动时不存在被有关部门禁止参与政府采购活动且在有效期内的情况。</w:t>
      </w:r>
    </w:p>
    <w:p>
      <w:pPr>
        <w:ind w:firstLine="560" w:firstLineChars="200"/>
        <w:rPr>
          <w:rFonts w:ascii="宋体" w:hAnsi="宋体"/>
          <w:sz w:val="28"/>
          <w:szCs w:val="28"/>
        </w:rPr>
      </w:pPr>
      <w:r>
        <w:rPr>
          <w:rFonts w:hint="eastAsia" w:ascii="宋体" w:hAnsi="宋体"/>
          <w:sz w:val="28"/>
          <w:szCs w:val="28"/>
        </w:rPr>
        <w:t>5.我公司对本招标项目所提供的货物或服务未侵犯知识产权。</w:t>
      </w:r>
    </w:p>
    <w:p>
      <w:pPr>
        <w:ind w:firstLine="560" w:firstLineChars="200"/>
        <w:rPr>
          <w:rFonts w:ascii="宋体" w:hAnsi="宋体"/>
          <w:sz w:val="28"/>
          <w:szCs w:val="28"/>
        </w:rPr>
      </w:pPr>
      <w:r>
        <w:rPr>
          <w:rFonts w:hint="eastAsia" w:ascii="宋体" w:hAnsi="宋体"/>
          <w:sz w:val="28"/>
          <w:szCs w:val="28"/>
        </w:rPr>
        <w:t>6.我公司保证采购人拥有所投产品完整的所有权，不以保护知识产权或技术保密的名义对所有权和使用权进行任何限制。</w:t>
      </w:r>
    </w:p>
    <w:p>
      <w:pPr>
        <w:ind w:firstLine="560" w:firstLineChars="200"/>
        <w:rPr>
          <w:rFonts w:ascii="宋体" w:hAnsi="宋体"/>
          <w:sz w:val="28"/>
          <w:szCs w:val="28"/>
        </w:rPr>
      </w:pPr>
      <w:r>
        <w:rPr>
          <w:rFonts w:hint="eastAsia" w:ascii="宋体" w:hAnsi="宋体"/>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pPr>
        <w:ind w:firstLine="560" w:firstLineChars="200"/>
        <w:rPr>
          <w:rFonts w:ascii="宋体" w:hAnsi="宋体"/>
          <w:sz w:val="28"/>
          <w:szCs w:val="28"/>
        </w:rPr>
      </w:pPr>
      <w:r>
        <w:rPr>
          <w:rFonts w:hint="eastAsia" w:ascii="宋体" w:hAnsi="宋体"/>
          <w:sz w:val="28"/>
          <w:szCs w:val="28"/>
        </w:rPr>
        <w:t>8.如果中标，做到守信，不偷工减料，依照本项目招标文件需求内容、签署的采购合同及本公司在投标中所作的一切承诺履约。项目验收达到全部指标合格，力争优良。</w:t>
      </w:r>
    </w:p>
    <w:p>
      <w:pPr>
        <w:ind w:firstLine="560" w:firstLineChars="200"/>
        <w:rPr>
          <w:rFonts w:ascii="宋体" w:hAnsi="宋体"/>
          <w:sz w:val="28"/>
          <w:szCs w:val="28"/>
        </w:rPr>
      </w:pPr>
      <w:r>
        <w:rPr>
          <w:rFonts w:hint="eastAsia" w:ascii="宋体" w:hAnsi="宋体"/>
          <w:sz w:val="28"/>
          <w:szCs w:val="28"/>
        </w:rPr>
        <w:t>9. 我公司保证不违法分包转包。</w:t>
      </w:r>
    </w:p>
    <w:p>
      <w:pPr>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.在本项目招标过程中，评标委员会若对投标人进行现场勘察或实地考察或检验有关证明材料的原件，我公司将随时做好接受检查的准备。</w:t>
      </w:r>
    </w:p>
    <w:p>
      <w:pPr>
        <w:ind w:firstLine="560" w:firstLineChars="200"/>
        <w:rPr>
          <w:rFonts w:ascii="宋体" w:hAnsi="宋体"/>
          <w:sz w:val="28"/>
          <w:szCs w:val="28"/>
        </w:rPr>
      </w:pPr>
      <w:r>
        <w:rPr>
          <w:rFonts w:hint="eastAsia" w:ascii="宋体" w:hAnsi="宋体"/>
          <w:sz w:val="28"/>
          <w:szCs w:val="28"/>
        </w:rPr>
        <w:t>以上承诺，如有违反，愿依照国家相关法律处理，并承担由此给采购人带来的损失。</w:t>
      </w:r>
    </w:p>
    <w:p>
      <w:pPr>
        <w:wordWrap w:val="0"/>
        <w:ind w:firstLine="645"/>
        <w:jc w:val="right"/>
        <w:rPr>
          <w:rFonts w:ascii="宋体" w:hAnsi="宋体"/>
          <w:sz w:val="28"/>
          <w:szCs w:val="28"/>
        </w:rPr>
      </w:pPr>
    </w:p>
    <w:p>
      <w:pPr>
        <w:ind w:firstLine="645"/>
        <w:jc w:val="right"/>
        <w:rPr>
          <w:rFonts w:ascii="宋体" w:hAnsi="宋体"/>
          <w:sz w:val="28"/>
          <w:szCs w:val="28"/>
        </w:rPr>
      </w:pPr>
    </w:p>
    <w:p>
      <w:pPr>
        <w:ind w:firstLine="645"/>
        <w:jc w:val="right"/>
        <w:rPr>
          <w:rFonts w:ascii="宋体" w:hAnsi="宋体"/>
          <w:sz w:val="28"/>
          <w:szCs w:val="28"/>
        </w:rPr>
      </w:pPr>
      <w:r>
        <w:rPr>
          <w:rFonts w:hint="eastAsia" w:ascii="宋体" w:hAnsi="宋体"/>
          <w:sz w:val="28"/>
          <w:szCs w:val="28"/>
        </w:rPr>
        <w:t>法定代表人或其委托代理人：              （签字或签章）</w:t>
      </w:r>
    </w:p>
    <w:p>
      <w:pPr>
        <w:ind w:firstLine="645"/>
        <w:jc w:val="right"/>
        <w:rPr>
          <w:rFonts w:ascii="宋体" w:hAnsi="宋体"/>
          <w:sz w:val="28"/>
          <w:szCs w:val="28"/>
        </w:rPr>
      </w:pPr>
    </w:p>
    <w:p>
      <w:pPr>
        <w:wordWrap w:val="0"/>
        <w:ind w:firstLine="645"/>
        <w:jc w:val="right"/>
        <w:rPr>
          <w:rFonts w:ascii="宋体" w:hAnsi="宋体"/>
          <w:sz w:val="28"/>
          <w:szCs w:val="28"/>
        </w:rPr>
      </w:pPr>
      <w:r>
        <w:rPr>
          <w:rFonts w:hint="eastAsia" w:ascii="宋体" w:hAnsi="宋体"/>
          <w:sz w:val="28"/>
          <w:szCs w:val="28"/>
        </w:rPr>
        <w:t xml:space="preserve">公司名称：                                   （盖章）   </w:t>
      </w:r>
    </w:p>
    <w:p>
      <w:pPr>
        <w:pStyle w:val="22"/>
        <w:ind w:firstLine="560" w:firstLineChars="200"/>
        <w:rPr>
          <w:rFonts w:ascii="宋体"/>
          <w:b w:val="0"/>
          <w:sz w:val="28"/>
          <w:szCs w:val="28"/>
        </w:rPr>
      </w:pPr>
      <w:r>
        <w:rPr>
          <w:rFonts w:hint="eastAsia" w:ascii="宋体"/>
          <w:b w:val="0"/>
          <w:sz w:val="28"/>
          <w:szCs w:val="28"/>
        </w:rPr>
        <w:t xml:space="preserve">                                          </w:t>
      </w:r>
      <w:r>
        <w:rPr>
          <w:rFonts w:ascii="宋体"/>
          <w:b w:val="0"/>
          <w:sz w:val="28"/>
          <w:szCs w:val="28"/>
        </w:rPr>
        <w:t xml:space="preserve"> </w:t>
      </w:r>
      <w:r>
        <w:rPr>
          <w:rFonts w:hint="eastAsia" w:ascii="宋体"/>
          <w:b w:val="0"/>
          <w:sz w:val="28"/>
          <w:szCs w:val="28"/>
        </w:rPr>
        <w:t>年   月   日</w:t>
      </w:r>
    </w:p>
    <w:p>
      <w:pPr>
        <w:pStyle w:val="22"/>
        <w:ind w:firstLine="420" w:firstLineChars="200"/>
        <w:rPr>
          <w:rFonts w:ascii="宋体" w:hAnsi="宋体"/>
        </w:rPr>
      </w:pPr>
      <w:r>
        <w:rPr>
          <w:rFonts w:ascii="宋体"/>
          <w:b w:val="0"/>
          <w:sz w:val="21"/>
          <w:szCs w:val="21"/>
        </w:rPr>
        <w:br w:type="page"/>
      </w:r>
    </w:p>
    <w:p>
      <w:pPr>
        <w:pStyle w:val="3"/>
        <w:jc w:val="center"/>
        <w:rPr>
          <w:rFonts w:ascii="黑体" w:hAnsi="黑体" w:eastAsia="黑体"/>
          <w:b w:val="0"/>
          <w:sz w:val="24"/>
          <w:szCs w:val="24"/>
        </w:rPr>
      </w:pPr>
      <w:r>
        <w:rPr>
          <w:rFonts w:ascii="黑体" w:hAnsi="黑体" w:eastAsia="黑体"/>
          <w:b w:val="0"/>
          <w:sz w:val="24"/>
          <w:szCs w:val="24"/>
        </w:rPr>
        <w:t>三、投标一览表</w:t>
      </w:r>
    </w:p>
    <w:p>
      <w:pPr>
        <w:spacing w:line="360" w:lineRule="auto"/>
        <w:ind w:left="151" w:leftChars="72"/>
        <w:rPr>
          <w:rFonts w:ascii="宋体" w:hAnsi="宋体"/>
          <w:sz w:val="24"/>
          <w:szCs w:val="22"/>
        </w:rPr>
      </w:pPr>
      <w:r>
        <w:rPr>
          <w:rFonts w:hint="eastAsia" w:ascii="宋体" w:hAnsi="宋体"/>
          <w:sz w:val="24"/>
        </w:rPr>
        <w:t>投标人名称：_________________ （盖章）</w:t>
      </w:r>
    </w:p>
    <w:p>
      <w:pPr>
        <w:spacing w:line="360" w:lineRule="auto"/>
        <w:ind w:left="151" w:leftChars="72"/>
        <w:rPr>
          <w:rFonts w:ascii="宋体" w:hAnsi="宋体"/>
          <w:color w:val="FF0000"/>
          <w:sz w:val="24"/>
          <w:u w:val="single"/>
        </w:rPr>
      </w:pPr>
      <w:r>
        <w:rPr>
          <w:rFonts w:hint="eastAsia" w:ascii="宋体" w:hAnsi="宋体"/>
          <w:color w:val="FF0000"/>
          <w:sz w:val="24"/>
        </w:rPr>
        <w:t xml:space="preserve">项目编号/包号：_______________ </w:t>
      </w:r>
    </w:p>
    <w:p>
      <w:pPr>
        <w:spacing w:line="360" w:lineRule="auto"/>
        <w:jc w:val="right"/>
        <w:rPr>
          <w:rFonts w:ascii="宋体" w:hAnsi="宋体"/>
          <w:sz w:val="24"/>
        </w:rPr>
      </w:pPr>
    </w:p>
    <w:p>
      <w:pPr>
        <w:spacing w:line="360" w:lineRule="auto"/>
        <w:jc w:val="right"/>
        <w:rPr>
          <w:rFonts w:ascii="宋体" w:hAnsi="宋体"/>
          <w:b/>
          <w:sz w:val="24"/>
        </w:rPr>
      </w:pPr>
    </w:p>
    <w:tbl>
      <w:tblPr>
        <w:tblStyle w:val="54"/>
        <w:tblW w:w="4831" w:type="pct"/>
        <w:tblInd w:w="288" w:type="dxa"/>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5"/>
        <w:gridCol w:w="1536"/>
        <w:gridCol w:w="3120"/>
        <w:gridCol w:w="2508"/>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477" w:type="pct"/>
            <w:vAlign w:val="center"/>
          </w:tcPr>
          <w:p>
            <w:pPr>
              <w:spacing w:line="360" w:lineRule="auto"/>
              <w:jc w:val="center"/>
              <w:rPr>
                <w:rFonts w:ascii="宋体" w:hAnsi="宋体"/>
                <w:sz w:val="24"/>
                <w:szCs w:val="22"/>
              </w:rPr>
            </w:pPr>
            <w:r>
              <w:rPr>
                <w:rFonts w:hint="eastAsia" w:ascii="宋体" w:hAnsi="宋体"/>
                <w:sz w:val="24"/>
              </w:rPr>
              <w:t>包号</w:t>
            </w:r>
          </w:p>
        </w:tc>
        <w:tc>
          <w:tcPr>
            <w:tcW w:w="970" w:type="pct"/>
            <w:vAlign w:val="center"/>
          </w:tcPr>
          <w:p>
            <w:pPr>
              <w:spacing w:line="360" w:lineRule="auto"/>
              <w:jc w:val="center"/>
              <w:rPr>
                <w:rFonts w:ascii="宋体" w:hAnsi="宋体"/>
                <w:sz w:val="24"/>
                <w:szCs w:val="22"/>
              </w:rPr>
            </w:pPr>
            <w:r>
              <w:rPr>
                <w:rFonts w:hint="eastAsia" w:ascii="宋体" w:hAnsi="宋体"/>
                <w:sz w:val="24"/>
              </w:rPr>
              <w:t>货物/或服务名称</w:t>
            </w:r>
          </w:p>
        </w:tc>
        <w:tc>
          <w:tcPr>
            <w:tcW w:w="1970" w:type="pct"/>
            <w:vAlign w:val="center"/>
          </w:tcPr>
          <w:p>
            <w:pPr>
              <w:spacing w:line="360" w:lineRule="auto"/>
              <w:jc w:val="center"/>
              <w:rPr>
                <w:rFonts w:ascii="宋体" w:hAnsi="宋体"/>
                <w:sz w:val="24"/>
                <w:szCs w:val="22"/>
              </w:rPr>
            </w:pPr>
            <w:r>
              <w:rPr>
                <w:rFonts w:hint="eastAsia" w:ascii="宋体" w:hAnsi="宋体"/>
                <w:sz w:val="24"/>
              </w:rPr>
              <w:t>投标总价（元/人民币）</w:t>
            </w:r>
          </w:p>
        </w:tc>
        <w:tc>
          <w:tcPr>
            <w:tcW w:w="1583" w:type="pct"/>
            <w:vAlign w:val="center"/>
          </w:tcPr>
          <w:p>
            <w:pPr>
              <w:spacing w:line="360" w:lineRule="auto"/>
              <w:jc w:val="center"/>
              <w:rPr>
                <w:rFonts w:ascii="宋体" w:hAnsi="宋体"/>
                <w:sz w:val="24"/>
              </w:rPr>
            </w:pPr>
            <w:r>
              <w:rPr>
                <w:rFonts w:hint="eastAsia" w:ascii="宋体" w:hAnsi="宋体"/>
                <w:sz w:val="24"/>
              </w:rPr>
              <w:t>交货期（天/日历日）</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atLeast"/>
        </w:trPr>
        <w:tc>
          <w:tcPr>
            <w:tcW w:w="477" w:type="pct"/>
            <w:vAlign w:val="center"/>
          </w:tcPr>
          <w:p>
            <w:pPr>
              <w:spacing w:line="360" w:lineRule="auto"/>
              <w:jc w:val="center"/>
              <w:rPr>
                <w:rFonts w:ascii="宋体" w:hAnsi="宋体"/>
                <w:sz w:val="24"/>
                <w:szCs w:val="22"/>
              </w:rPr>
            </w:pPr>
          </w:p>
        </w:tc>
        <w:tc>
          <w:tcPr>
            <w:tcW w:w="970" w:type="pct"/>
            <w:vAlign w:val="center"/>
          </w:tcPr>
          <w:p>
            <w:pPr>
              <w:spacing w:line="360" w:lineRule="auto"/>
              <w:jc w:val="center"/>
              <w:rPr>
                <w:rFonts w:ascii="宋体" w:hAnsi="宋体"/>
                <w:color w:val="FF0000"/>
                <w:sz w:val="24"/>
                <w:szCs w:val="22"/>
              </w:rPr>
            </w:pPr>
          </w:p>
        </w:tc>
        <w:tc>
          <w:tcPr>
            <w:tcW w:w="1970" w:type="pct"/>
            <w:vAlign w:val="center"/>
          </w:tcPr>
          <w:p>
            <w:pPr>
              <w:spacing w:line="360" w:lineRule="auto"/>
              <w:rPr>
                <w:rFonts w:ascii="宋体" w:hAnsi="宋体"/>
                <w:sz w:val="24"/>
              </w:rPr>
            </w:pPr>
            <w:r>
              <w:rPr>
                <w:rFonts w:hint="eastAsia" w:ascii="宋体" w:hAnsi="宋体"/>
                <w:sz w:val="24"/>
              </w:rPr>
              <w:t>小写金额：</w:t>
            </w:r>
          </w:p>
          <w:p>
            <w:pPr>
              <w:spacing w:line="360" w:lineRule="auto"/>
              <w:rPr>
                <w:rFonts w:ascii="宋体" w:hAnsi="宋体"/>
                <w:sz w:val="24"/>
                <w:szCs w:val="22"/>
              </w:rPr>
            </w:pPr>
            <w:r>
              <w:rPr>
                <w:rFonts w:hint="eastAsia" w:ascii="宋体" w:hAnsi="宋体"/>
                <w:sz w:val="24"/>
              </w:rPr>
              <w:t>大写金额：</w:t>
            </w:r>
          </w:p>
        </w:tc>
        <w:tc>
          <w:tcPr>
            <w:tcW w:w="1583" w:type="pct"/>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5000" w:type="pct"/>
            <w:gridSpan w:val="4"/>
            <w:vAlign w:val="center"/>
          </w:tcPr>
          <w:p>
            <w:pPr>
              <w:spacing w:line="360" w:lineRule="auto"/>
              <w:rPr>
                <w:rFonts w:ascii="宋体" w:hAnsi="宋体"/>
                <w:sz w:val="24"/>
              </w:rPr>
            </w:pPr>
            <w:r>
              <w:rPr>
                <w:rFonts w:hint="eastAsia" w:ascii="宋体" w:hAnsi="宋体"/>
                <w:sz w:val="24"/>
              </w:rPr>
              <w:t>注：上述投标一览表经我方投标代表确认无误，我方无其他投标声明</w:t>
            </w:r>
          </w:p>
        </w:tc>
      </w:tr>
    </w:tbl>
    <w:p>
      <w:pPr>
        <w:spacing w:line="360" w:lineRule="auto"/>
        <w:ind w:left="153" w:hanging="153"/>
        <w:rPr>
          <w:rFonts w:ascii="宋体" w:hAnsi="宋体"/>
          <w:sz w:val="24"/>
          <w:szCs w:val="22"/>
        </w:rPr>
      </w:pPr>
    </w:p>
    <w:p>
      <w:pPr>
        <w:spacing w:line="360" w:lineRule="auto"/>
        <w:ind w:left="-840" w:leftChars="-400" w:firstLine="840" w:firstLineChars="350"/>
        <w:rPr>
          <w:rFonts w:ascii="宋体" w:hAnsi="宋体"/>
          <w:sz w:val="24"/>
        </w:rPr>
      </w:pPr>
      <w:r>
        <w:rPr>
          <w:rFonts w:hint="eastAsia" w:ascii="宋体" w:hAnsi="宋体"/>
          <w:sz w:val="24"/>
        </w:rPr>
        <w:t>注：</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投标人应按要求填写投标总价的大写金额，如未填写，所产生的不利后果由投标人自行承担。</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投标人应以包为单位（如分包招标的话），单独填写投标一览表。</w:t>
      </w:r>
    </w:p>
    <w:p>
      <w:pPr>
        <w:tabs>
          <w:tab w:val="left" w:pos="360"/>
        </w:tabs>
        <w:spacing w:line="360" w:lineRule="auto"/>
        <w:ind w:left="360"/>
        <w:rPr>
          <w:rFonts w:ascii="宋体" w:hAnsi="宋体"/>
          <w:sz w:val="24"/>
        </w:rPr>
      </w:pPr>
    </w:p>
    <w:p>
      <w:pPr>
        <w:spacing w:line="360" w:lineRule="auto"/>
        <w:ind w:left="153" w:hanging="153"/>
        <w:rPr>
          <w:rFonts w:ascii="宋体" w:hAnsi="宋体"/>
          <w:sz w:val="24"/>
        </w:rPr>
      </w:pPr>
    </w:p>
    <w:p>
      <w:pPr>
        <w:spacing w:line="360" w:lineRule="auto"/>
        <w:ind w:left="153" w:hanging="153"/>
        <w:rPr>
          <w:rFonts w:ascii="宋体" w:hAnsi="宋体"/>
          <w:sz w:val="24"/>
        </w:rPr>
      </w:pPr>
    </w:p>
    <w:p>
      <w:pPr>
        <w:spacing w:line="360" w:lineRule="auto"/>
        <w:ind w:left="-1079" w:leftChars="-514" w:firstLine="1077" w:firstLineChars="449"/>
        <w:rPr>
          <w:rFonts w:ascii="宋体" w:hAnsi="宋体"/>
          <w:sz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p>
    <w:p>
      <w:pPr>
        <w:spacing w:line="360" w:lineRule="auto"/>
        <w:ind w:left="-1079" w:leftChars="-514" w:firstLine="1077" w:firstLineChars="449"/>
        <w:rPr>
          <w:rFonts w:ascii="宋体" w:hAnsi="宋体"/>
          <w:sz w:val="24"/>
        </w:rPr>
      </w:pPr>
      <w:r>
        <w:rPr>
          <w:rFonts w:hint="eastAsia" w:ascii="宋体" w:hAnsi="宋体"/>
          <w:sz w:val="24"/>
        </w:rPr>
        <w:t>日期：   年   月   日</w:t>
      </w:r>
    </w:p>
    <w:p>
      <w:r>
        <w:rPr>
          <w:rFonts w:ascii="宋体" w:hAnsi="宋体"/>
          <w:szCs w:val="20"/>
        </w:rPr>
        <w:br w:type="page"/>
      </w:r>
    </w:p>
    <w:p>
      <w:pPr>
        <w:pStyle w:val="3"/>
        <w:jc w:val="center"/>
        <w:rPr>
          <w:rFonts w:ascii="黑体" w:eastAsia="黑体"/>
          <w:b w:val="0"/>
          <w:sz w:val="24"/>
          <w:szCs w:val="24"/>
        </w:rPr>
      </w:pPr>
      <w:r>
        <w:rPr>
          <w:rFonts w:hint="eastAsia" w:ascii="黑体" w:eastAsia="黑体"/>
          <w:b w:val="0"/>
          <w:sz w:val="24"/>
          <w:szCs w:val="24"/>
        </w:rPr>
        <w:t>四、分项报价清单</w:t>
      </w:r>
    </w:p>
    <w:p>
      <w:pPr>
        <w:numPr>
          <w:ilvl w:val="0"/>
          <w:numId w:val="5"/>
        </w:numPr>
        <w:jc w:val="center"/>
        <w:rPr>
          <w:b/>
          <w:sz w:val="24"/>
        </w:rPr>
      </w:pPr>
      <w:r>
        <w:rPr>
          <w:rFonts w:hint="eastAsia"/>
          <w:b/>
          <w:sz w:val="24"/>
        </w:rPr>
        <w:t>项目报价表</w:t>
      </w:r>
    </w:p>
    <w:p>
      <w:pPr>
        <w:rPr>
          <w:b/>
          <w:sz w:val="24"/>
        </w:rPr>
      </w:pPr>
    </w:p>
    <w:tbl>
      <w:tblPr>
        <w:tblStyle w:val="5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1438"/>
        <w:gridCol w:w="900"/>
        <w:gridCol w:w="720"/>
        <w:gridCol w:w="720"/>
        <w:gridCol w:w="900"/>
        <w:gridCol w:w="90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jc w:val="center"/>
              <w:rPr>
                <w:szCs w:val="21"/>
              </w:rPr>
            </w:pPr>
            <w:r>
              <w:rPr>
                <w:rFonts w:hint="eastAsia"/>
                <w:szCs w:val="21"/>
              </w:rPr>
              <w:t>序号</w:t>
            </w:r>
          </w:p>
        </w:tc>
        <w:tc>
          <w:tcPr>
            <w:tcW w:w="1079" w:type="dxa"/>
            <w:vAlign w:val="center"/>
          </w:tcPr>
          <w:p>
            <w:pPr>
              <w:jc w:val="center"/>
              <w:rPr>
                <w:szCs w:val="21"/>
              </w:rPr>
            </w:pPr>
            <w:r>
              <w:rPr>
                <w:rFonts w:hint="eastAsia"/>
                <w:szCs w:val="21"/>
              </w:rPr>
              <w:t>货物名称</w:t>
            </w:r>
          </w:p>
        </w:tc>
        <w:tc>
          <w:tcPr>
            <w:tcW w:w="1438" w:type="dxa"/>
            <w:vAlign w:val="center"/>
          </w:tcPr>
          <w:p>
            <w:pPr>
              <w:jc w:val="center"/>
              <w:rPr>
                <w:szCs w:val="21"/>
              </w:rPr>
            </w:pPr>
            <w:r>
              <w:rPr>
                <w:rFonts w:hint="eastAsia"/>
                <w:szCs w:val="21"/>
              </w:rPr>
              <w:t>规格及型号</w:t>
            </w:r>
          </w:p>
        </w:tc>
        <w:tc>
          <w:tcPr>
            <w:tcW w:w="900" w:type="dxa"/>
            <w:vAlign w:val="center"/>
          </w:tcPr>
          <w:p>
            <w:pPr>
              <w:jc w:val="center"/>
              <w:rPr>
                <w:b/>
                <w:color w:val="FF0000"/>
                <w:szCs w:val="21"/>
              </w:rPr>
            </w:pPr>
            <w:r>
              <w:rPr>
                <w:rFonts w:hint="eastAsia"/>
                <w:b/>
                <w:color w:val="FF0000"/>
                <w:szCs w:val="21"/>
              </w:rPr>
              <w:t>原产地</w:t>
            </w:r>
          </w:p>
        </w:tc>
        <w:tc>
          <w:tcPr>
            <w:tcW w:w="720" w:type="dxa"/>
            <w:vAlign w:val="center"/>
          </w:tcPr>
          <w:p>
            <w:pPr>
              <w:jc w:val="center"/>
              <w:rPr>
                <w:szCs w:val="21"/>
              </w:rPr>
            </w:pPr>
            <w:r>
              <w:rPr>
                <w:rFonts w:hint="eastAsia"/>
                <w:szCs w:val="21"/>
              </w:rPr>
              <w:t>品牌</w:t>
            </w:r>
          </w:p>
        </w:tc>
        <w:tc>
          <w:tcPr>
            <w:tcW w:w="720" w:type="dxa"/>
            <w:vAlign w:val="center"/>
          </w:tcPr>
          <w:p>
            <w:pPr>
              <w:jc w:val="center"/>
              <w:rPr>
                <w:szCs w:val="21"/>
              </w:rPr>
            </w:pPr>
            <w:r>
              <w:rPr>
                <w:rFonts w:hint="eastAsia"/>
                <w:szCs w:val="21"/>
              </w:rPr>
              <w:t>数量</w:t>
            </w:r>
          </w:p>
        </w:tc>
        <w:tc>
          <w:tcPr>
            <w:tcW w:w="900" w:type="dxa"/>
            <w:vAlign w:val="center"/>
          </w:tcPr>
          <w:p>
            <w:pPr>
              <w:jc w:val="center"/>
              <w:rPr>
                <w:szCs w:val="21"/>
              </w:rPr>
            </w:pPr>
            <w:r>
              <w:rPr>
                <w:rFonts w:hint="eastAsia"/>
                <w:szCs w:val="21"/>
              </w:rPr>
              <w:t>单价(元)</w:t>
            </w:r>
          </w:p>
        </w:tc>
        <w:tc>
          <w:tcPr>
            <w:tcW w:w="900" w:type="dxa"/>
            <w:vAlign w:val="center"/>
          </w:tcPr>
          <w:p>
            <w:pPr>
              <w:jc w:val="center"/>
              <w:rPr>
                <w:szCs w:val="21"/>
              </w:rPr>
            </w:pPr>
            <w:r>
              <w:rPr>
                <w:rFonts w:hint="eastAsia"/>
                <w:szCs w:val="21"/>
              </w:rPr>
              <w:t>合价(元)</w:t>
            </w:r>
          </w:p>
        </w:tc>
        <w:tc>
          <w:tcPr>
            <w:tcW w:w="1446" w:type="dxa"/>
            <w:vAlign w:val="center"/>
          </w:tcPr>
          <w:p>
            <w:pPr>
              <w:jc w:val="center"/>
              <w:rPr>
                <w:szCs w:val="21"/>
              </w:rPr>
            </w:pPr>
            <w:r>
              <w:rPr>
                <w:rFonts w:hint="eastAsia"/>
                <w:szCs w:val="21"/>
              </w:rPr>
              <w:t>备注（免税</w:t>
            </w:r>
            <w:r>
              <w:rPr>
                <w:szCs w:val="21"/>
              </w:rPr>
              <w:t>或含税</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1</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2</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9"/>
          </w:tcPr>
          <w:p>
            <w:pPr>
              <w:rPr>
                <w:sz w:val="24"/>
              </w:rPr>
            </w:pPr>
            <w:r>
              <w:rPr>
                <w:rFonts w:hint="eastAsia"/>
                <w:sz w:val="24"/>
              </w:rPr>
              <w:t>合计（即：投标总价；币种：人民币；单位：元）：大写：</w:t>
            </w:r>
          </w:p>
        </w:tc>
      </w:tr>
    </w:tbl>
    <w:p>
      <w:pPr>
        <w:rPr>
          <w:rFonts w:ascii="宋体" w:hAnsi="宋体"/>
          <w:szCs w:val="21"/>
        </w:rPr>
      </w:pPr>
    </w:p>
    <w:p>
      <w:pPr>
        <w:rPr>
          <w:rFonts w:ascii="宋体" w:hAnsi="宋体"/>
          <w:szCs w:val="21"/>
        </w:rPr>
      </w:pPr>
      <w:r>
        <w:rPr>
          <w:rFonts w:hint="eastAsia" w:ascii="宋体" w:hAnsi="宋体"/>
          <w:szCs w:val="21"/>
        </w:rPr>
        <w:t>投标</w:t>
      </w:r>
      <w:r>
        <w:rPr>
          <w:rFonts w:ascii="宋体" w:hAnsi="宋体"/>
          <w:szCs w:val="21"/>
        </w:rPr>
        <w:t>人</w:t>
      </w:r>
      <w:r>
        <w:rPr>
          <w:rFonts w:hint="eastAsia" w:ascii="宋体" w:hAnsi="宋体"/>
          <w:szCs w:val="21"/>
        </w:rPr>
        <w:t>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（公章）</w:t>
      </w:r>
    </w:p>
    <w:p>
      <w:pPr>
        <w:rPr>
          <w:rFonts w:ascii="宋体" w:hAnsi="宋体"/>
          <w:szCs w:val="21"/>
        </w:rPr>
      </w:pPr>
    </w:p>
    <w:p>
      <w:pPr>
        <w:rPr>
          <w:rFonts w:ascii="宋体" w:hAnsi="宋体"/>
          <w:szCs w:val="21"/>
        </w:rPr>
      </w:pPr>
      <w:r>
        <w:rPr>
          <w:rFonts w:hint="eastAsia" w:ascii="宋体" w:hAnsi="宋体"/>
          <w:szCs w:val="21"/>
        </w:rPr>
        <w:t>关</w:t>
      </w:r>
      <w:r>
        <w:rPr>
          <w:rFonts w:ascii="宋体" w:hAnsi="宋体"/>
          <w:szCs w:val="21"/>
        </w:rPr>
        <w:t>境外供货商</w:t>
      </w:r>
      <w:r>
        <w:rPr>
          <w:rFonts w:hint="eastAsia" w:ascii="宋体" w:hAnsi="宋体"/>
          <w:szCs w:val="21"/>
        </w:rPr>
        <w:t>全称</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（报免税价时是</w:t>
      </w:r>
      <w:r>
        <w:rPr>
          <w:rFonts w:ascii="宋体" w:hAnsi="宋体"/>
          <w:szCs w:val="21"/>
        </w:rPr>
        <w:t>必须填</w:t>
      </w:r>
      <w:r>
        <w:rPr>
          <w:rFonts w:hint="eastAsia" w:ascii="宋体" w:hAnsi="宋体"/>
          <w:szCs w:val="21"/>
        </w:rPr>
        <w:t>此项）</w:t>
      </w:r>
    </w:p>
    <w:p>
      <w:pPr>
        <w:rPr>
          <w:rFonts w:ascii="宋体" w:hAnsi="宋体"/>
          <w:szCs w:val="21"/>
        </w:rPr>
      </w:pPr>
    </w:p>
    <w:p>
      <w:pPr>
        <w:rPr>
          <w:rFonts w:ascii="宋体" w:hAnsi="宋体"/>
          <w:szCs w:val="21"/>
          <w:u w:val="single"/>
        </w:rPr>
      </w:pPr>
      <w:r>
        <w:rPr>
          <w:rFonts w:hint="eastAsia" w:ascii="宋体" w:hAnsi="宋体"/>
          <w:szCs w:val="21"/>
        </w:rPr>
        <w:t>投标人代表：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（签名</w:t>
      </w:r>
      <w:r>
        <w:rPr>
          <w:rFonts w:ascii="宋体" w:hAnsi="宋体"/>
          <w:szCs w:val="21"/>
        </w:rPr>
        <w:t>或签章</w:t>
      </w:r>
      <w:r>
        <w:rPr>
          <w:rFonts w:hint="eastAsia" w:ascii="宋体" w:hAnsi="宋体"/>
          <w:szCs w:val="21"/>
        </w:rPr>
        <w:t>）</w:t>
      </w:r>
    </w:p>
    <w:p>
      <w:pPr>
        <w:rPr>
          <w:rFonts w:ascii="宋体" w:hAnsi="宋体"/>
          <w:szCs w:val="21"/>
          <w:u w:val="single"/>
        </w:rPr>
      </w:pPr>
    </w:p>
    <w:p>
      <w:pPr>
        <w:rPr>
          <w:rFonts w:ascii="宋体" w:hAnsi="宋体"/>
          <w:b/>
          <w:color w:val="FF0000"/>
          <w:sz w:val="24"/>
        </w:rPr>
      </w:pPr>
      <w:r>
        <w:rPr>
          <w:rFonts w:hint="eastAsia" w:ascii="宋体" w:hAnsi="宋体"/>
          <w:b/>
          <w:color w:val="FF0000"/>
          <w:sz w:val="24"/>
        </w:rPr>
        <w:t>注：1.所有价格应按“招标文件”中规定的货币单位填写；</w:t>
      </w:r>
    </w:p>
    <w:p>
      <w:pPr>
        <w:rPr>
          <w:rFonts w:ascii="宋体" w:hAnsi="宋体"/>
          <w:b/>
          <w:color w:val="FF0000"/>
          <w:sz w:val="24"/>
        </w:rPr>
      </w:pPr>
      <w:r>
        <w:rPr>
          <w:rFonts w:hint="eastAsia" w:ascii="宋体" w:hAnsi="宋体"/>
          <w:b/>
          <w:color w:val="FF0000"/>
          <w:sz w:val="24"/>
        </w:rPr>
        <w:t>2.投标人应按货物明细清单要求的货物逐项报价，如有缺漏项，可视为没有实质性响应招标文件。分项价格可为零；</w:t>
      </w:r>
    </w:p>
    <w:p>
      <w:pPr>
        <w:rPr>
          <w:rFonts w:ascii="宋体" w:hAnsi="宋体"/>
          <w:b/>
          <w:color w:val="FF0000"/>
          <w:sz w:val="24"/>
        </w:rPr>
      </w:pPr>
      <w:r>
        <w:rPr>
          <w:rFonts w:hint="eastAsia" w:ascii="宋体" w:hAnsi="宋体"/>
          <w:b/>
          <w:color w:val="FF0000"/>
          <w:sz w:val="24"/>
        </w:rPr>
        <w:t xml:space="preserve">    3.投标总价应为以上各分项价格之和；</w:t>
      </w:r>
    </w:p>
    <w:p>
      <w:pPr>
        <w:rPr>
          <w:rFonts w:ascii="宋体" w:hAnsi="宋体"/>
          <w:b/>
          <w:color w:val="FF0000"/>
          <w:sz w:val="24"/>
        </w:rPr>
      </w:pPr>
      <w:r>
        <w:rPr>
          <w:rFonts w:hint="eastAsia" w:ascii="宋体" w:hAnsi="宋体"/>
          <w:b/>
          <w:color w:val="FF0000"/>
          <w:sz w:val="24"/>
        </w:rPr>
        <w:t>4.本表格式不得修改；</w:t>
      </w:r>
    </w:p>
    <w:p>
      <w:pPr>
        <w:rPr>
          <w:rFonts w:ascii="宋体" w:hAnsi="宋体"/>
          <w:b/>
          <w:color w:val="FF0000"/>
          <w:sz w:val="24"/>
        </w:rPr>
      </w:pPr>
      <w:r>
        <w:rPr>
          <w:rFonts w:hint="eastAsia" w:ascii="宋体" w:hAnsi="宋体"/>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pPr>
        <w:rPr>
          <w:rFonts w:ascii="宋体" w:hAnsi="宋体"/>
          <w:b/>
          <w:color w:val="FF0000"/>
          <w:sz w:val="24"/>
        </w:rPr>
      </w:pPr>
      <w:r>
        <w:rPr>
          <w:rFonts w:hint="eastAsia" w:ascii="宋体" w:hAnsi="宋体"/>
          <w:b/>
          <w:color w:val="FF0000"/>
          <w:sz w:val="24"/>
        </w:rPr>
        <w:t>6.投标总价和项目报价表中单个采购预算条目报价均不得超过对应的财政预算限额，否则将导致投标无效。</w:t>
      </w:r>
    </w:p>
    <w:p>
      <w:pPr>
        <w:rPr>
          <w:rFonts w:ascii="宋体" w:hAnsi="宋体"/>
          <w:b/>
          <w:color w:val="FF0000"/>
          <w:sz w:val="24"/>
        </w:rPr>
      </w:pPr>
      <w:r>
        <w:rPr>
          <w:rFonts w:hint="eastAsia" w:ascii="宋体" w:hAnsi="宋体"/>
          <w:b/>
          <w:color w:val="FF0000"/>
          <w:sz w:val="24"/>
        </w:rPr>
        <w:t>7.开标一览表的投标总价必须与项目报价表的投标总价一致。</w:t>
      </w:r>
    </w:p>
    <w:p>
      <w:pPr>
        <w:rPr>
          <w:rFonts w:ascii="宋体" w:hAnsi="宋体"/>
          <w:b/>
          <w:color w:val="FF0000"/>
          <w:sz w:val="24"/>
        </w:rPr>
      </w:pPr>
      <w:r>
        <w:rPr>
          <w:rFonts w:hint="eastAsia" w:ascii="宋体" w:hAnsi="宋体"/>
          <w:b/>
          <w:color w:val="FF0000"/>
          <w:sz w:val="24"/>
        </w:rPr>
        <w:t>8.“原产地”是指该产品的实际生产加工地，而非品牌总公司所在地。</w:t>
      </w:r>
    </w:p>
    <w:p>
      <w:pPr>
        <w:rPr>
          <w:rFonts w:ascii="宋体" w:hAnsi="宋体"/>
          <w:b/>
          <w:color w:val="FF0000"/>
          <w:sz w:val="24"/>
        </w:rPr>
      </w:pPr>
      <w:r>
        <w:rPr>
          <w:rFonts w:hint="eastAsia" w:ascii="宋体" w:hAnsi="宋体"/>
          <w:b/>
          <w:color w:val="FF0000"/>
          <w:sz w:val="24"/>
        </w:rPr>
        <w:t>9. 从中华人民共和国海关境外提供的货物，设备类型符合科教仪器免税政策的须报CIP深圳大学免税人民币价(不包括进口关税和增值税)，并在备注栏中标注“免税价”。</w:t>
      </w:r>
    </w:p>
    <w:p>
      <w:pPr>
        <w:rPr>
          <w:rFonts w:hAnsi="宋体"/>
          <w:b/>
          <w:bCs/>
          <w:sz w:val="24"/>
        </w:rPr>
      </w:pPr>
      <w:r>
        <w:rPr>
          <w:rFonts w:hint="eastAsia" w:ascii="宋体" w:hAnsi="宋体"/>
          <w:b/>
          <w:color w:val="FF0000"/>
          <w:sz w:val="24"/>
        </w:rPr>
        <w:t>10. 报免税价的货物须与关境外供货商签订四方合同，投标人必须填写关境外供货商的全称。</w:t>
      </w:r>
    </w:p>
    <w:p>
      <w:pPr>
        <w:ind w:firstLine="482" w:firstLineChars="200"/>
        <w:jc w:val="center"/>
        <w:rPr>
          <w:rFonts w:hAnsi="宋体"/>
          <w:b/>
          <w:bCs/>
          <w:sz w:val="24"/>
        </w:rPr>
      </w:pPr>
    </w:p>
    <w:p>
      <w:pPr>
        <w:ind w:firstLine="482" w:firstLineChars="200"/>
        <w:jc w:val="center"/>
        <w:rPr>
          <w:rFonts w:hAnsi="宋体"/>
          <w:b/>
          <w:bCs/>
          <w:sz w:val="24"/>
        </w:rPr>
      </w:pPr>
      <w:r>
        <w:rPr>
          <w:rFonts w:hint="eastAsia" w:hAnsi="宋体"/>
          <w:b/>
          <w:bCs/>
          <w:sz w:val="24"/>
        </w:rPr>
        <w:t>（二）可选配件报价清单（不包括在总报价内）</w:t>
      </w:r>
    </w:p>
    <w:p>
      <w:pPr>
        <w:ind w:firstLine="422" w:firstLineChars="200"/>
        <w:rPr>
          <w:rFonts w:hAnsi="宋体"/>
          <w:b/>
          <w:bCs/>
          <w:szCs w:val="21"/>
        </w:rPr>
      </w:pPr>
      <w:r>
        <w:rPr>
          <w:rFonts w:hint="eastAsia" w:hAnsi="宋体"/>
          <w:b/>
          <w:bCs/>
          <w:szCs w:val="21"/>
        </w:rPr>
        <w:t>注：格式参照《（一）项目报价表》表格，但须提供相应的品牌、规格型号、原产地、单价等详细信息</w:t>
      </w:r>
    </w:p>
    <w:p>
      <w:pPr>
        <w:ind w:firstLine="482" w:firstLineChars="200"/>
        <w:rPr>
          <w:rFonts w:hAnsi="宋体"/>
          <w:b/>
          <w:bCs/>
          <w:sz w:val="24"/>
        </w:rPr>
      </w:pPr>
    </w:p>
    <w:p>
      <w:pPr>
        <w:ind w:firstLine="482" w:firstLineChars="200"/>
        <w:jc w:val="center"/>
        <w:rPr>
          <w:rFonts w:hAnsi="宋体"/>
          <w:b/>
          <w:bCs/>
          <w:sz w:val="24"/>
        </w:rPr>
      </w:pPr>
      <w:r>
        <w:rPr>
          <w:rFonts w:hAnsi="宋体"/>
          <w:b/>
          <w:bCs/>
          <w:sz w:val="24"/>
        </w:rPr>
        <w:br w:type="page"/>
      </w:r>
    </w:p>
    <w:p>
      <w:pPr>
        <w:pStyle w:val="3"/>
        <w:jc w:val="center"/>
        <w:rPr>
          <w:rFonts w:ascii="黑体" w:eastAsia="黑体"/>
          <w:b w:val="0"/>
          <w:sz w:val="24"/>
          <w:szCs w:val="24"/>
        </w:rPr>
      </w:pPr>
      <w:r>
        <w:rPr>
          <w:rFonts w:hint="eastAsia" w:ascii="黑体" w:eastAsia="黑体"/>
          <w:b w:val="0"/>
          <w:sz w:val="24"/>
          <w:szCs w:val="24"/>
        </w:rPr>
        <w:t>五、投标人资格证明文件</w:t>
      </w:r>
    </w:p>
    <w:p>
      <w:pPr>
        <w:spacing w:before="120"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pPr>
        <w:rPr>
          <w:b/>
          <w:bCs/>
          <w:sz w:val="24"/>
        </w:rPr>
      </w:pPr>
    </w:p>
    <w:p>
      <w:pPr>
        <w:pStyle w:val="3"/>
        <w:jc w:val="center"/>
        <w:rPr>
          <w:rFonts w:ascii="黑体" w:eastAsia="黑体"/>
          <w:b w:val="0"/>
          <w:sz w:val="24"/>
          <w:szCs w:val="24"/>
        </w:rPr>
      </w:pPr>
      <w:r>
        <w:rPr>
          <w:rFonts w:hint="eastAsia" w:ascii="黑体" w:eastAsia="黑体"/>
          <w:b w:val="0"/>
          <w:sz w:val="24"/>
          <w:szCs w:val="24"/>
        </w:rPr>
        <w:t>六、保障措施及</w:t>
      </w:r>
      <w:r>
        <w:rPr>
          <w:rFonts w:ascii="黑体" w:eastAsia="黑体"/>
          <w:b w:val="0"/>
          <w:sz w:val="24"/>
          <w:szCs w:val="24"/>
        </w:rPr>
        <w:t>环保</w:t>
      </w:r>
    </w:p>
    <w:p>
      <w:pPr>
        <w:outlineLvl w:val="3"/>
        <w:rPr>
          <w:b/>
          <w:sz w:val="24"/>
        </w:rPr>
      </w:pPr>
      <w:r>
        <w:rPr>
          <w:rFonts w:hint="eastAsia"/>
          <w:b/>
          <w:bCs/>
          <w:sz w:val="24"/>
        </w:rPr>
        <w:t>（一）技术保障措施及</w:t>
      </w:r>
      <w:r>
        <w:rPr>
          <w:rFonts w:hint="eastAsia"/>
          <w:b/>
          <w:sz w:val="24"/>
        </w:rPr>
        <w:t>实施本项目的主要技术人员情况表（格式自定）</w:t>
      </w:r>
    </w:p>
    <w:p>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pPr>
        <w:rPr>
          <w:b/>
          <w:bCs/>
          <w:sz w:val="24"/>
        </w:rPr>
      </w:pPr>
    </w:p>
    <w:p>
      <w:pPr>
        <w:outlineLvl w:val="3"/>
        <w:rPr>
          <w:b/>
          <w:bCs/>
          <w:sz w:val="24"/>
        </w:rPr>
      </w:pPr>
      <w:r>
        <w:rPr>
          <w:rFonts w:hint="eastAsia"/>
          <w:b/>
          <w:bCs/>
          <w:sz w:val="24"/>
        </w:rPr>
        <w:t>（二）施工安全保障措施（可选）</w:t>
      </w:r>
    </w:p>
    <w:p>
      <w:pPr>
        <w:outlineLvl w:val="3"/>
        <w:rPr>
          <w:b/>
          <w:color w:val="FF0000"/>
          <w:sz w:val="24"/>
        </w:rPr>
      </w:pPr>
      <w:r>
        <w:rPr>
          <w:rFonts w:hint="eastAsia"/>
          <w:b/>
          <w:color w:val="FF0000"/>
          <w:sz w:val="24"/>
        </w:rPr>
        <w:t>提供详细的施工安全保障方案</w:t>
      </w:r>
    </w:p>
    <w:p/>
    <w:p>
      <w:pPr>
        <w:outlineLvl w:val="3"/>
        <w:rPr>
          <w:b/>
          <w:color w:val="000000"/>
          <w:sz w:val="24"/>
        </w:rPr>
      </w:pPr>
      <w:r>
        <w:rPr>
          <w:rFonts w:hint="eastAsia"/>
          <w:b/>
          <w:sz w:val="24"/>
        </w:rPr>
        <w:t>（三）节能环保（可选）</w:t>
      </w:r>
    </w:p>
    <w:p>
      <w:pPr>
        <w:rPr>
          <w:b/>
          <w:bCs/>
          <w:sz w:val="24"/>
        </w:rPr>
      </w:pPr>
    </w:p>
    <w:p>
      <w:pPr>
        <w:pStyle w:val="3"/>
        <w:jc w:val="center"/>
        <w:rPr>
          <w:rFonts w:ascii="黑体" w:eastAsia="黑体"/>
          <w:b w:val="0"/>
          <w:sz w:val="24"/>
          <w:szCs w:val="24"/>
        </w:rPr>
      </w:pPr>
      <w:r>
        <w:rPr>
          <w:rFonts w:hint="eastAsia" w:ascii="黑体" w:eastAsia="黑体"/>
          <w:b w:val="0"/>
          <w:sz w:val="24"/>
          <w:szCs w:val="24"/>
        </w:rPr>
        <w:t>七、近三年</w:t>
      </w:r>
      <w:r>
        <w:rPr>
          <w:rFonts w:ascii="黑体" w:eastAsia="黑体"/>
          <w:b w:val="0"/>
          <w:sz w:val="24"/>
          <w:szCs w:val="24"/>
        </w:rPr>
        <w:t>同类业绩</w:t>
      </w:r>
    </w:p>
    <w:p>
      <w:pPr>
        <w:rPr>
          <w:b/>
          <w:bCs/>
          <w:sz w:val="24"/>
        </w:rPr>
      </w:pPr>
    </w:p>
    <w:p>
      <w:pPr>
        <w:outlineLvl w:val="3"/>
        <w:rPr>
          <w:b/>
          <w:bCs/>
          <w:sz w:val="24"/>
        </w:rPr>
      </w:pPr>
      <w:r>
        <w:rPr>
          <w:rFonts w:hint="eastAsia"/>
          <w:b/>
          <w:bCs/>
          <w:sz w:val="24"/>
        </w:rPr>
        <w:t>（一）近三年同类业绩清单</w:t>
      </w:r>
    </w:p>
    <w:tbl>
      <w:tblPr>
        <w:tblStyle w:val="54"/>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6"/>
        <w:gridCol w:w="1548"/>
        <w:gridCol w:w="1464"/>
        <w:gridCol w:w="1465"/>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r>
              <w:rPr>
                <w:rFonts w:hint="eastAsia" w:ascii="宋体" w:hAnsi="宋体"/>
                <w:szCs w:val="21"/>
              </w:rPr>
              <w:t>采购人</w:t>
            </w:r>
          </w:p>
        </w:tc>
        <w:tc>
          <w:tcPr>
            <w:tcW w:w="1726" w:type="dxa"/>
            <w:vAlign w:val="center"/>
          </w:tcPr>
          <w:p>
            <w:pPr>
              <w:rPr>
                <w:rFonts w:ascii="宋体" w:hAnsi="宋体"/>
                <w:szCs w:val="21"/>
              </w:rPr>
            </w:pPr>
            <w:r>
              <w:rPr>
                <w:rFonts w:hint="eastAsia" w:ascii="宋体" w:hAnsi="宋体"/>
                <w:szCs w:val="21"/>
              </w:rPr>
              <w:t>项目名称</w:t>
            </w:r>
          </w:p>
        </w:tc>
        <w:tc>
          <w:tcPr>
            <w:tcW w:w="1548" w:type="dxa"/>
            <w:vAlign w:val="center"/>
          </w:tcPr>
          <w:p>
            <w:pPr>
              <w:rPr>
                <w:rFonts w:ascii="宋体" w:hAnsi="宋体"/>
                <w:szCs w:val="21"/>
              </w:rPr>
            </w:pPr>
            <w:r>
              <w:rPr>
                <w:rFonts w:hint="eastAsia" w:ascii="宋体" w:hAnsi="宋体"/>
                <w:szCs w:val="21"/>
              </w:rPr>
              <w:t>项目规模（金额）</w:t>
            </w:r>
          </w:p>
        </w:tc>
        <w:tc>
          <w:tcPr>
            <w:tcW w:w="1464" w:type="dxa"/>
            <w:vAlign w:val="center"/>
          </w:tcPr>
          <w:p>
            <w:pPr>
              <w:rPr>
                <w:rFonts w:ascii="宋体" w:hAnsi="宋体"/>
                <w:szCs w:val="21"/>
              </w:rPr>
            </w:pPr>
            <w:r>
              <w:rPr>
                <w:rFonts w:hint="eastAsia" w:ascii="宋体" w:hAnsi="宋体"/>
                <w:szCs w:val="21"/>
              </w:rPr>
              <w:t>合同签订日期</w:t>
            </w:r>
          </w:p>
        </w:tc>
        <w:tc>
          <w:tcPr>
            <w:tcW w:w="1465" w:type="dxa"/>
            <w:vAlign w:val="center"/>
          </w:tcPr>
          <w:p>
            <w:pPr>
              <w:rPr>
                <w:rFonts w:ascii="宋体" w:hAnsi="宋体"/>
                <w:szCs w:val="21"/>
              </w:rPr>
            </w:pPr>
            <w:r>
              <w:rPr>
                <w:rFonts w:hint="eastAsia" w:ascii="宋体" w:hAnsi="宋体"/>
                <w:szCs w:val="21"/>
              </w:rPr>
              <w:t>履约验收时间</w:t>
            </w:r>
          </w:p>
        </w:tc>
        <w:tc>
          <w:tcPr>
            <w:tcW w:w="1465" w:type="dxa"/>
            <w:vAlign w:val="center"/>
          </w:tcPr>
          <w:p>
            <w:pPr>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bl>
    <w:p>
      <w:pPr>
        <w:rPr>
          <w:b/>
          <w:bCs/>
          <w:color w:val="FF0000"/>
          <w:sz w:val="24"/>
        </w:rPr>
      </w:pPr>
    </w:p>
    <w:p>
      <w:pPr>
        <w:rPr>
          <w:b/>
          <w:bCs/>
          <w:color w:val="FF0000"/>
          <w:sz w:val="24"/>
        </w:rPr>
      </w:pPr>
    </w:p>
    <w:p>
      <w:pPr>
        <w:rPr>
          <w:b/>
          <w:bCs/>
          <w:sz w:val="24"/>
        </w:rPr>
      </w:pPr>
    </w:p>
    <w:p>
      <w:pPr>
        <w:outlineLvl w:val="3"/>
        <w:rPr>
          <w:b/>
          <w:bCs/>
          <w:sz w:val="24"/>
        </w:rPr>
      </w:pPr>
      <w:r>
        <w:rPr>
          <w:rFonts w:hint="eastAsia"/>
          <w:b/>
          <w:bCs/>
          <w:sz w:val="24"/>
        </w:rPr>
        <w:t>（二）近三年同类业绩证明</w:t>
      </w:r>
      <w:r>
        <w:rPr>
          <w:b/>
          <w:bCs/>
          <w:sz w:val="24"/>
        </w:rPr>
        <w:t>材料</w:t>
      </w:r>
    </w:p>
    <w:p>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pPr>
        <w:rPr>
          <w:b/>
          <w:bCs/>
          <w:sz w:val="24"/>
        </w:rPr>
      </w:pPr>
    </w:p>
    <w:p>
      <w:pPr>
        <w:rPr>
          <w:b/>
          <w:bCs/>
          <w:sz w:val="24"/>
        </w:rPr>
      </w:pPr>
    </w:p>
    <w:p>
      <w:pPr>
        <w:rPr>
          <w:b/>
          <w:bCs/>
          <w:sz w:val="24"/>
        </w:rPr>
      </w:pPr>
    </w:p>
    <w:p>
      <w:pPr>
        <w:pStyle w:val="3"/>
        <w:jc w:val="center"/>
        <w:rPr>
          <w:rFonts w:ascii="黑体" w:eastAsia="黑体"/>
          <w:b w:val="0"/>
          <w:sz w:val="24"/>
          <w:szCs w:val="24"/>
        </w:rPr>
      </w:pPr>
      <w:r>
        <w:rPr>
          <w:rFonts w:hint="eastAsia" w:ascii="黑体" w:eastAsia="黑体"/>
          <w:b w:val="0"/>
          <w:sz w:val="24"/>
          <w:szCs w:val="24"/>
        </w:rPr>
        <w:t>八、</w:t>
      </w:r>
      <w:r>
        <w:rPr>
          <w:rFonts w:ascii="黑体" w:eastAsia="黑体"/>
          <w:b w:val="0"/>
          <w:sz w:val="24"/>
          <w:szCs w:val="24"/>
        </w:rPr>
        <w:t>投标人认为需要提供的其他证明材料</w:t>
      </w:r>
    </w:p>
    <w:p>
      <w:pPr>
        <w:rPr>
          <w:b/>
          <w:bCs/>
          <w:sz w:val="24"/>
        </w:rPr>
      </w:pPr>
    </w:p>
    <w:p>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pPr>
        <w:rPr>
          <w:b/>
          <w:bCs/>
        </w:rPr>
      </w:pPr>
    </w:p>
    <w:p>
      <w:pPr>
        <w:pStyle w:val="3"/>
        <w:jc w:val="center"/>
        <w:rPr>
          <w:b w:val="0"/>
          <w:sz w:val="24"/>
          <w:szCs w:val="24"/>
        </w:rPr>
      </w:pPr>
      <w:r>
        <w:rPr>
          <w:rFonts w:hint="eastAsia" w:ascii="黑体" w:eastAsia="黑体"/>
          <w:b w:val="0"/>
          <w:sz w:val="24"/>
          <w:szCs w:val="24"/>
        </w:rPr>
        <w:t>九、技术</w:t>
      </w:r>
      <w:r>
        <w:rPr>
          <w:rFonts w:ascii="黑体" w:eastAsia="黑体"/>
          <w:b w:val="0"/>
          <w:sz w:val="24"/>
          <w:szCs w:val="24"/>
        </w:rPr>
        <w:t>规格证明文件</w:t>
      </w:r>
    </w:p>
    <w:p>
      <w:pPr>
        <w:rPr>
          <w:sz w:val="24"/>
        </w:rPr>
      </w:pPr>
      <w:r>
        <w:rPr>
          <w:rFonts w:hint="eastAsia"/>
          <w:b/>
          <w:bCs/>
          <w:color w:val="FF0000"/>
        </w:rPr>
        <w:t>（特别提示：投标人须按本招标文件“第一章、 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pPr>
        <w:outlineLvl w:val="3"/>
        <w:rPr>
          <w:b/>
          <w:bCs/>
          <w:sz w:val="24"/>
        </w:rPr>
      </w:pPr>
      <w:r>
        <w:rPr>
          <w:rFonts w:hint="eastAsia"/>
          <w:b/>
          <w:bCs/>
          <w:sz w:val="24"/>
        </w:rPr>
        <w:t>（一）技术规格证明文件清单</w:t>
      </w:r>
    </w:p>
    <w:tbl>
      <w:tblPr>
        <w:tblStyle w:val="5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序号</w:t>
            </w:r>
          </w:p>
        </w:tc>
        <w:tc>
          <w:tcPr>
            <w:tcW w:w="5103" w:type="dxa"/>
          </w:tcPr>
          <w:p>
            <w:pPr>
              <w:jc w:val="center"/>
              <w:rPr>
                <w:sz w:val="24"/>
              </w:rPr>
            </w:pPr>
            <w:r>
              <w:rPr>
                <w:rFonts w:hint="eastAsia"/>
                <w:sz w:val="24"/>
              </w:rPr>
              <w:t>技术规格证明</w:t>
            </w:r>
            <w:r>
              <w:rPr>
                <w:sz w:val="24"/>
              </w:rPr>
              <w:t>文件名称</w:t>
            </w:r>
          </w:p>
        </w:tc>
        <w:tc>
          <w:tcPr>
            <w:tcW w:w="2126"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1</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2</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3</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p>
        </w:tc>
        <w:tc>
          <w:tcPr>
            <w:tcW w:w="5103" w:type="dxa"/>
          </w:tcPr>
          <w:p>
            <w:pPr>
              <w:jc w:val="center"/>
              <w:rPr>
                <w:sz w:val="24"/>
              </w:rPr>
            </w:pPr>
          </w:p>
        </w:tc>
        <w:tc>
          <w:tcPr>
            <w:tcW w:w="2126" w:type="dxa"/>
          </w:tcPr>
          <w:p>
            <w:pPr>
              <w:jc w:val="center"/>
              <w:rPr>
                <w:sz w:val="24"/>
              </w:rPr>
            </w:pPr>
          </w:p>
        </w:tc>
      </w:tr>
    </w:tbl>
    <w:p>
      <w:pPr>
        <w:rPr>
          <w:sz w:val="24"/>
        </w:rPr>
      </w:pPr>
    </w:p>
    <w:p>
      <w:pPr>
        <w:outlineLvl w:val="3"/>
        <w:rPr>
          <w:b/>
          <w:bCs/>
          <w:sz w:val="24"/>
        </w:rPr>
      </w:pPr>
      <w:r>
        <w:rPr>
          <w:rFonts w:hint="eastAsia"/>
          <w:b/>
          <w:bCs/>
          <w:sz w:val="24"/>
        </w:rPr>
        <w:t>（二）技术规格证明文件</w:t>
      </w:r>
    </w:p>
    <w:p>
      <w:pPr>
        <w:rPr>
          <w:sz w:val="24"/>
        </w:rPr>
      </w:pPr>
    </w:p>
    <w:p>
      <w:pPr>
        <w:rPr>
          <w:sz w:val="24"/>
        </w:rPr>
      </w:pPr>
    </w:p>
    <w:p>
      <w:pPr>
        <w:pStyle w:val="3"/>
        <w:jc w:val="center"/>
        <w:rPr>
          <w:rFonts w:ascii="黑体" w:eastAsia="黑体"/>
          <w:b w:val="0"/>
          <w:sz w:val="24"/>
          <w:szCs w:val="24"/>
          <w:highlight w:val="yellow"/>
        </w:rPr>
      </w:pPr>
      <w:r>
        <w:rPr>
          <w:rFonts w:hint="eastAsia" w:ascii="黑体" w:eastAsia="黑体"/>
          <w:b w:val="0"/>
          <w:sz w:val="24"/>
          <w:szCs w:val="24"/>
          <w:highlight w:val="yellow"/>
        </w:rPr>
        <w:t>十、技术规格偏离表</w:t>
      </w:r>
    </w:p>
    <w:p>
      <w:pPr>
        <w:rPr>
          <w:sz w:val="24"/>
        </w:rPr>
      </w:pPr>
    </w:p>
    <w:p>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6"/>
        <w:gridCol w:w="2223"/>
        <w:gridCol w:w="1636"/>
        <w:gridCol w:w="163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1" w:type="pct"/>
            <w:vAlign w:val="center"/>
          </w:tcPr>
          <w:p>
            <w:pPr>
              <w:jc w:val="center"/>
              <w:rPr>
                <w:szCs w:val="21"/>
              </w:rPr>
            </w:pPr>
            <w:r>
              <w:rPr>
                <w:rFonts w:hint="eastAsia"/>
                <w:szCs w:val="21"/>
              </w:rPr>
              <w:t>序号</w:t>
            </w:r>
          </w:p>
        </w:tc>
        <w:tc>
          <w:tcPr>
            <w:tcW w:w="300" w:type="pct"/>
            <w:vAlign w:val="center"/>
          </w:tcPr>
          <w:p>
            <w:pPr>
              <w:widowControl/>
              <w:jc w:val="center"/>
              <w:rPr>
                <w:szCs w:val="21"/>
              </w:rPr>
            </w:pPr>
            <w:r>
              <w:rPr>
                <w:rFonts w:hint="eastAsia"/>
                <w:szCs w:val="21"/>
              </w:rPr>
              <w:t>货物名称</w:t>
            </w:r>
          </w:p>
        </w:tc>
        <w:tc>
          <w:tcPr>
            <w:tcW w:w="1121" w:type="pct"/>
            <w:vAlign w:val="center"/>
          </w:tcPr>
          <w:p>
            <w:pPr>
              <w:jc w:val="center"/>
              <w:rPr>
                <w:szCs w:val="21"/>
              </w:rPr>
            </w:pPr>
            <w:r>
              <w:rPr>
                <w:rFonts w:hint="eastAsia"/>
                <w:szCs w:val="21"/>
              </w:rPr>
              <w:t>招标技术要求</w:t>
            </w:r>
          </w:p>
        </w:tc>
        <w:tc>
          <w:tcPr>
            <w:tcW w:w="1636" w:type="dxa"/>
            <w:vAlign w:val="center"/>
          </w:tcPr>
          <w:p>
            <w:pPr>
              <w:jc w:val="center"/>
              <w:rPr>
                <w:rFonts w:hint="eastAsia"/>
                <w:szCs w:val="21"/>
              </w:rPr>
            </w:pPr>
            <w:r>
              <w:rPr>
                <w:rFonts w:hint="eastAsia"/>
                <w:szCs w:val="21"/>
              </w:rPr>
              <w:t>投标技术响应</w:t>
            </w:r>
          </w:p>
        </w:tc>
        <w:tc>
          <w:tcPr>
            <w:tcW w:w="1636" w:type="dxa"/>
            <w:vAlign w:val="center"/>
          </w:tcPr>
          <w:p>
            <w:pPr>
              <w:jc w:val="center"/>
              <w:rPr>
                <w:rFonts w:hint="eastAsia"/>
                <w:szCs w:val="21"/>
              </w:rPr>
            </w:pPr>
            <w:r>
              <w:rPr>
                <w:rFonts w:hint="eastAsia"/>
                <w:szCs w:val="21"/>
              </w:rPr>
              <w:t>偏离情况</w:t>
            </w:r>
          </w:p>
        </w:tc>
        <w:tc>
          <w:tcPr>
            <w:tcW w:w="1636" w:type="dxa"/>
            <w:vAlign w:val="center"/>
          </w:tcPr>
          <w:p>
            <w:pPr>
              <w:jc w:val="center"/>
              <w:rPr>
                <w:rFonts w:hint="eastAsia"/>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 w:type="pct"/>
            <w:vMerge w:val="restart"/>
            <w:vAlign w:val="center"/>
          </w:tcPr>
          <w:p>
            <w:pPr>
              <w:jc w:val="center"/>
              <w:rPr>
                <w:b/>
                <w:szCs w:val="21"/>
              </w:rPr>
            </w:pPr>
            <w:r>
              <w:rPr>
                <w:rFonts w:hint="eastAsia"/>
                <w:b/>
                <w:szCs w:val="21"/>
              </w:rPr>
              <w:t>1</w:t>
            </w:r>
          </w:p>
        </w:tc>
        <w:tc>
          <w:tcPr>
            <w:tcW w:w="300" w:type="pct"/>
            <w:vMerge w:val="restart"/>
            <w:vAlign w:val="center"/>
          </w:tcPr>
          <w:p>
            <w:pPr>
              <w:jc w:val="center"/>
              <w:rPr>
                <w:b/>
                <w:szCs w:val="21"/>
              </w:rPr>
            </w:pPr>
            <w:r>
              <w:rPr>
                <w:rFonts w:hint="eastAsia"/>
                <w:bCs/>
                <w:szCs w:val="21"/>
              </w:rPr>
              <w:t>微藻光合反应器主体</w:t>
            </w:r>
          </w:p>
        </w:tc>
        <w:tc>
          <w:tcPr>
            <w:tcW w:w="1121" w:type="pct"/>
          </w:tcPr>
          <w:p>
            <w:pPr>
              <w:rPr>
                <w:b/>
              </w:rPr>
            </w:pPr>
            <w:r>
              <w:rPr>
                <w:rFonts w:hint="eastAsia"/>
                <w:b/>
                <w:szCs w:val="21"/>
              </w:rPr>
              <w:t>★</w:t>
            </w:r>
            <w:r>
              <w:rPr>
                <w:rFonts w:hint="eastAsia"/>
                <w:b/>
              </w:rPr>
              <w:t>1.1</w:t>
            </w:r>
            <w:r>
              <w:rPr>
                <w:rFonts w:hint="eastAsia"/>
                <w:bCs/>
              </w:rPr>
              <w:t>反应器主体包含三级，一级反应器数量2台，长宽高分别为：12000*6000*600mm（</w:t>
            </w:r>
            <w:r>
              <w:rPr>
                <w:rFonts w:hint="eastAsia" w:ascii="微软雅黑" w:hAnsi="微软雅黑" w:eastAsia="微软雅黑" w:cs="微软雅黑"/>
                <w:bCs/>
              </w:rPr>
              <w:t>±</w:t>
            </w:r>
            <w:r>
              <w:rPr>
                <w:rFonts w:hint="eastAsia"/>
                <w:bCs/>
              </w:rPr>
              <w:t>20mm）。沿长边在中央位置建有隔板，隔板两端做弧形导流板，隔板尺寸为9000*600mm（</w:t>
            </w:r>
            <w:r>
              <w:rPr>
                <w:rFonts w:hint="eastAsia" w:ascii="微软雅黑" w:hAnsi="微软雅黑" w:eastAsia="微软雅黑" w:cs="微软雅黑"/>
                <w:bCs/>
              </w:rPr>
              <w:t>±</w:t>
            </w:r>
            <w:r>
              <w:rPr>
                <w:rFonts w:hint="eastAsia"/>
                <w:bCs/>
              </w:rPr>
              <w:t>20mm）。反应器两端制成弧形，弧长8000-9500mm</w:t>
            </w:r>
          </w:p>
        </w:tc>
        <w:tc>
          <w:tcPr>
            <w:tcW w:w="1125" w:type="pct"/>
          </w:tcPr>
          <w:p>
            <w:pPr>
              <w:rPr>
                <w:rFonts w:hint="eastAsia"/>
                <w:b/>
                <w:szCs w:val="21"/>
              </w:rPr>
            </w:pPr>
          </w:p>
        </w:tc>
        <w:tc>
          <w:tcPr>
            <w:tcW w:w="1125" w:type="pct"/>
          </w:tcPr>
          <w:p>
            <w:pPr>
              <w:rPr>
                <w:rFonts w:hint="eastAsia"/>
                <w:b/>
                <w:szCs w:val="21"/>
              </w:rPr>
            </w:pPr>
          </w:p>
        </w:tc>
        <w:tc>
          <w:tcPr>
            <w:tcW w:w="1125"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01" w:type="pct"/>
            <w:vMerge w:val="continue"/>
            <w:vAlign w:val="center"/>
          </w:tcPr>
          <w:p/>
        </w:tc>
        <w:tc>
          <w:tcPr>
            <w:tcW w:w="300" w:type="pct"/>
            <w:vMerge w:val="continue"/>
            <w:vAlign w:val="center"/>
          </w:tcPr>
          <w:p/>
        </w:tc>
        <w:tc>
          <w:tcPr>
            <w:tcW w:w="1121" w:type="pct"/>
          </w:tcPr>
          <w:p>
            <w:pPr>
              <w:rPr>
                <w:bCs/>
              </w:rPr>
            </w:pPr>
            <w:r>
              <w:rPr>
                <w:rFonts w:hint="eastAsia"/>
                <w:b/>
                <w:szCs w:val="21"/>
              </w:rPr>
              <w:t>★</w:t>
            </w:r>
            <w:r>
              <w:rPr>
                <w:rFonts w:hint="eastAsia"/>
                <w:b/>
              </w:rPr>
              <w:t>1.2</w:t>
            </w:r>
            <w:r>
              <w:rPr>
                <w:rFonts w:hint="eastAsia"/>
                <w:bCs/>
              </w:rPr>
              <w:t>反应器主体包含三级，二级反应器为双缸结构，长宽高分别为36000*（3000*2）*600mm（</w:t>
            </w:r>
            <w:r>
              <w:rPr>
                <w:rFonts w:hint="eastAsia" w:ascii="微软雅黑" w:hAnsi="微软雅黑" w:eastAsia="微软雅黑" w:cs="微软雅黑"/>
                <w:bCs/>
              </w:rPr>
              <w:t>±</w:t>
            </w:r>
            <w:r>
              <w:rPr>
                <w:rFonts w:hint="eastAsia"/>
                <w:bCs/>
              </w:rPr>
              <w:t>20mm），数量8台。反应器沿长边在中央位置建有隔板，隔板两端做弧形导流板，隔板尺寸为31000*600mm（</w:t>
            </w:r>
            <w:r>
              <w:rPr>
                <w:rFonts w:hint="eastAsia" w:ascii="微软雅黑" w:hAnsi="微软雅黑" w:eastAsia="微软雅黑" w:cs="微软雅黑"/>
                <w:bCs/>
              </w:rPr>
              <w:t>±</w:t>
            </w:r>
            <w:r>
              <w:rPr>
                <w:rFonts w:hint="eastAsia"/>
                <w:bCs/>
              </w:rPr>
              <w:t>20mm）。反应器两端制成弧形，弧长8000-9500mm</w:t>
            </w:r>
          </w:p>
        </w:tc>
        <w:tc>
          <w:tcPr>
            <w:tcW w:w="1125" w:type="pct"/>
          </w:tcPr>
          <w:p>
            <w:pPr>
              <w:rPr>
                <w:rFonts w:hint="eastAsia"/>
                <w:b/>
                <w:szCs w:val="21"/>
              </w:rPr>
            </w:pPr>
          </w:p>
        </w:tc>
        <w:tc>
          <w:tcPr>
            <w:tcW w:w="1125" w:type="pct"/>
          </w:tcPr>
          <w:p>
            <w:pPr>
              <w:rPr>
                <w:rFonts w:hint="eastAsia"/>
                <w:b/>
                <w:szCs w:val="21"/>
              </w:rPr>
            </w:pPr>
          </w:p>
        </w:tc>
        <w:tc>
          <w:tcPr>
            <w:tcW w:w="1125"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1" w:type="pct"/>
            <w:vMerge w:val="continue"/>
            <w:vAlign w:val="center"/>
          </w:tcPr>
          <w:p>
            <w:pPr>
              <w:rPr>
                <w:bCs/>
              </w:rPr>
            </w:pPr>
          </w:p>
        </w:tc>
        <w:tc>
          <w:tcPr>
            <w:tcW w:w="300" w:type="pct"/>
            <w:vMerge w:val="continue"/>
            <w:vAlign w:val="center"/>
          </w:tcPr>
          <w:p>
            <w:pPr>
              <w:rPr>
                <w:bCs/>
              </w:rPr>
            </w:pPr>
          </w:p>
        </w:tc>
        <w:tc>
          <w:tcPr>
            <w:tcW w:w="1121" w:type="pct"/>
          </w:tcPr>
          <w:p>
            <w:pPr>
              <w:rPr>
                <w:bCs/>
              </w:rPr>
            </w:pPr>
            <w:r>
              <w:rPr>
                <w:rFonts w:hint="eastAsia"/>
                <w:b/>
                <w:szCs w:val="21"/>
              </w:rPr>
              <w:t>★</w:t>
            </w:r>
            <w:r>
              <w:rPr>
                <w:rFonts w:hint="eastAsia"/>
                <w:b/>
              </w:rPr>
              <w:t>1.3</w:t>
            </w:r>
            <w:r>
              <w:rPr>
                <w:rFonts w:hint="eastAsia"/>
                <w:bCs/>
              </w:rPr>
              <w:t>反应器主体包含三级，三级反应器数量11台，长宽高分别为</w:t>
            </w:r>
          </w:p>
          <w:p>
            <w:pPr>
              <w:rPr>
                <w:bCs/>
              </w:rPr>
            </w:pPr>
            <w:r>
              <w:rPr>
                <w:rFonts w:hint="eastAsia"/>
                <w:bCs/>
              </w:rPr>
              <w:t>50000*6000*600mm（</w:t>
            </w:r>
            <w:r>
              <w:rPr>
                <w:rFonts w:hint="eastAsia" w:ascii="微软雅黑" w:hAnsi="微软雅黑" w:eastAsia="微软雅黑" w:cs="微软雅黑"/>
                <w:bCs/>
              </w:rPr>
              <w:t>±</w:t>
            </w:r>
            <w:r>
              <w:rPr>
                <w:rFonts w:hint="eastAsia"/>
                <w:bCs/>
              </w:rPr>
              <w:t>20mm）。反应器沿长边在中央位置建有隔板，隔板两端做弧形导流板，隔板尺寸为39000*600mm（</w:t>
            </w:r>
            <w:r>
              <w:rPr>
                <w:rFonts w:hint="eastAsia" w:ascii="微软雅黑" w:hAnsi="微软雅黑" w:eastAsia="微软雅黑" w:cs="微软雅黑"/>
                <w:bCs/>
              </w:rPr>
              <w:t>±</w:t>
            </w:r>
            <w:r>
              <w:rPr>
                <w:rFonts w:hint="eastAsia"/>
                <w:bCs/>
              </w:rPr>
              <w:t>20mm）。反应器两端制成弧形，弧长8000-9500mm</w:t>
            </w:r>
          </w:p>
        </w:tc>
        <w:tc>
          <w:tcPr>
            <w:tcW w:w="1125" w:type="pct"/>
          </w:tcPr>
          <w:p>
            <w:pPr>
              <w:rPr>
                <w:rFonts w:hint="eastAsia"/>
                <w:bCs/>
              </w:rPr>
            </w:pPr>
          </w:p>
        </w:tc>
        <w:tc>
          <w:tcPr>
            <w:tcW w:w="1125" w:type="pct"/>
          </w:tcPr>
          <w:p>
            <w:pPr>
              <w:rPr>
                <w:rFonts w:hint="eastAsia"/>
                <w:bCs/>
              </w:rPr>
            </w:pPr>
          </w:p>
        </w:tc>
        <w:tc>
          <w:tcPr>
            <w:tcW w:w="1125"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trPr>
        <w:tc>
          <w:tcPr>
            <w:tcW w:w="201" w:type="pct"/>
            <w:vMerge w:val="continue"/>
            <w:vAlign w:val="center"/>
          </w:tcPr>
          <w:p/>
        </w:tc>
        <w:tc>
          <w:tcPr>
            <w:tcW w:w="300" w:type="pct"/>
            <w:vMerge w:val="continue"/>
            <w:vAlign w:val="center"/>
          </w:tcPr>
          <w:p/>
        </w:tc>
        <w:tc>
          <w:tcPr>
            <w:tcW w:w="1121" w:type="pct"/>
          </w:tcPr>
          <w:p>
            <w:pPr>
              <w:rPr>
                <w:bCs/>
              </w:rPr>
            </w:pPr>
            <w:r>
              <w:rPr>
                <w:rFonts w:hint="eastAsia"/>
                <w:b/>
                <w:szCs w:val="21"/>
              </w:rPr>
              <w:t>★</w:t>
            </w:r>
            <w:r>
              <w:rPr>
                <w:rFonts w:hint="eastAsia"/>
                <w:b/>
              </w:rPr>
              <w:t>1.4</w:t>
            </w:r>
            <w:r>
              <w:rPr>
                <w:rFonts w:hint="eastAsia"/>
                <w:bCs/>
              </w:rPr>
              <w:t>反应器采用≥10mm厚食品级A级PP（聚丙烯）板熔接而成，</w:t>
            </w:r>
            <w:r>
              <w:rPr>
                <w:rFonts w:hint="eastAsia"/>
                <w:color w:val="000000"/>
              </w:rPr>
              <w:t>耐腐蚀、抗UV、抗老化，</w:t>
            </w:r>
            <w:r>
              <w:rPr>
                <w:rFonts w:hint="eastAsia"/>
                <w:bCs/>
              </w:rPr>
              <w:t>焊条与板材同质，材料提供权威第三方质检报告，符合：密度：0.9-0.92g/cm³，抗拉强度≥60Mpa，清洁度（色粒）：1～5个/Kg（目测），维卡软化温度≥135ºC，洛氏硬度≥R95/，拉伸强度≥60Mpa，弯曲强度≥3500Mpa，悬背梁冲击强度≥35J/m（23ºC），RoHS中限制使用的六种有害物质：镉、汞、铅、六价铬、聚溴二苯醚和聚溴联苯，其中镉的限量指标为100ppm（0.0lwt%），另外五种物质限量为1000ppm（0.lwt%），负荷变形温度＞60℃，弯曲模量＞1000Mpa。</w:t>
            </w:r>
          </w:p>
          <w:p>
            <w:pPr>
              <w:spacing w:line="80" w:lineRule="exact"/>
              <w:rPr>
                <w:bCs/>
              </w:rPr>
            </w:pPr>
          </w:p>
          <w:p>
            <w:pPr>
              <w:rPr>
                <w:bCs/>
              </w:rPr>
            </w:pPr>
            <w:r>
              <w:rPr>
                <w:rFonts w:hint="eastAsia"/>
                <w:bCs/>
              </w:rPr>
              <w:t>反应器熔接完成后，内部要求平整、光滑，无凹凸不平和毛刺，</w:t>
            </w:r>
            <w:r>
              <w:rPr>
                <w:rFonts w:hint="eastAsia"/>
                <w:color w:val="000000"/>
              </w:rPr>
              <w:t>可长期承受满载水体压力，可长期耐受海水腐蚀，并</w:t>
            </w:r>
            <w:r>
              <w:rPr>
                <w:rFonts w:hint="eastAsia"/>
              </w:rPr>
              <w:t>能够在0℃~60℃环境下稳定工作，</w:t>
            </w:r>
            <w:r>
              <w:rPr>
                <w:rFonts w:hint="eastAsia"/>
                <w:color w:val="000000"/>
              </w:rPr>
              <w:t>而不引起局部或整体的变形、渗漏</w:t>
            </w:r>
          </w:p>
        </w:tc>
        <w:tc>
          <w:tcPr>
            <w:tcW w:w="1125" w:type="pct"/>
          </w:tcPr>
          <w:p>
            <w:pPr>
              <w:rPr>
                <w:rFonts w:hint="eastAsia"/>
                <w:bCs/>
              </w:rPr>
            </w:pPr>
          </w:p>
        </w:tc>
        <w:tc>
          <w:tcPr>
            <w:tcW w:w="1125" w:type="pct"/>
          </w:tcPr>
          <w:p>
            <w:pPr>
              <w:rPr>
                <w:rFonts w:hint="eastAsia"/>
                <w:bCs/>
              </w:rPr>
            </w:pPr>
          </w:p>
        </w:tc>
        <w:tc>
          <w:tcPr>
            <w:tcW w:w="1125"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1" w:type="pct"/>
            <w:vMerge w:val="continue"/>
            <w:vAlign w:val="center"/>
          </w:tcPr>
          <w:p>
            <w:pPr>
              <w:jc w:val="center"/>
              <w:rPr>
                <w:b/>
                <w:szCs w:val="21"/>
              </w:rPr>
            </w:pPr>
          </w:p>
        </w:tc>
        <w:tc>
          <w:tcPr>
            <w:tcW w:w="300" w:type="pct"/>
            <w:vMerge w:val="continue"/>
            <w:vAlign w:val="center"/>
          </w:tcPr>
          <w:p>
            <w:pPr>
              <w:jc w:val="center"/>
              <w:rPr>
                <w:b/>
                <w:szCs w:val="21"/>
              </w:rPr>
            </w:pPr>
          </w:p>
        </w:tc>
        <w:tc>
          <w:tcPr>
            <w:tcW w:w="1121" w:type="pct"/>
          </w:tcPr>
          <w:p>
            <w:pPr>
              <w:rPr>
                <w:bCs/>
                <w:szCs w:val="21"/>
              </w:rPr>
            </w:pPr>
            <w:r>
              <w:rPr>
                <w:rFonts w:hint="eastAsia"/>
                <w:b/>
                <w:szCs w:val="21"/>
              </w:rPr>
              <w:t>1.5</w:t>
            </w:r>
            <w:r>
              <w:rPr>
                <w:rFonts w:hint="eastAsia"/>
                <w:bCs/>
                <w:szCs w:val="21"/>
              </w:rPr>
              <w:t xml:space="preserve">反应器安放区事先挖槽，反应器沉放后底板保持平整，底板表面纵向凹凸量的偏差值≤3mm；可以制造斜度，整体斜度范围在0.3%-2% </w:t>
            </w:r>
          </w:p>
        </w:tc>
        <w:tc>
          <w:tcPr>
            <w:tcW w:w="1125" w:type="pct"/>
          </w:tcPr>
          <w:p>
            <w:pPr>
              <w:rPr>
                <w:rFonts w:hint="eastAsia"/>
                <w:b/>
                <w:szCs w:val="21"/>
              </w:rPr>
            </w:pPr>
          </w:p>
        </w:tc>
        <w:tc>
          <w:tcPr>
            <w:tcW w:w="1125" w:type="pct"/>
          </w:tcPr>
          <w:p>
            <w:pPr>
              <w:rPr>
                <w:rFonts w:hint="eastAsia"/>
                <w:b/>
                <w:szCs w:val="21"/>
              </w:rPr>
            </w:pPr>
          </w:p>
        </w:tc>
        <w:tc>
          <w:tcPr>
            <w:tcW w:w="1125"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2</w:t>
            </w:r>
          </w:p>
        </w:tc>
        <w:tc>
          <w:tcPr>
            <w:tcW w:w="300" w:type="pct"/>
            <w:vAlign w:val="center"/>
          </w:tcPr>
          <w:p>
            <w:pPr>
              <w:spacing w:line="440" w:lineRule="exact"/>
              <w:jc w:val="center"/>
              <w:rPr>
                <w:rFonts w:ascii="宋体" w:hAnsi="宋体" w:cs="宋体"/>
              </w:rPr>
            </w:pPr>
            <w:r>
              <w:rPr>
                <w:rFonts w:hint="eastAsia" w:ascii="宋体" w:hAnsi="宋体" w:cs="宋体"/>
              </w:rPr>
              <w:t>推流搅拌器</w:t>
            </w:r>
          </w:p>
        </w:tc>
        <w:tc>
          <w:tcPr>
            <w:tcW w:w="1121" w:type="pct"/>
          </w:tcPr>
          <w:p>
            <w:pPr>
              <w:rPr>
                <w:bCs/>
              </w:rPr>
            </w:pPr>
            <w:r>
              <w:rPr>
                <w:rFonts w:hint="eastAsia" w:ascii="仿宋_GB2312" w:eastAsia="仿宋_GB2312"/>
                <w:szCs w:val="21"/>
              </w:rPr>
              <w:t>▲</w:t>
            </w:r>
            <w:r>
              <w:rPr>
                <w:rFonts w:hint="eastAsia"/>
                <w:bCs/>
              </w:rPr>
              <w:t>推流搅拌器构造为叶轮式。叶片采用食品级304不锈钢或PP制成，主轴和支架采用食品级304不锈钢、304不锈钢制成，变频电机驱动，运行速度在下限为0rpm、上限60-80rpm范围内无极调速，轴距与三种规格反应器相匹配，分别为：1.5m、3m（</w:t>
            </w:r>
            <w:r>
              <w:rPr>
                <w:rFonts w:hint="eastAsia" w:ascii="微软雅黑" w:hAnsi="微软雅黑" w:eastAsia="微软雅黑" w:cs="微软雅黑"/>
                <w:bCs/>
              </w:rPr>
              <w:t>±</w:t>
            </w:r>
            <w:r>
              <w:rPr>
                <w:rFonts w:hint="eastAsia"/>
                <w:bCs/>
              </w:rPr>
              <w:t>20mm），运行压力＜0.4Mpa。</w:t>
            </w:r>
          </w:p>
        </w:tc>
        <w:tc>
          <w:tcPr>
            <w:tcW w:w="1125" w:type="pct"/>
          </w:tcPr>
          <w:p>
            <w:pPr>
              <w:rPr>
                <w:rFonts w:hint="eastAsia" w:ascii="仿宋_GB2312" w:eastAsia="仿宋_GB2312"/>
                <w:szCs w:val="21"/>
              </w:rPr>
            </w:pPr>
          </w:p>
        </w:tc>
        <w:tc>
          <w:tcPr>
            <w:tcW w:w="1125" w:type="pct"/>
          </w:tcPr>
          <w:p>
            <w:pPr>
              <w:rPr>
                <w:rFonts w:hint="eastAsia" w:ascii="仿宋_GB2312" w:eastAsia="仿宋_GB2312"/>
                <w:szCs w:val="21"/>
              </w:rPr>
            </w:pPr>
          </w:p>
        </w:tc>
        <w:tc>
          <w:tcPr>
            <w:tcW w:w="1125" w:type="pct"/>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3</w:t>
            </w:r>
          </w:p>
        </w:tc>
        <w:tc>
          <w:tcPr>
            <w:tcW w:w="300" w:type="pct"/>
            <w:vAlign w:val="center"/>
          </w:tcPr>
          <w:p>
            <w:pPr>
              <w:spacing w:line="440" w:lineRule="exact"/>
              <w:jc w:val="center"/>
              <w:rPr>
                <w:rFonts w:ascii="宋体" w:hAnsi="宋体" w:cs="宋体"/>
              </w:rPr>
            </w:pPr>
            <w:r>
              <w:rPr>
                <w:rFonts w:hint="eastAsia" w:ascii="宋体" w:hAnsi="宋体" w:cs="宋体"/>
              </w:rPr>
              <w:t>反应器加固装置</w:t>
            </w:r>
          </w:p>
        </w:tc>
        <w:tc>
          <w:tcPr>
            <w:tcW w:w="1121" w:type="pct"/>
          </w:tcPr>
          <w:p>
            <w:pPr>
              <w:rPr>
                <w:bCs/>
              </w:rPr>
            </w:pPr>
            <w:r>
              <w:rPr>
                <w:rFonts w:hint="eastAsia"/>
                <w:b/>
                <w:szCs w:val="21"/>
              </w:rPr>
              <w:t>★</w:t>
            </w:r>
            <w:r>
              <w:rPr>
                <w:rFonts w:hint="eastAsia"/>
                <w:bCs/>
              </w:rPr>
              <w:t>反应器整体下沉地平面20-30cm，事先在反应器安放区域根据反应器外形挖槽，槽区紧贴反应器，空位不超过30mm，并处理槽内底部和四壁土质达到平整和坚实。反应器外围加固，</w:t>
            </w:r>
            <w:r>
              <w:rPr>
                <w:rFonts w:hint="eastAsia"/>
                <w:bCs/>
                <w:szCs w:val="21"/>
              </w:rPr>
              <w:t>加固采用PP条板加筋加固，板条厚度≥12mm、宽度≥7cm，板条间距≤80cm，边缘上下加法兰，宽度≥8厘米</w:t>
            </w:r>
          </w:p>
        </w:tc>
        <w:tc>
          <w:tcPr>
            <w:tcW w:w="1125" w:type="pct"/>
          </w:tcPr>
          <w:p>
            <w:pPr>
              <w:rPr>
                <w:rFonts w:hint="eastAsia"/>
                <w:b/>
                <w:szCs w:val="21"/>
              </w:rPr>
            </w:pPr>
          </w:p>
        </w:tc>
        <w:tc>
          <w:tcPr>
            <w:tcW w:w="1125" w:type="pct"/>
          </w:tcPr>
          <w:p>
            <w:pPr>
              <w:rPr>
                <w:rFonts w:hint="eastAsia"/>
                <w:b/>
                <w:szCs w:val="21"/>
              </w:rPr>
            </w:pPr>
          </w:p>
        </w:tc>
        <w:tc>
          <w:tcPr>
            <w:tcW w:w="1125"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4</w:t>
            </w:r>
          </w:p>
        </w:tc>
        <w:tc>
          <w:tcPr>
            <w:tcW w:w="300" w:type="pct"/>
            <w:vAlign w:val="center"/>
          </w:tcPr>
          <w:p>
            <w:pPr>
              <w:spacing w:line="440" w:lineRule="exact"/>
              <w:jc w:val="center"/>
              <w:rPr>
                <w:rFonts w:ascii="宋体" w:hAnsi="宋体" w:cs="宋体"/>
              </w:rPr>
            </w:pPr>
            <w:r>
              <w:rPr>
                <w:rFonts w:hint="eastAsia" w:ascii="宋体" w:hAnsi="宋体" w:cs="宋体"/>
              </w:rPr>
              <w:t>主水管</w:t>
            </w:r>
          </w:p>
        </w:tc>
        <w:tc>
          <w:tcPr>
            <w:tcW w:w="1121" w:type="pct"/>
          </w:tcPr>
          <w:p>
            <w:pPr>
              <w:rPr>
                <w:b/>
                <w:szCs w:val="21"/>
              </w:rPr>
            </w:pPr>
            <w:r>
              <w:rPr>
                <w:rFonts w:hint="eastAsia"/>
                <w:bCs/>
              </w:rPr>
              <w:t>进出水管网系统连接反应器和相关设备、设施，主水管总量≥550m（以实际用量为准），材质符合国标，PP、PPR或PVC，规格：DN150mm、160mm、100mm，工作压力≥1.2MPa，寿命≥50年，连接方式：热熔、电熔、专用胶。</w:t>
            </w:r>
            <w:r>
              <w:rPr>
                <w:rFonts w:hint="eastAsia" w:ascii="宋体" w:hAnsi="宋体"/>
              </w:rPr>
              <w:t>地埋处理，留检修口</w:t>
            </w:r>
          </w:p>
        </w:tc>
        <w:tc>
          <w:tcPr>
            <w:tcW w:w="1125" w:type="pct"/>
          </w:tcPr>
          <w:p>
            <w:pPr>
              <w:rPr>
                <w:rFonts w:hint="eastAsia"/>
                <w:bCs/>
              </w:rPr>
            </w:pPr>
          </w:p>
        </w:tc>
        <w:tc>
          <w:tcPr>
            <w:tcW w:w="1125" w:type="pct"/>
          </w:tcPr>
          <w:p>
            <w:pPr>
              <w:rPr>
                <w:rFonts w:hint="eastAsia"/>
                <w:bCs/>
              </w:rPr>
            </w:pPr>
          </w:p>
        </w:tc>
        <w:tc>
          <w:tcPr>
            <w:tcW w:w="1125"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5</w:t>
            </w:r>
          </w:p>
        </w:tc>
        <w:tc>
          <w:tcPr>
            <w:tcW w:w="300" w:type="pct"/>
            <w:vAlign w:val="center"/>
          </w:tcPr>
          <w:p>
            <w:pPr>
              <w:spacing w:line="440" w:lineRule="exact"/>
              <w:jc w:val="center"/>
              <w:rPr>
                <w:rFonts w:ascii="宋体" w:hAnsi="宋体" w:cs="宋体"/>
              </w:rPr>
            </w:pPr>
            <w:r>
              <w:rPr>
                <w:rFonts w:hint="eastAsia" w:ascii="宋体" w:hAnsi="宋体" w:cs="宋体"/>
              </w:rPr>
              <w:t>分水管</w:t>
            </w:r>
          </w:p>
        </w:tc>
        <w:tc>
          <w:tcPr>
            <w:tcW w:w="1121" w:type="pct"/>
          </w:tcPr>
          <w:p>
            <w:pPr>
              <w:rPr>
                <w:b/>
                <w:szCs w:val="21"/>
                <w:highlight w:val="none"/>
              </w:rPr>
            </w:pPr>
            <w:r>
              <w:rPr>
                <w:rFonts w:hint="eastAsia"/>
                <w:bCs/>
                <w:highlight w:val="none"/>
              </w:rPr>
              <w:t>进出水管网系统连接反应器和相关设备、设施，分水管总量≥4800m（以实际用量为准），材质符合国标，PP、PPR或PVC，规格：DN25mm、40mm、80mm，工作压力≥1.2MPa，寿命≥50年，连接方式：热熔、电熔、专用胶。</w:t>
            </w:r>
            <w:r>
              <w:rPr>
                <w:rFonts w:hint="eastAsia" w:ascii="宋体" w:hAnsi="宋体"/>
                <w:highlight w:val="none"/>
              </w:rPr>
              <w:t>地埋处理，留检修口</w:t>
            </w:r>
          </w:p>
        </w:tc>
        <w:tc>
          <w:tcPr>
            <w:tcW w:w="1125" w:type="pct"/>
          </w:tcPr>
          <w:p>
            <w:pPr>
              <w:rPr>
                <w:rFonts w:hint="eastAsia"/>
                <w:bCs/>
                <w:highlight w:val="none"/>
              </w:rPr>
            </w:pPr>
          </w:p>
        </w:tc>
        <w:tc>
          <w:tcPr>
            <w:tcW w:w="1125" w:type="pct"/>
          </w:tcPr>
          <w:p>
            <w:pPr>
              <w:rPr>
                <w:rFonts w:hint="eastAsia"/>
                <w:bCs/>
                <w:highlight w:val="none"/>
              </w:rPr>
            </w:pPr>
          </w:p>
        </w:tc>
        <w:tc>
          <w:tcPr>
            <w:tcW w:w="1125" w:type="pct"/>
          </w:tcPr>
          <w:p>
            <w:pPr>
              <w:rPr>
                <w:rFonts w:hint="eastAsia"/>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6</w:t>
            </w:r>
          </w:p>
        </w:tc>
        <w:tc>
          <w:tcPr>
            <w:tcW w:w="300" w:type="pct"/>
            <w:vAlign w:val="center"/>
          </w:tcPr>
          <w:p>
            <w:pPr>
              <w:spacing w:line="440" w:lineRule="exact"/>
              <w:jc w:val="center"/>
              <w:rPr>
                <w:rFonts w:ascii="宋体" w:hAnsi="宋体" w:cs="宋体"/>
              </w:rPr>
            </w:pPr>
            <w:r>
              <w:rPr>
                <w:rFonts w:hint="eastAsia" w:ascii="宋体" w:hAnsi="宋体" w:cs="宋体"/>
              </w:rPr>
              <w:t>电缆</w:t>
            </w:r>
          </w:p>
        </w:tc>
        <w:tc>
          <w:tcPr>
            <w:tcW w:w="1121" w:type="pct"/>
          </w:tcPr>
          <w:p>
            <w:pPr>
              <w:rPr>
                <w:bCs/>
                <w:highlight w:val="none"/>
                <w:vertAlign w:val="superscript"/>
              </w:rPr>
            </w:pPr>
            <w:r>
              <w:rPr>
                <w:rFonts w:hint="eastAsia"/>
                <w:bCs/>
                <w:highlight w:val="none"/>
              </w:rPr>
              <w:t>电网覆盖整个反应器和辅助设备、设施的工作区域，电缆用量≥28000m（以实际用量为准），材质符合国标，类型：塑料绝缘电力电缆，芯数：2-5芯，芯材：99.99%足铜，额定电压：450/750V，护套材质：PVC，电压等级：中、低压电力电缆（35千伏及以下），规格：0.5、0.75、2.5、25、120mm</w:t>
            </w:r>
            <w:r>
              <w:rPr>
                <w:rFonts w:hint="eastAsia"/>
                <w:bCs/>
                <w:highlight w:val="none"/>
                <w:vertAlign w:val="superscript"/>
              </w:rPr>
              <w:t>2</w:t>
            </w:r>
            <w:r>
              <w:rPr>
                <w:rFonts w:hint="eastAsia"/>
                <w:bCs/>
                <w:highlight w:val="none"/>
              </w:rPr>
              <w:t>。</w:t>
            </w:r>
            <w:r>
              <w:rPr>
                <w:rFonts w:hint="eastAsia" w:ascii="宋体" w:hAnsi="宋体"/>
                <w:highlight w:val="none"/>
              </w:rPr>
              <w:t>地埋处理，留检修口</w:t>
            </w:r>
          </w:p>
        </w:tc>
        <w:tc>
          <w:tcPr>
            <w:tcW w:w="1125" w:type="pct"/>
          </w:tcPr>
          <w:p>
            <w:pPr>
              <w:rPr>
                <w:rFonts w:hint="eastAsia"/>
                <w:bCs/>
                <w:highlight w:val="none"/>
              </w:rPr>
            </w:pPr>
          </w:p>
        </w:tc>
        <w:tc>
          <w:tcPr>
            <w:tcW w:w="1125" w:type="pct"/>
          </w:tcPr>
          <w:p>
            <w:pPr>
              <w:rPr>
                <w:rFonts w:hint="eastAsia"/>
                <w:bCs/>
                <w:highlight w:val="none"/>
              </w:rPr>
            </w:pPr>
          </w:p>
        </w:tc>
        <w:tc>
          <w:tcPr>
            <w:tcW w:w="1125" w:type="pct"/>
          </w:tcPr>
          <w:p>
            <w:pPr>
              <w:rPr>
                <w:rFonts w:hint="eastAsia"/>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 w:type="pct"/>
            <w:vAlign w:val="center"/>
          </w:tcPr>
          <w:p>
            <w:pPr>
              <w:jc w:val="center"/>
              <w:rPr>
                <w:b/>
                <w:szCs w:val="21"/>
              </w:rPr>
            </w:pPr>
            <w:r>
              <w:rPr>
                <w:rFonts w:hint="eastAsia"/>
                <w:b/>
                <w:szCs w:val="21"/>
              </w:rPr>
              <w:t>7</w:t>
            </w:r>
          </w:p>
        </w:tc>
        <w:tc>
          <w:tcPr>
            <w:tcW w:w="300" w:type="pct"/>
            <w:vAlign w:val="center"/>
          </w:tcPr>
          <w:p>
            <w:pPr>
              <w:spacing w:line="440" w:lineRule="exact"/>
              <w:jc w:val="center"/>
              <w:rPr>
                <w:rFonts w:ascii="宋体" w:hAnsi="宋体" w:cs="宋体"/>
              </w:rPr>
            </w:pPr>
            <w:r>
              <w:rPr>
                <w:rFonts w:hint="eastAsia" w:ascii="宋体" w:hAnsi="宋体" w:cs="宋体"/>
              </w:rPr>
              <w:t>阀门</w:t>
            </w:r>
          </w:p>
        </w:tc>
        <w:tc>
          <w:tcPr>
            <w:tcW w:w="1121" w:type="pct"/>
          </w:tcPr>
          <w:p>
            <w:pPr>
              <w:rPr>
                <w:b/>
                <w:szCs w:val="21"/>
              </w:rPr>
            </w:pPr>
            <w:r>
              <w:rPr>
                <w:rFonts w:hint="eastAsia"/>
                <w:b/>
                <w:szCs w:val="21"/>
              </w:rPr>
              <w:t>★</w:t>
            </w:r>
            <w:r>
              <w:rPr>
                <w:rFonts w:hint="eastAsia"/>
                <w:bCs/>
              </w:rPr>
              <w:t>实现系统内液体流转的控制，阀门总数量≥160个，其中自动控制球阀/电磁阀不低于6个，阀门质量要</w:t>
            </w:r>
            <w:r>
              <w:rPr>
                <w:rFonts w:hint="eastAsia" w:ascii="宋体" w:hAnsi="宋体"/>
              </w:rPr>
              <w:t>求符合国标，</w:t>
            </w:r>
            <w:r>
              <w:rPr>
                <w:rFonts w:hint="eastAsia" w:ascii="宋体" w:hAnsi="宋体"/>
                <w:szCs w:val="21"/>
              </w:rPr>
              <w:t>主材：不锈钢</w:t>
            </w:r>
          </w:p>
        </w:tc>
        <w:tc>
          <w:tcPr>
            <w:tcW w:w="1125" w:type="pct"/>
          </w:tcPr>
          <w:p>
            <w:pPr>
              <w:rPr>
                <w:rFonts w:hint="eastAsia"/>
                <w:b/>
                <w:szCs w:val="21"/>
              </w:rPr>
            </w:pPr>
          </w:p>
        </w:tc>
        <w:tc>
          <w:tcPr>
            <w:tcW w:w="1125" w:type="pct"/>
          </w:tcPr>
          <w:p>
            <w:pPr>
              <w:rPr>
                <w:rFonts w:hint="eastAsia"/>
                <w:b/>
                <w:szCs w:val="21"/>
              </w:rPr>
            </w:pPr>
          </w:p>
        </w:tc>
        <w:tc>
          <w:tcPr>
            <w:tcW w:w="1125"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8</w:t>
            </w:r>
          </w:p>
        </w:tc>
        <w:tc>
          <w:tcPr>
            <w:tcW w:w="300" w:type="pct"/>
            <w:vAlign w:val="center"/>
          </w:tcPr>
          <w:p>
            <w:pPr>
              <w:spacing w:line="440" w:lineRule="exact"/>
              <w:jc w:val="center"/>
              <w:rPr>
                <w:rFonts w:ascii="宋体" w:hAnsi="宋体" w:cs="宋体"/>
              </w:rPr>
            </w:pPr>
            <w:r>
              <w:rPr>
                <w:rFonts w:hint="eastAsia" w:ascii="宋体" w:hAnsi="宋体" w:cs="宋体"/>
              </w:rPr>
              <w:t>水泵</w:t>
            </w:r>
          </w:p>
        </w:tc>
        <w:tc>
          <w:tcPr>
            <w:tcW w:w="1121" w:type="pct"/>
          </w:tcPr>
          <w:p>
            <w:pPr>
              <w:rPr>
                <w:b/>
                <w:szCs w:val="21"/>
              </w:rPr>
            </w:pPr>
            <w:r>
              <w:rPr>
                <w:rFonts w:hint="eastAsia"/>
                <w:b/>
                <w:szCs w:val="21"/>
              </w:rPr>
              <w:t>★</w:t>
            </w:r>
            <w:r>
              <w:rPr>
                <w:rFonts w:hint="eastAsia"/>
                <w:bCs/>
              </w:rPr>
              <w:t>液体在整个系统内的流转尽量利用自然落差和重力，落差不足需引入水泵辅助，全场水泵数量不少于12台，功率≥4Kw，流量≥110m</w:t>
            </w:r>
            <w:r>
              <w:rPr>
                <w:rFonts w:hint="eastAsia"/>
                <w:bCs/>
                <w:vertAlign w:val="superscript"/>
              </w:rPr>
              <w:t>3</w:t>
            </w:r>
            <w:r>
              <w:rPr>
                <w:rFonts w:hint="eastAsia"/>
                <w:bCs/>
              </w:rPr>
              <w:t>/h，扬程≥9m，一二级反应器的配合水泵要求对细胞无剪切力，藻液经过水泵后不会造成细胞伤亡</w:t>
            </w:r>
          </w:p>
        </w:tc>
        <w:tc>
          <w:tcPr>
            <w:tcW w:w="1125" w:type="pct"/>
          </w:tcPr>
          <w:p>
            <w:pPr>
              <w:rPr>
                <w:rFonts w:hint="eastAsia"/>
                <w:b/>
                <w:szCs w:val="21"/>
              </w:rPr>
            </w:pPr>
          </w:p>
        </w:tc>
        <w:tc>
          <w:tcPr>
            <w:tcW w:w="1125" w:type="pct"/>
          </w:tcPr>
          <w:p>
            <w:pPr>
              <w:rPr>
                <w:rFonts w:hint="eastAsia"/>
                <w:b/>
                <w:szCs w:val="21"/>
              </w:rPr>
            </w:pPr>
          </w:p>
        </w:tc>
        <w:tc>
          <w:tcPr>
            <w:tcW w:w="1125"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9</w:t>
            </w:r>
          </w:p>
        </w:tc>
        <w:tc>
          <w:tcPr>
            <w:tcW w:w="300" w:type="pct"/>
            <w:vAlign w:val="center"/>
          </w:tcPr>
          <w:p>
            <w:pPr>
              <w:spacing w:line="440" w:lineRule="exact"/>
              <w:jc w:val="center"/>
              <w:rPr>
                <w:rFonts w:ascii="宋体" w:hAnsi="宋体" w:cs="宋体"/>
              </w:rPr>
            </w:pPr>
            <w:r>
              <w:rPr>
                <w:rFonts w:hint="eastAsia" w:ascii="宋体" w:hAnsi="宋体" w:cs="宋体"/>
              </w:rPr>
              <w:t>电柜（带开关）</w:t>
            </w:r>
          </w:p>
        </w:tc>
        <w:tc>
          <w:tcPr>
            <w:tcW w:w="1121" w:type="pct"/>
          </w:tcPr>
          <w:p>
            <w:pPr>
              <w:rPr>
                <w:b/>
                <w:szCs w:val="21"/>
              </w:rPr>
            </w:pPr>
            <w:r>
              <w:rPr>
                <w:rFonts w:hint="eastAsia" w:ascii="仿宋_GB2312" w:eastAsia="仿宋_GB2312"/>
                <w:szCs w:val="21"/>
              </w:rPr>
              <w:t>▲</w:t>
            </w:r>
            <w:r>
              <w:rPr>
                <w:rFonts w:hint="eastAsia"/>
                <w:bCs/>
              </w:rPr>
              <w:t>电柜带开关，包括：</w:t>
            </w:r>
            <w:r>
              <w:rPr>
                <w:bCs/>
              </w:rPr>
              <w:t>机组控制</w:t>
            </w:r>
            <w:r>
              <w:rPr>
                <w:rFonts w:hint="eastAsia"/>
                <w:bCs/>
              </w:rPr>
              <w:t>总</w:t>
            </w:r>
            <w:r>
              <w:rPr>
                <w:bCs/>
              </w:rPr>
              <w:t>电柜（含变频控制）</w:t>
            </w:r>
            <w:r>
              <w:rPr>
                <w:rFonts w:hint="eastAsia"/>
                <w:bCs/>
              </w:rPr>
              <w:t>（</w:t>
            </w:r>
            <w:r>
              <w:rPr>
                <w:bCs/>
              </w:rPr>
              <w:t>机组开关300A</w:t>
            </w:r>
            <w:r>
              <w:rPr>
                <w:rFonts w:hint="eastAsia"/>
                <w:bCs/>
              </w:rPr>
              <w:t>、</w:t>
            </w:r>
            <w:r>
              <w:rPr>
                <w:bCs/>
              </w:rPr>
              <w:t>池子恒温泵</w:t>
            </w:r>
            <w:r>
              <w:rPr>
                <w:rFonts w:hint="eastAsia"/>
                <w:bCs/>
              </w:rPr>
              <w:t>开关</w:t>
            </w:r>
            <w:r>
              <w:rPr>
                <w:bCs/>
              </w:rPr>
              <w:t>125A</w:t>
            </w:r>
            <w:r>
              <w:rPr>
                <w:rFonts w:hint="eastAsia"/>
                <w:bCs/>
              </w:rPr>
              <w:t>、内循环泵开关63A、机组冷却泵开关100A）；</w:t>
            </w:r>
            <w:r>
              <w:rPr>
                <w:bCs/>
              </w:rPr>
              <w:t>A区电柜</w:t>
            </w:r>
            <w:r>
              <w:rPr>
                <w:rFonts w:hint="eastAsia"/>
                <w:bCs/>
              </w:rPr>
              <w:t>（</w:t>
            </w:r>
            <w:r>
              <w:rPr>
                <w:bCs/>
              </w:rPr>
              <w:t>总开关100A</w:t>
            </w:r>
            <w:r>
              <w:rPr>
                <w:rFonts w:hint="eastAsia"/>
                <w:bCs/>
              </w:rPr>
              <w:t>）；</w:t>
            </w:r>
            <w:r>
              <w:rPr>
                <w:bCs/>
              </w:rPr>
              <w:t>B区电柜</w:t>
            </w:r>
            <w:r>
              <w:rPr>
                <w:rFonts w:hint="eastAsia"/>
                <w:bCs/>
              </w:rPr>
              <w:t>（</w:t>
            </w:r>
            <w:r>
              <w:rPr>
                <w:bCs/>
              </w:rPr>
              <w:t>总开关100A</w:t>
            </w:r>
            <w:r>
              <w:rPr>
                <w:rFonts w:hint="eastAsia"/>
                <w:bCs/>
              </w:rPr>
              <w:t>）；</w:t>
            </w:r>
            <w:r>
              <w:rPr>
                <w:bCs/>
              </w:rPr>
              <w:t>推水器小电柜</w:t>
            </w:r>
            <w:r>
              <w:rPr>
                <w:rFonts w:hint="eastAsia"/>
                <w:bCs/>
              </w:rPr>
              <w:t>（关</w:t>
            </w:r>
            <w:r>
              <w:rPr>
                <w:bCs/>
              </w:rPr>
              <w:t>16A</w:t>
            </w:r>
            <w:r>
              <w:rPr>
                <w:rFonts w:hint="eastAsia"/>
                <w:bCs/>
              </w:rPr>
              <w:t>）</w:t>
            </w:r>
          </w:p>
        </w:tc>
        <w:tc>
          <w:tcPr>
            <w:tcW w:w="1125" w:type="pct"/>
          </w:tcPr>
          <w:p>
            <w:pPr>
              <w:rPr>
                <w:rFonts w:hint="eastAsia" w:ascii="仿宋_GB2312" w:eastAsia="仿宋_GB2312"/>
                <w:szCs w:val="21"/>
              </w:rPr>
            </w:pPr>
          </w:p>
        </w:tc>
        <w:tc>
          <w:tcPr>
            <w:tcW w:w="1125" w:type="pct"/>
          </w:tcPr>
          <w:p>
            <w:pPr>
              <w:rPr>
                <w:rFonts w:hint="eastAsia" w:ascii="仿宋_GB2312" w:eastAsia="仿宋_GB2312"/>
                <w:szCs w:val="21"/>
              </w:rPr>
            </w:pPr>
          </w:p>
        </w:tc>
        <w:tc>
          <w:tcPr>
            <w:tcW w:w="1125" w:type="pct"/>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10</w:t>
            </w:r>
          </w:p>
        </w:tc>
        <w:tc>
          <w:tcPr>
            <w:tcW w:w="300" w:type="pct"/>
            <w:vAlign w:val="center"/>
          </w:tcPr>
          <w:p>
            <w:pPr>
              <w:spacing w:line="440" w:lineRule="exact"/>
              <w:jc w:val="center"/>
              <w:rPr>
                <w:rFonts w:ascii="宋体" w:hAnsi="宋体" w:cs="宋体"/>
              </w:rPr>
            </w:pPr>
            <w:r>
              <w:rPr>
                <w:rFonts w:hint="eastAsia" w:ascii="宋体" w:hAnsi="宋体" w:cs="宋体"/>
              </w:rPr>
              <w:t>恒温机组</w:t>
            </w:r>
          </w:p>
        </w:tc>
        <w:tc>
          <w:tcPr>
            <w:tcW w:w="1121" w:type="pct"/>
          </w:tcPr>
          <w:p>
            <w:pPr>
              <w:rPr>
                <w:b/>
                <w:szCs w:val="21"/>
              </w:rPr>
            </w:pPr>
            <w:r>
              <w:rPr>
                <w:rFonts w:hint="eastAsia"/>
                <w:b/>
                <w:szCs w:val="21"/>
              </w:rPr>
              <w:t>★</w:t>
            </w:r>
            <w:r>
              <w:rPr>
                <w:rFonts w:hint="eastAsia"/>
                <w:bCs/>
              </w:rPr>
              <w:t>螺杆式双机头冷热一体式系统，具备制冷和升温双重功能，双机头模块式管理，各模块彼此独立、互为备用。功率≥200HP或可处理夏季冷负荷≥650Kw、冬季热负荷≥580Kw。系统最高处理水量≥800m</w:t>
            </w:r>
            <w:r>
              <w:rPr>
                <w:rFonts w:hint="eastAsia"/>
                <w:bCs/>
                <w:vertAlign w:val="superscript"/>
              </w:rPr>
              <w:t>3</w:t>
            </w:r>
            <w:r>
              <w:rPr>
                <w:rFonts w:hint="eastAsia"/>
                <w:bCs/>
              </w:rPr>
              <w:t>，按照初始进水常温，设定温度26℃，到达设定温度的处理时间≤12h，控温范围：3～40℃，控温精度±1℃</w:t>
            </w:r>
          </w:p>
        </w:tc>
        <w:tc>
          <w:tcPr>
            <w:tcW w:w="1125" w:type="pct"/>
          </w:tcPr>
          <w:p>
            <w:pPr>
              <w:rPr>
                <w:rFonts w:hint="eastAsia"/>
                <w:b/>
                <w:szCs w:val="21"/>
              </w:rPr>
            </w:pPr>
          </w:p>
        </w:tc>
        <w:tc>
          <w:tcPr>
            <w:tcW w:w="1125" w:type="pct"/>
          </w:tcPr>
          <w:p>
            <w:pPr>
              <w:rPr>
                <w:rFonts w:hint="eastAsia"/>
                <w:b/>
                <w:szCs w:val="21"/>
              </w:rPr>
            </w:pPr>
          </w:p>
        </w:tc>
        <w:tc>
          <w:tcPr>
            <w:tcW w:w="1125"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11</w:t>
            </w:r>
          </w:p>
        </w:tc>
        <w:tc>
          <w:tcPr>
            <w:tcW w:w="300" w:type="pct"/>
            <w:vAlign w:val="center"/>
          </w:tcPr>
          <w:p>
            <w:pPr>
              <w:spacing w:line="440" w:lineRule="exact"/>
              <w:jc w:val="center"/>
              <w:rPr>
                <w:rFonts w:ascii="宋体" w:hAnsi="宋体" w:cs="宋体"/>
              </w:rPr>
            </w:pPr>
            <w:r>
              <w:rPr>
                <w:rFonts w:hint="eastAsia" w:ascii="宋体" w:hAnsi="宋体" w:cs="宋体"/>
              </w:rPr>
              <w:t>水塔</w:t>
            </w:r>
          </w:p>
        </w:tc>
        <w:tc>
          <w:tcPr>
            <w:tcW w:w="1121" w:type="pct"/>
            <w:vAlign w:val="center"/>
          </w:tcPr>
          <w:p>
            <w:pPr>
              <w:rPr>
                <w:b/>
                <w:szCs w:val="21"/>
              </w:rPr>
            </w:pPr>
            <w:r>
              <w:rPr>
                <w:rFonts w:hint="eastAsia"/>
                <w:bCs/>
              </w:rPr>
              <w:t>钢框架，流量：250—300 m</w:t>
            </w:r>
            <w:r>
              <w:rPr>
                <w:rFonts w:hint="eastAsia"/>
                <w:bCs/>
                <w:vertAlign w:val="superscript"/>
              </w:rPr>
              <w:t>3</w:t>
            </w:r>
            <w:r>
              <w:rPr>
                <w:rFonts w:hint="eastAsia"/>
                <w:bCs/>
              </w:rPr>
              <w:t>/h</w:t>
            </w:r>
          </w:p>
        </w:tc>
        <w:tc>
          <w:tcPr>
            <w:tcW w:w="1125" w:type="pct"/>
            <w:vAlign w:val="center"/>
          </w:tcPr>
          <w:p>
            <w:pPr>
              <w:rPr>
                <w:rFonts w:hint="eastAsia"/>
                <w:bCs/>
              </w:rPr>
            </w:pPr>
          </w:p>
        </w:tc>
        <w:tc>
          <w:tcPr>
            <w:tcW w:w="1125" w:type="pct"/>
            <w:vAlign w:val="center"/>
          </w:tcPr>
          <w:p>
            <w:pPr>
              <w:rPr>
                <w:rFonts w:hint="eastAsia"/>
                <w:bCs/>
              </w:rPr>
            </w:pPr>
          </w:p>
        </w:tc>
        <w:tc>
          <w:tcPr>
            <w:tcW w:w="1125" w:type="pct"/>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12</w:t>
            </w:r>
          </w:p>
        </w:tc>
        <w:tc>
          <w:tcPr>
            <w:tcW w:w="300" w:type="pct"/>
            <w:vAlign w:val="center"/>
          </w:tcPr>
          <w:p>
            <w:pPr>
              <w:spacing w:line="440" w:lineRule="exact"/>
              <w:jc w:val="center"/>
              <w:rPr>
                <w:rFonts w:ascii="宋体" w:hAnsi="宋体" w:cs="宋体"/>
              </w:rPr>
            </w:pPr>
            <w:r>
              <w:rPr>
                <w:rFonts w:hint="eastAsia" w:ascii="宋体" w:hAnsi="宋体" w:cs="宋体"/>
              </w:rPr>
              <w:t>冷水机</w:t>
            </w:r>
          </w:p>
        </w:tc>
        <w:tc>
          <w:tcPr>
            <w:tcW w:w="1121" w:type="pct"/>
          </w:tcPr>
          <w:p>
            <w:pPr>
              <w:rPr>
                <w:b/>
                <w:szCs w:val="21"/>
              </w:rPr>
            </w:pPr>
            <w:r>
              <w:rPr>
                <w:rFonts w:hint="eastAsia"/>
                <w:bCs/>
              </w:rPr>
              <w:t>触摸式集成控制系统，控温精度±1℃，控温范围：3～40℃，总功率≥140Kw，蒸发器水量≥120m³，管径≥5寸，外形尺寸长宽高分别为3350*1100*2100mm（</w:t>
            </w:r>
            <w:r>
              <w:rPr>
                <w:rFonts w:hint="eastAsia" w:ascii="微软雅黑" w:hAnsi="微软雅黑" w:eastAsia="微软雅黑" w:cs="微软雅黑"/>
                <w:bCs/>
              </w:rPr>
              <w:t>±</w:t>
            </w:r>
            <w:r>
              <w:rPr>
                <w:rFonts w:hint="eastAsia"/>
                <w:bCs/>
              </w:rPr>
              <w:t>20mm）（不含外部阀门及管道）</w:t>
            </w:r>
          </w:p>
        </w:tc>
        <w:tc>
          <w:tcPr>
            <w:tcW w:w="1125" w:type="pct"/>
          </w:tcPr>
          <w:p>
            <w:pPr>
              <w:rPr>
                <w:rFonts w:hint="eastAsia"/>
                <w:bCs/>
              </w:rPr>
            </w:pPr>
          </w:p>
        </w:tc>
        <w:tc>
          <w:tcPr>
            <w:tcW w:w="1125" w:type="pct"/>
          </w:tcPr>
          <w:p>
            <w:pPr>
              <w:rPr>
                <w:rFonts w:hint="eastAsia"/>
                <w:bCs/>
              </w:rPr>
            </w:pPr>
          </w:p>
        </w:tc>
        <w:tc>
          <w:tcPr>
            <w:tcW w:w="1125"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13</w:t>
            </w:r>
          </w:p>
        </w:tc>
        <w:tc>
          <w:tcPr>
            <w:tcW w:w="300" w:type="pct"/>
            <w:vAlign w:val="center"/>
          </w:tcPr>
          <w:p>
            <w:pPr>
              <w:spacing w:line="440" w:lineRule="exact"/>
              <w:jc w:val="center"/>
              <w:rPr>
                <w:rFonts w:ascii="宋体" w:hAnsi="宋体" w:cs="宋体"/>
              </w:rPr>
            </w:pPr>
            <w:r>
              <w:rPr>
                <w:rFonts w:hint="eastAsia" w:ascii="宋体" w:hAnsi="宋体" w:cs="宋体"/>
              </w:rPr>
              <w:t>水箱</w:t>
            </w:r>
          </w:p>
        </w:tc>
        <w:tc>
          <w:tcPr>
            <w:tcW w:w="1121" w:type="pct"/>
          </w:tcPr>
          <w:p>
            <w:pPr>
              <w:spacing w:line="400" w:lineRule="exact"/>
              <w:rPr>
                <w:b/>
                <w:szCs w:val="21"/>
              </w:rPr>
            </w:pPr>
            <w:r>
              <w:rPr>
                <w:rFonts w:hint="eastAsia" w:ascii="宋体" w:hAnsi="宋体"/>
              </w:rPr>
              <w:t>循环保温水箱，不锈钢材质，容量不低于15m</w:t>
            </w:r>
            <w:r>
              <w:rPr>
                <w:rFonts w:hint="eastAsia" w:ascii="宋体" w:hAnsi="宋体"/>
                <w:vertAlign w:val="superscript"/>
              </w:rPr>
              <w:t>3</w:t>
            </w:r>
          </w:p>
        </w:tc>
        <w:tc>
          <w:tcPr>
            <w:tcW w:w="1125" w:type="pct"/>
          </w:tcPr>
          <w:p>
            <w:pPr>
              <w:spacing w:line="400" w:lineRule="exact"/>
              <w:rPr>
                <w:rFonts w:hint="eastAsia" w:ascii="宋体" w:hAnsi="宋体"/>
              </w:rPr>
            </w:pPr>
          </w:p>
        </w:tc>
        <w:tc>
          <w:tcPr>
            <w:tcW w:w="1125" w:type="pct"/>
          </w:tcPr>
          <w:p>
            <w:pPr>
              <w:spacing w:line="400" w:lineRule="exact"/>
              <w:rPr>
                <w:rFonts w:hint="eastAsia" w:ascii="宋体" w:hAnsi="宋体"/>
              </w:rPr>
            </w:pPr>
          </w:p>
        </w:tc>
        <w:tc>
          <w:tcPr>
            <w:tcW w:w="1125" w:type="pct"/>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14</w:t>
            </w:r>
          </w:p>
        </w:tc>
        <w:tc>
          <w:tcPr>
            <w:tcW w:w="300" w:type="pct"/>
            <w:vAlign w:val="center"/>
          </w:tcPr>
          <w:p>
            <w:pPr>
              <w:spacing w:line="440" w:lineRule="exact"/>
              <w:jc w:val="center"/>
              <w:rPr>
                <w:rFonts w:ascii="宋体" w:hAnsi="宋体" w:cs="宋体"/>
              </w:rPr>
            </w:pPr>
            <w:r>
              <w:rPr>
                <w:rFonts w:hint="eastAsia" w:ascii="宋体" w:hAnsi="宋体" w:cs="宋体"/>
              </w:rPr>
              <w:t>冷却循环泵</w:t>
            </w:r>
          </w:p>
        </w:tc>
        <w:tc>
          <w:tcPr>
            <w:tcW w:w="1121" w:type="pct"/>
            <w:vAlign w:val="center"/>
          </w:tcPr>
          <w:p>
            <w:pPr>
              <w:rPr>
                <w:bCs/>
              </w:rPr>
            </w:pPr>
            <w:r>
              <w:rPr>
                <w:rFonts w:hint="eastAsia"/>
                <w:bCs/>
              </w:rPr>
              <w:t>一用一备，功率≥22Kw，流量≥166m</w:t>
            </w:r>
            <w:r>
              <w:rPr>
                <w:rFonts w:hint="eastAsia"/>
                <w:bCs/>
                <w:vertAlign w:val="superscript"/>
              </w:rPr>
              <w:t>3</w:t>
            </w:r>
            <w:r>
              <w:rPr>
                <w:rFonts w:hint="eastAsia"/>
                <w:bCs/>
              </w:rPr>
              <w:t>/h，扬程≥34m</w:t>
            </w:r>
          </w:p>
        </w:tc>
        <w:tc>
          <w:tcPr>
            <w:tcW w:w="1125" w:type="pct"/>
            <w:vAlign w:val="center"/>
          </w:tcPr>
          <w:p>
            <w:pPr>
              <w:rPr>
                <w:rFonts w:hint="eastAsia"/>
                <w:bCs/>
              </w:rPr>
            </w:pPr>
          </w:p>
        </w:tc>
        <w:tc>
          <w:tcPr>
            <w:tcW w:w="1125" w:type="pct"/>
            <w:vAlign w:val="center"/>
          </w:tcPr>
          <w:p>
            <w:pPr>
              <w:rPr>
                <w:rFonts w:hint="eastAsia"/>
                <w:bCs/>
              </w:rPr>
            </w:pPr>
          </w:p>
        </w:tc>
        <w:tc>
          <w:tcPr>
            <w:tcW w:w="1125" w:type="pct"/>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15</w:t>
            </w:r>
          </w:p>
        </w:tc>
        <w:tc>
          <w:tcPr>
            <w:tcW w:w="300" w:type="pct"/>
            <w:vAlign w:val="center"/>
          </w:tcPr>
          <w:p>
            <w:pPr>
              <w:spacing w:line="440" w:lineRule="exact"/>
              <w:jc w:val="center"/>
              <w:rPr>
                <w:rFonts w:ascii="宋体" w:hAnsi="宋体" w:cs="宋体"/>
              </w:rPr>
            </w:pPr>
            <w:r>
              <w:rPr>
                <w:rFonts w:hint="eastAsia" w:ascii="宋体" w:hAnsi="宋体" w:cs="宋体"/>
              </w:rPr>
              <w:t>内冷水泵</w:t>
            </w:r>
          </w:p>
        </w:tc>
        <w:tc>
          <w:tcPr>
            <w:tcW w:w="1121" w:type="pct"/>
            <w:vAlign w:val="center"/>
          </w:tcPr>
          <w:p>
            <w:pPr>
              <w:rPr>
                <w:bCs/>
              </w:rPr>
            </w:pPr>
            <w:r>
              <w:rPr>
                <w:rFonts w:hint="eastAsia"/>
                <w:bCs/>
              </w:rPr>
              <w:t>一用一备，功率≥15Kw，流量≥166m</w:t>
            </w:r>
            <w:r>
              <w:rPr>
                <w:rFonts w:hint="eastAsia"/>
                <w:bCs/>
                <w:vertAlign w:val="superscript"/>
              </w:rPr>
              <w:t>3</w:t>
            </w:r>
            <w:r>
              <w:rPr>
                <w:rFonts w:hint="eastAsia"/>
                <w:bCs/>
              </w:rPr>
              <w:t>/h，扬程≥21m</w:t>
            </w:r>
          </w:p>
        </w:tc>
        <w:tc>
          <w:tcPr>
            <w:tcW w:w="1125" w:type="pct"/>
            <w:vAlign w:val="center"/>
          </w:tcPr>
          <w:p>
            <w:pPr>
              <w:rPr>
                <w:rFonts w:hint="eastAsia"/>
                <w:bCs/>
              </w:rPr>
            </w:pPr>
          </w:p>
        </w:tc>
        <w:tc>
          <w:tcPr>
            <w:tcW w:w="1125" w:type="pct"/>
            <w:vAlign w:val="center"/>
          </w:tcPr>
          <w:p>
            <w:pPr>
              <w:rPr>
                <w:rFonts w:hint="eastAsia"/>
                <w:bCs/>
              </w:rPr>
            </w:pPr>
          </w:p>
        </w:tc>
        <w:tc>
          <w:tcPr>
            <w:tcW w:w="1125" w:type="pct"/>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16</w:t>
            </w:r>
          </w:p>
        </w:tc>
        <w:tc>
          <w:tcPr>
            <w:tcW w:w="300" w:type="pct"/>
            <w:vAlign w:val="center"/>
          </w:tcPr>
          <w:p>
            <w:pPr>
              <w:spacing w:line="440" w:lineRule="exact"/>
              <w:jc w:val="center"/>
              <w:rPr>
                <w:rFonts w:ascii="宋体" w:hAnsi="宋体" w:cs="宋体"/>
              </w:rPr>
            </w:pPr>
            <w:r>
              <w:rPr>
                <w:rFonts w:hint="eastAsia" w:ascii="宋体" w:hAnsi="宋体" w:cs="宋体"/>
              </w:rPr>
              <w:t>外冷水泵</w:t>
            </w:r>
          </w:p>
        </w:tc>
        <w:tc>
          <w:tcPr>
            <w:tcW w:w="1121" w:type="pct"/>
            <w:vAlign w:val="center"/>
          </w:tcPr>
          <w:p>
            <w:pPr>
              <w:rPr>
                <w:bCs/>
              </w:rPr>
            </w:pPr>
            <w:r>
              <w:rPr>
                <w:rFonts w:hint="eastAsia"/>
                <w:bCs/>
              </w:rPr>
              <w:t>一用一备，功率≥30Kw，流量≥180m</w:t>
            </w:r>
            <w:r>
              <w:rPr>
                <w:rFonts w:hint="eastAsia"/>
                <w:bCs/>
                <w:vertAlign w:val="superscript"/>
              </w:rPr>
              <w:t>3</w:t>
            </w:r>
            <w:r>
              <w:rPr>
                <w:rFonts w:hint="eastAsia"/>
                <w:bCs/>
              </w:rPr>
              <w:t>/h，扬程≥40m</w:t>
            </w:r>
          </w:p>
        </w:tc>
        <w:tc>
          <w:tcPr>
            <w:tcW w:w="1125" w:type="pct"/>
            <w:vAlign w:val="center"/>
          </w:tcPr>
          <w:p>
            <w:pPr>
              <w:rPr>
                <w:rFonts w:hint="eastAsia"/>
                <w:bCs/>
              </w:rPr>
            </w:pPr>
          </w:p>
        </w:tc>
        <w:tc>
          <w:tcPr>
            <w:tcW w:w="1125" w:type="pct"/>
            <w:vAlign w:val="center"/>
          </w:tcPr>
          <w:p>
            <w:pPr>
              <w:rPr>
                <w:rFonts w:hint="eastAsia"/>
                <w:bCs/>
              </w:rPr>
            </w:pPr>
          </w:p>
        </w:tc>
        <w:tc>
          <w:tcPr>
            <w:tcW w:w="1125" w:type="pct"/>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1" w:type="pct"/>
            <w:vAlign w:val="center"/>
          </w:tcPr>
          <w:p>
            <w:pPr>
              <w:jc w:val="center"/>
              <w:rPr>
                <w:b/>
                <w:szCs w:val="21"/>
              </w:rPr>
            </w:pPr>
            <w:r>
              <w:rPr>
                <w:rFonts w:hint="eastAsia"/>
                <w:b/>
                <w:szCs w:val="21"/>
              </w:rPr>
              <w:t>17</w:t>
            </w:r>
          </w:p>
        </w:tc>
        <w:tc>
          <w:tcPr>
            <w:tcW w:w="300" w:type="pct"/>
            <w:vAlign w:val="center"/>
          </w:tcPr>
          <w:p>
            <w:pPr>
              <w:spacing w:line="440" w:lineRule="exact"/>
              <w:jc w:val="center"/>
              <w:rPr>
                <w:rFonts w:ascii="宋体" w:hAnsi="宋体" w:cs="宋体"/>
              </w:rPr>
            </w:pPr>
            <w:r>
              <w:rPr>
                <w:rFonts w:hint="eastAsia" w:ascii="宋体" w:hAnsi="宋体" w:cs="宋体"/>
              </w:rPr>
              <w:t>沉浸式热交换装置</w:t>
            </w:r>
          </w:p>
        </w:tc>
        <w:tc>
          <w:tcPr>
            <w:tcW w:w="1121" w:type="pct"/>
            <w:vAlign w:val="center"/>
          </w:tcPr>
          <w:p>
            <w:pPr>
              <w:rPr>
                <w:b/>
                <w:szCs w:val="21"/>
              </w:rPr>
            </w:pPr>
            <w:r>
              <w:rPr>
                <w:rFonts w:hint="eastAsia"/>
                <w:b/>
                <w:szCs w:val="21"/>
              </w:rPr>
              <w:t>★</w:t>
            </w:r>
            <w:r>
              <w:rPr>
                <w:rFonts w:hint="eastAsia" w:ascii="宋体" w:hAnsi="宋体"/>
              </w:rPr>
              <w:t>1寸食品级304无缝不锈钢管，</w:t>
            </w:r>
            <w:r>
              <w:rPr>
                <w:rFonts w:hint="eastAsia" w:ascii="宋体" w:hAnsi="宋体"/>
                <w:szCs w:val="21"/>
              </w:rPr>
              <w:t>承压</w:t>
            </w:r>
            <w:r>
              <w:rPr>
                <w:rFonts w:hint="eastAsia"/>
                <w:bCs/>
              </w:rPr>
              <w:t>≥</w:t>
            </w:r>
            <w:r>
              <w:rPr>
                <w:rFonts w:hint="eastAsia" w:ascii="宋体" w:hAnsi="宋体"/>
                <w:szCs w:val="21"/>
              </w:rPr>
              <w:t>1.6Mpa，</w:t>
            </w:r>
            <w:r>
              <w:rPr>
                <w:rFonts w:hint="eastAsia" w:ascii="宋体" w:hAnsi="宋体"/>
              </w:rPr>
              <w:t>距反应器底部5-10cm安装，总长不低于4200m，具快速接头设计</w:t>
            </w:r>
          </w:p>
        </w:tc>
        <w:tc>
          <w:tcPr>
            <w:tcW w:w="1125" w:type="pct"/>
            <w:vAlign w:val="center"/>
          </w:tcPr>
          <w:p>
            <w:pPr>
              <w:rPr>
                <w:rFonts w:hint="eastAsia"/>
                <w:b/>
                <w:szCs w:val="21"/>
              </w:rPr>
            </w:pPr>
          </w:p>
        </w:tc>
        <w:tc>
          <w:tcPr>
            <w:tcW w:w="1125" w:type="pct"/>
            <w:vAlign w:val="center"/>
          </w:tcPr>
          <w:p>
            <w:pPr>
              <w:rPr>
                <w:rFonts w:hint="eastAsia"/>
                <w:b/>
                <w:szCs w:val="21"/>
              </w:rPr>
            </w:pPr>
          </w:p>
        </w:tc>
        <w:tc>
          <w:tcPr>
            <w:tcW w:w="1125"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18</w:t>
            </w:r>
          </w:p>
        </w:tc>
        <w:tc>
          <w:tcPr>
            <w:tcW w:w="300" w:type="pct"/>
            <w:vAlign w:val="center"/>
          </w:tcPr>
          <w:p>
            <w:pPr>
              <w:spacing w:line="440" w:lineRule="exact"/>
              <w:jc w:val="center"/>
              <w:rPr>
                <w:rFonts w:ascii="宋体" w:hAnsi="宋体" w:cs="宋体"/>
              </w:rPr>
            </w:pPr>
            <w:r>
              <w:rPr>
                <w:rFonts w:hint="eastAsia" w:ascii="宋体" w:hAnsi="宋体" w:cs="宋体"/>
              </w:rPr>
              <w:t>水温传感器</w:t>
            </w:r>
          </w:p>
        </w:tc>
        <w:tc>
          <w:tcPr>
            <w:tcW w:w="1121" w:type="pct"/>
            <w:vAlign w:val="center"/>
          </w:tcPr>
          <w:p>
            <w:pPr>
              <w:rPr>
                <w:rFonts w:ascii="宋体" w:hAnsi="宋体" w:cs="宋体"/>
                <w:sz w:val="18"/>
                <w:szCs w:val="18"/>
              </w:rPr>
            </w:pPr>
            <w:r>
              <w:rPr>
                <w:rFonts w:hint="eastAsia"/>
                <w:b/>
                <w:szCs w:val="21"/>
              </w:rPr>
              <w:t>★</w:t>
            </w:r>
            <w:r>
              <w:rPr>
                <w:rFonts w:hint="eastAsia"/>
                <w:bCs/>
                <w:szCs w:val="21"/>
              </w:rPr>
              <w:t>接入到一二级反应器中，探测反应器运行温度并反馈到恒温控制的中控台，</w:t>
            </w:r>
            <w:r>
              <w:rPr>
                <w:rFonts w:hint="eastAsia"/>
                <w:bCs/>
              </w:rPr>
              <w:t>量程：-50～80℃，分辩率：0.1℃，准确度：±0.3℃</w:t>
            </w:r>
          </w:p>
        </w:tc>
        <w:tc>
          <w:tcPr>
            <w:tcW w:w="1125" w:type="pct"/>
            <w:vAlign w:val="center"/>
          </w:tcPr>
          <w:p>
            <w:pPr>
              <w:rPr>
                <w:rFonts w:hint="eastAsia"/>
                <w:b/>
                <w:szCs w:val="21"/>
              </w:rPr>
            </w:pPr>
          </w:p>
        </w:tc>
        <w:tc>
          <w:tcPr>
            <w:tcW w:w="1125" w:type="pct"/>
            <w:vAlign w:val="center"/>
          </w:tcPr>
          <w:p>
            <w:pPr>
              <w:rPr>
                <w:rFonts w:hint="eastAsia"/>
                <w:b/>
                <w:szCs w:val="21"/>
              </w:rPr>
            </w:pPr>
          </w:p>
        </w:tc>
        <w:tc>
          <w:tcPr>
            <w:tcW w:w="1125"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b/>
                <w:szCs w:val="21"/>
              </w:rPr>
              <w:t>19</w:t>
            </w:r>
          </w:p>
        </w:tc>
        <w:tc>
          <w:tcPr>
            <w:tcW w:w="300" w:type="pct"/>
            <w:vAlign w:val="center"/>
          </w:tcPr>
          <w:p>
            <w:pPr>
              <w:spacing w:line="440" w:lineRule="exact"/>
              <w:jc w:val="center"/>
              <w:rPr>
                <w:rFonts w:ascii="宋体" w:hAnsi="宋体" w:cs="宋体"/>
              </w:rPr>
            </w:pPr>
            <w:r>
              <w:rPr>
                <w:rFonts w:hint="eastAsia" w:ascii="宋体" w:hAnsi="宋体" w:cs="宋体"/>
              </w:rPr>
              <w:t>中控台</w:t>
            </w:r>
          </w:p>
        </w:tc>
        <w:tc>
          <w:tcPr>
            <w:tcW w:w="1121" w:type="pct"/>
            <w:vAlign w:val="center"/>
          </w:tcPr>
          <w:p>
            <w:pPr>
              <w:rPr>
                <w:rFonts w:ascii="宋体" w:hAnsi="宋体" w:cs="宋体"/>
                <w:sz w:val="18"/>
                <w:szCs w:val="18"/>
              </w:rPr>
            </w:pPr>
            <w:r>
              <w:rPr>
                <w:rFonts w:hint="eastAsia" w:ascii="仿宋_GB2312" w:eastAsia="仿宋_GB2312"/>
                <w:szCs w:val="21"/>
              </w:rPr>
              <w:t>▲</w:t>
            </w:r>
            <w:r>
              <w:rPr>
                <w:rFonts w:hint="eastAsia"/>
                <w:bCs/>
              </w:rPr>
              <w:t>PLC全自动控制，带触摸屏，通过接收水温传感器传输的信号，启动或停止恒温机组，自动调控一二级反应器中的水体温度在设定范围内。同时集合到整个系统的中央处理器中，实现在中央控制系统中同时开展自动监控和调节</w:t>
            </w: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b/>
                <w:szCs w:val="21"/>
              </w:rPr>
              <w:t>20</w:t>
            </w:r>
          </w:p>
        </w:tc>
        <w:tc>
          <w:tcPr>
            <w:tcW w:w="300" w:type="pct"/>
            <w:vAlign w:val="center"/>
          </w:tcPr>
          <w:p>
            <w:pPr>
              <w:spacing w:line="440" w:lineRule="exact"/>
              <w:jc w:val="center"/>
              <w:rPr>
                <w:rFonts w:ascii="宋体" w:hAnsi="宋体" w:cs="宋体"/>
              </w:rPr>
            </w:pPr>
            <w:r>
              <w:rPr>
                <w:rFonts w:hint="eastAsia" w:ascii="宋体" w:hAnsi="宋体" w:cs="宋体"/>
              </w:rPr>
              <w:t>沉降罐</w:t>
            </w:r>
          </w:p>
        </w:tc>
        <w:tc>
          <w:tcPr>
            <w:tcW w:w="1121" w:type="pct"/>
            <w:vAlign w:val="center"/>
          </w:tcPr>
          <w:p>
            <w:pPr>
              <w:rPr>
                <w:rFonts w:ascii="宋体" w:hAnsi="宋体" w:cs="宋体"/>
                <w:sz w:val="18"/>
                <w:szCs w:val="18"/>
              </w:rPr>
            </w:pPr>
            <w:r>
              <w:rPr>
                <w:rFonts w:hint="eastAsia" w:ascii="仿宋_GB2312" w:eastAsia="仿宋_GB2312"/>
                <w:szCs w:val="21"/>
              </w:rPr>
              <w:t>▲</w:t>
            </w:r>
            <w:r>
              <w:rPr>
                <w:rFonts w:hint="eastAsia"/>
                <w:bCs/>
              </w:rPr>
              <w:t>食品级PP或不锈钢建造，圆柱体、底部锥体，带支撑，容量35-60T，承压≥5000kg/m</w:t>
            </w:r>
            <w:r>
              <w:rPr>
                <w:rFonts w:hint="eastAsia"/>
                <w:bCs/>
                <w:vertAlign w:val="superscript"/>
              </w:rPr>
              <w:t>2</w:t>
            </w:r>
            <w:r>
              <w:rPr>
                <w:rFonts w:hint="eastAsia"/>
                <w:bCs/>
              </w:rPr>
              <w:t>，高径比不超过1.65，不会出现倾覆、横移。带2-4个窥视窗，具低温保温设计，内部暗光，内部顶端带高压自动冲洗装置；下沉式安装（不超出养殖区地平面1.5米）</w:t>
            </w: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21</w:t>
            </w:r>
          </w:p>
        </w:tc>
        <w:tc>
          <w:tcPr>
            <w:tcW w:w="300" w:type="pct"/>
            <w:vAlign w:val="center"/>
          </w:tcPr>
          <w:p>
            <w:pPr>
              <w:spacing w:line="440" w:lineRule="exact"/>
              <w:jc w:val="center"/>
              <w:rPr>
                <w:rFonts w:ascii="宋体" w:hAnsi="宋体" w:cs="宋体"/>
              </w:rPr>
            </w:pPr>
            <w:r>
              <w:rPr>
                <w:rFonts w:hint="eastAsia" w:ascii="宋体" w:hAnsi="宋体" w:cs="宋体"/>
              </w:rPr>
              <w:t>废液池</w:t>
            </w:r>
          </w:p>
        </w:tc>
        <w:tc>
          <w:tcPr>
            <w:tcW w:w="1121" w:type="pct"/>
            <w:vAlign w:val="center"/>
          </w:tcPr>
          <w:p>
            <w:pPr>
              <w:rPr>
                <w:b/>
                <w:szCs w:val="21"/>
              </w:rPr>
            </w:pPr>
            <w:r>
              <w:rPr>
                <w:rFonts w:hint="eastAsia"/>
                <w:bCs/>
              </w:rPr>
              <w:t>水泥池，整池做防水处理，容量≥20T，形状不限，四周安装铁质（刷不锈漆）防护栏，防护栏高度≥1m</w:t>
            </w:r>
          </w:p>
        </w:tc>
        <w:tc>
          <w:tcPr>
            <w:tcW w:w="1125" w:type="pct"/>
            <w:vAlign w:val="center"/>
          </w:tcPr>
          <w:p>
            <w:pPr>
              <w:rPr>
                <w:rFonts w:hint="eastAsia"/>
                <w:bCs/>
              </w:rPr>
            </w:pPr>
          </w:p>
        </w:tc>
        <w:tc>
          <w:tcPr>
            <w:tcW w:w="1125" w:type="pct"/>
            <w:vAlign w:val="center"/>
          </w:tcPr>
          <w:p>
            <w:pPr>
              <w:rPr>
                <w:rFonts w:hint="eastAsia"/>
                <w:bCs/>
              </w:rPr>
            </w:pPr>
          </w:p>
        </w:tc>
        <w:tc>
          <w:tcPr>
            <w:tcW w:w="1125" w:type="pct"/>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2</w:t>
            </w:r>
            <w:r>
              <w:rPr>
                <w:b/>
                <w:szCs w:val="21"/>
              </w:rPr>
              <w:t>2</w:t>
            </w:r>
          </w:p>
        </w:tc>
        <w:tc>
          <w:tcPr>
            <w:tcW w:w="300" w:type="pct"/>
            <w:vAlign w:val="center"/>
          </w:tcPr>
          <w:p>
            <w:pPr>
              <w:spacing w:line="440" w:lineRule="exact"/>
              <w:jc w:val="center"/>
              <w:rPr>
                <w:rFonts w:ascii="宋体" w:hAnsi="宋体" w:cs="宋体"/>
              </w:rPr>
            </w:pPr>
            <w:r>
              <w:rPr>
                <w:rFonts w:hint="eastAsia" w:ascii="宋体" w:hAnsi="宋体" w:cs="宋体"/>
              </w:rPr>
              <w:t>冷库</w:t>
            </w:r>
          </w:p>
        </w:tc>
        <w:tc>
          <w:tcPr>
            <w:tcW w:w="1121" w:type="pct"/>
            <w:vAlign w:val="center"/>
          </w:tcPr>
          <w:p>
            <w:pPr>
              <w:rPr>
                <w:rFonts w:ascii="宋体" w:hAnsi="宋体" w:cs="宋体"/>
                <w:sz w:val="18"/>
                <w:szCs w:val="18"/>
              </w:rPr>
            </w:pPr>
            <w:r>
              <w:rPr>
                <w:rFonts w:hint="eastAsia" w:ascii="仿宋_GB2312" w:eastAsia="仿宋_GB2312"/>
                <w:szCs w:val="21"/>
              </w:rPr>
              <w:t>▲</w:t>
            </w:r>
            <w:r>
              <w:rPr>
                <w:rFonts w:hint="eastAsia"/>
                <w:bCs/>
              </w:rPr>
              <w:t>冷库规格不小于长宽高：6000*2400*2500mm，主机≥5HP，半封闭风冷机组，高效冷却，风机功率≥5Kw，库容≥35m</w:t>
            </w:r>
            <w:r>
              <w:rPr>
                <w:rFonts w:hint="eastAsia"/>
                <w:bCs/>
                <w:vertAlign w:val="superscript"/>
              </w:rPr>
              <w:t>3</w:t>
            </w:r>
            <w:r>
              <w:rPr>
                <w:rFonts w:hint="eastAsia"/>
                <w:bCs/>
              </w:rPr>
              <w:t xml:space="preserve"> ，制冷温度：-25℃范围内可调。主材采用厚度不低于0.5mm的304不锈钢板，保温板采用不低于100mm厚的聚氨酯保温板，库门不小于800*1800mm，双面不锈钢材质制成</w:t>
            </w: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2</w:t>
            </w:r>
            <w:r>
              <w:rPr>
                <w:b/>
                <w:szCs w:val="21"/>
              </w:rPr>
              <w:t>3</w:t>
            </w:r>
          </w:p>
        </w:tc>
        <w:tc>
          <w:tcPr>
            <w:tcW w:w="300" w:type="pct"/>
            <w:vAlign w:val="center"/>
          </w:tcPr>
          <w:p>
            <w:pPr>
              <w:spacing w:line="440" w:lineRule="exact"/>
              <w:jc w:val="center"/>
              <w:rPr>
                <w:rFonts w:ascii="宋体" w:hAnsi="宋体" w:cs="宋体"/>
              </w:rPr>
            </w:pPr>
            <w:r>
              <w:rPr>
                <w:rFonts w:hint="eastAsia" w:ascii="宋体" w:hAnsi="宋体" w:cs="宋体"/>
              </w:rPr>
              <w:t>排水渠</w:t>
            </w:r>
          </w:p>
        </w:tc>
        <w:tc>
          <w:tcPr>
            <w:tcW w:w="1121" w:type="pct"/>
            <w:vAlign w:val="center"/>
          </w:tcPr>
          <w:p>
            <w:pPr>
              <w:rPr>
                <w:b/>
                <w:szCs w:val="21"/>
              </w:rPr>
            </w:pPr>
            <w:r>
              <w:rPr>
                <w:rFonts w:hint="eastAsia"/>
                <w:b/>
                <w:szCs w:val="21"/>
              </w:rPr>
              <w:t>★</w:t>
            </w:r>
            <w:r>
              <w:rPr>
                <w:rFonts w:hint="eastAsia"/>
                <w:bCs/>
              </w:rPr>
              <w:t>整个场地做排水渠导流，达到及时排水，不会在表面局部积水的效果，排水渠长度不低于800m，以覆盖整个工作区为准，地面制造倾角，最低处向下开挖排水渠。反应器与地面接触位置以胶条或砂浆做封水处理，封水宽度不低于5cm，并于反应器离地高度50-100mm处制作斜面导流板，导流板与地面夹角45-50度</w:t>
            </w:r>
          </w:p>
        </w:tc>
        <w:tc>
          <w:tcPr>
            <w:tcW w:w="1125" w:type="pct"/>
            <w:vAlign w:val="center"/>
          </w:tcPr>
          <w:p>
            <w:pPr>
              <w:rPr>
                <w:rFonts w:hint="eastAsia"/>
                <w:b/>
                <w:szCs w:val="21"/>
              </w:rPr>
            </w:pPr>
          </w:p>
        </w:tc>
        <w:tc>
          <w:tcPr>
            <w:tcW w:w="1125" w:type="pct"/>
            <w:vAlign w:val="center"/>
          </w:tcPr>
          <w:p>
            <w:pPr>
              <w:rPr>
                <w:rFonts w:hint="eastAsia"/>
                <w:b/>
                <w:szCs w:val="21"/>
              </w:rPr>
            </w:pPr>
          </w:p>
        </w:tc>
        <w:tc>
          <w:tcPr>
            <w:tcW w:w="1125"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2</w:t>
            </w:r>
            <w:r>
              <w:rPr>
                <w:b/>
                <w:szCs w:val="21"/>
              </w:rPr>
              <w:t>4</w:t>
            </w:r>
          </w:p>
        </w:tc>
        <w:tc>
          <w:tcPr>
            <w:tcW w:w="300" w:type="pct"/>
            <w:vAlign w:val="center"/>
          </w:tcPr>
          <w:p>
            <w:pPr>
              <w:spacing w:line="440" w:lineRule="exact"/>
              <w:jc w:val="center"/>
              <w:rPr>
                <w:rFonts w:ascii="宋体" w:hAnsi="宋体" w:cs="宋体"/>
              </w:rPr>
            </w:pPr>
            <w:r>
              <w:rPr>
                <w:rFonts w:hint="eastAsia" w:ascii="宋体" w:hAnsi="宋体" w:cs="宋体"/>
              </w:rPr>
              <w:t>玻璃钢格栅</w:t>
            </w:r>
          </w:p>
        </w:tc>
        <w:tc>
          <w:tcPr>
            <w:tcW w:w="1121" w:type="pct"/>
            <w:vAlign w:val="center"/>
          </w:tcPr>
          <w:p>
            <w:pPr>
              <w:rPr>
                <w:b/>
                <w:szCs w:val="21"/>
              </w:rPr>
            </w:pPr>
            <w:r>
              <w:rPr>
                <w:rFonts w:hint="eastAsia" w:ascii="仿宋_GB2312" w:eastAsia="仿宋_GB2312"/>
                <w:szCs w:val="21"/>
              </w:rPr>
              <w:t>▲</w:t>
            </w:r>
            <w:r>
              <w:rPr>
                <w:rFonts w:hint="eastAsia"/>
                <w:bCs/>
              </w:rPr>
              <w:t>采用玻璃格栅铺设主通道，主通道宽80-120mm，玻璃钢格栅总使用面积≥1400m</w:t>
            </w:r>
            <w:r>
              <w:rPr>
                <w:rFonts w:hint="eastAsia"/>
                <w:bCs/>
                <w:vertAlign w:val="superscript"/>
              </w:rPr>
              <w:t>2</w:t>
            </w:r>
            <w:r>
              <w:rPr>
                <w:rFonts w:hint="eastAsia"/>
                <w:bCs/>
              </w:rPr>
              <w:t>，规格：厚度≥25mm，孔径≥1.2cm</w:t>
            </w: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2</w:t>
            </w:r>
            <w:r>
              <w:rPr>
                <w:b/>
                <w:szCs w:val="21"/>
              </w:rPr>
              <w:t>5</w:t>
            </w:r>
          </w:p>
        </w:tc>
        <w:tc>
          <w:tcPr>
            <w:tcW w:w="300" w:type="pct"/>
            <w:vAlign w:val="center"/>
          </w:tcPr>
          <w:p>
            <w:pPr>
              <w:spacing w:line="440" w:lineRule="exact"/>
              <w:jc w:val="center"/>
              <w:rPr>
                <w:rFonts w:ascii="宋体" w:hAnsi="宋体" w:cs="宋体"/>
              </w:rPr>
            </w:pPr>
            <w:r>
              <w:rPr>
                <w:rFonts w:hint="eastAsia" w:ascii="宋体" w:hAnsi="宋体" w:cs="宋体"/>
              </w:rPr>
              <w:t>塑胶格栅</w:t>
            </w:r>
          </w:p>
        </w:tc>
        <w:tc>
          <w:tcPr>
            <w:tcW w:w="1121" w:type="pct"/>
            <w:vAlign w:val="center"/>
          </w:tcPr>
          <w:p>
            <w:pPr>
              <w:rPr>
                <w:b/>
                <w:szCs w:val="21"/>
              </w:rPr>
            </w:pPr>
            <w:r>
              <w:rPr>
                <w:rFonts w:hint="eastAsia" w:ascii="仿宋_GB2312" w:eastAsia="仿宋_GB2312"/>
                <w:szCs w:val="21"/>
              </w:rPr>
              <w:t>▲</w:t>
            </w:r>
            <w:r>
              <w:rPr>
                <w:rFonts w:hint="eastAsia"/>
                <w:bCs/>
              </w:rPr>
              <w:t>除主通道外的剩余面积采用塑胶格栅铺设，塑胶格栅总使用面积≥1200m</w:t>
            </w:r>
            <w:r>
              <w:rPr>
                <w:rFonts w:hint="eastAsia"/>
                <w:bCs/>
                <w:vertAlign w:val="superscript"/>
              </w:rPr>
              <w:t>2</w:t>
            </w:r>
            <w:r>
              <w:rPr>
                <w:rFonts w:hint="eastAsia"/>
                <w:bCs/>
              </w:rPr>
              <w:t xml:space="preserve">，规格：厚度≥18mm，孔径≥1.2cm </w:t>
            </w: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c>
          <w:tcPr>
            <w:tcW w:w="1125" w:type="pct"/>
            <w:vAlign w:val="center"/>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01" w:type="pct"/>
            <w:vAlign w:val="center"/>
          </w:tcPr>
          <w:p>
            <w:pPr>
              <w:jc w:val="center"/>
              <w:rPr>
                <w:b/>
                <w:szCs w:val="21"/>
              </w:rPr>
            </w:pPr>
            <w:r>
              <w:rPr>
                <w:rFonts w:hint="eastAsia"/>
                <w:b/>
                <w:szCs w:val="21"/>
              </w:rPr>
              <w:t>2</w:t>
            </w:r>
            <w:r>
              <w:rPr>
                <w:b/>
                <w:szCs w:val="21"/>
              </w:rPr>
              <w:t>6</w:t>
            </w:r>
          </w:p>
        </w:tc>
        <w:tc>
          <w:tcPr>
            <w:tcW w:w="300" w:type="pct"/>
            <w:vAlign w:val="center"/>
          </w:tcPr>
          <w:p>
            <w:pPr>
              <w:spacing w:line="440" w:lineRule="exact"/>
              <w:jc w:val="center"/>
              <w:rPr>
                <w:rFonts w:ascii="宋体" w:hAnsi="宋体" w:cs="宋体"/>
              </w:rPr>
            </w:pPr>
            <w:r>
              <w:rPr>
                <w:rFonts w:hint="eastAsia" w:ascii="宋体" w:hAnsi="宋体" w:cs="宋体"/>
              </w:rPr>
              <w:t>地膜</w:t>
            </w:r>
          </w:p>
        </w:tc>
        <w:tc>
          <w:tcPr>
            <w:tcW w:w="1121" w:type="pct"/>
            <w:vAlign w:val="center"/>
          </w:tcPr>
          <w:p>
            <w:pPr>
              <w:rPr>
                <w:bCs/>
              </w:rPr>
            </w:pPr>
            <w:r>
              <w:rPr>
                <w:rFonts w:hint="eastAsia"/>
                <w:bCs/>
              </w:rPr>
              <w:t>辅助铺设地膜，规格≥90g，总用量3000-5000m</w:t>
            </w:r>
            <w:r>
              <w:rPr>
                <w:rFonts w:hint="eastAsia"/>
                <w:bCs/>
                <w:vertAlign w:val="superscript"/>
              </w:rPr>
              <w:t>2</w:t>
            </w:r>
          </w:p>
        </w:tc>
        <w:tc>
          <w:tcPr>
            <w:tcW w:w="1125" w:type="pct"/>
            <w:vAlign w:val="center"/>
          </w:tcPr>
          <w:p>
            <w:pPr>
              <w:rPr>
                <w:rFonts w:hint="eastAsia"/>
                <w:bCs/>
              </w:rPr>
            </w:pPr>
          </w:p>
        </w:tc>
        <w:tc>
          <w:tcPr>
            <w:tcW w:w="1125" w:type="pct"/>
            <w:vAlign w:val="center"/>
          </w:tcPr>
          <w:p>
            <w:pPr>
              <w:rPr>
                <w:rFonts w:hint="eastAsia"/>
                <w:bCs/>
              </w:rPr>
            </w:pPr>
          </w:p>
        </w:tc>
        <w:tc>
          <w:tcPr>
            <w:tcW w:w="1125" w:type="pct"/>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trPr>
        <w:tc>
          <w:tcPr>
            <w:tcW w:w="201" w:type="pct"/>
            <w:vAlign w:val="center"/>
          </w:tcPr>
          <w:p>
            <w:pPr>
              <w:jc w:val="center"/>
              <w:rPr>
                <w:b/>
                <w:szCs w:val="21"/>
              </w:rPr>
            </w:pPr>
            <w:r>
              <w:rPr>
                <w:rFonts w:hint="eastAsia"/>
                <w:b/>
                <w:szCs w:val="21"/>
              </w:rPr>
              <w:t>2</w:t>
            </w:r>
            <w:r>
              <w:rPr>
                <w:b/>
                <w:szCs w:val="21"/>
              </w:rPr>
              <w:t>7</w:t>
            </w:r>
          </w:p>
        </w:tc>
        <w:tc>
          <w:tcPr>
            <w:tcW w:w="300" w:type="pct"/>
            <w:vAlign w:val="center"/>
          </w:tcPr>
          <w:p>
            <w:pPr>
              <w:spacing w:line="440" w:lineRule="exact"/>
              <w:jc w:val="center"/>
              <w:rPr>
                <w:rFonts w:ascii="宋体" w:hAnsi="宋体" w:cs="宋体"/>
              </w:rPr>
            </w:pPr>
            <w:r>
              <w:rPr>
                <w:rFonts w:hint="eastAsia" w:ascii="宋体" w:hAnsi="宋体" w:cs="宋体"/>
              </w:rPr>
              <w:t>传感器</w:t>
            </w:r>
          </w:p>
          <w:p>
            <w:pPr>
              <w:spacing w:line="440" w:lineRule="exact"/>
              <w:jc w:val="center"/>
              <w:rPr>
                <w:rFonts w:ascii="宋体" w:hAnsi="宋体" w:cs="宋体"/>
              </w:rPr>
            </w:pPr>
          </w:p>
        </w:tc>
        <w:tc>
          <w:tcPr>
            <w:tcW w:w="1121" w:type="pct"/>
            <w:vAlign w:val="center"/>
          </w:tcPr>
          <w:p>
            <w:pPr>
              <w:rPr>
                <w:bCs/>
              </w:rPr>
            </w:pPr>
            <w:r>
              <w:rPr>
                <w:rFonts w:hint="eastAsia"/>
                <w:b/>
                <w:szCs w:val="21"/>
              </w:rPr>
              <w:t>★</w:t>
            </w:r>
            <w:r>
              <w:rPr>
                <w:rFonts w:hint="eastAsia" w:ascii="宋体" w:hAnsi="宋体" w:cs="宋体"/>
              </w:rPr>
              <w:t>系统内传感器类型</w:t>
            </w:r>
            <w:r>
              <w:rPr>
                <w:rFonts w:hint="eastAsia"/>
                <w:bCs/>
              </w:rPr>
              <w:t>≥12种，名称和技术参数分别为：</w:t>
            </w:r>
            <w:r>
              <w:rPr>
                <w:rFonts w:hint="eastAsia" w:ascii="宋体" w:hAnsi="宋体" w:cs="宋体"/>
              </w:rPr>
              <w:t>PH传感器（</w:t>
            </w:r>
            <w:r>
              <w:rPr>
                <w:rFonts w:hint="eastAsia"/>
                <w:bCs/>
              </w:rPr>
              <w:t>量程0-14，分辨率0.1，精度±0.1）、</w:t>
            </w:r>
            <w:r>
              <w:rPr>
                <w:rFonts w:ascii="宋体" w:hAnsi="宋体" w:cs="宋体"/>
              </w:rPr>
              <w:t>液位开关</w:t>
            </w:r>
            <w:r>
              <w:rPr>
                <w:rFonts w:hint="eastAsia" w:ascii="宋体" w:hAnsi="宋体" w:cs="宋体"/>
              </w:rPr>
              <w:t>（</w:t>
            </w:r>
            <w:r>
              <w:rPr>
                <w:rFonts w:hint="eastAsia"/>
                <w:bCs/>
              </w:rPr>
              <w:t>防</w:t>
            </w:r>
            <w:r>
              <w:rPr>
                <w:bCs/>
              </w:rPr>
              <w:t>护等级IP68，开关角度±45°，最大深度1BAR</w:t>
            </w:r>
            <w:r>
              <w:rPr>
                <w:rFonts w:hint="eastAsia"/>
                <w:bCs/>
              </w:rPr>
              <w:t>）、</w:t>
            </w:r>
            <w:r>
              <w:rPr>
                <w:rFonts w:ascii="宋体" w:hAnsi="宋体" w:cs="宋体"/>
              </w:rPr>
              <w:t>溶解氧</w:t>
            </w:r>
            <w:r>
              <w:rPr>
                <w:rFonts w:hint="eastAsia" w:ascii="宋体" w:hAnsi="宋体" w:cs="宋体"/>
              </w:rPr>
              <w:t>传感器（</w:t>
            </w:r>
            <w:r>
              <w:rPr>
                <w:rFonts w:hint="eastAsia"/>
                <w:bCs/>
              </w:rPr>
              <w:t>量程0-20mg/L，精度±3%，荧光法测量原理）、</w:t>
            </w:r>
            <w:r>
              <w:rPr>
                <w:rFonts w:ascii="宋体" w:hAnsi="宋体" w:cs="宋体"/>
              </w:rPr>
              <w:t>雨量传感器</w:t>
            </w:r>
            <w:r>
              <w:rPr>
                <w:rFonts w:hint="eastAsia" w:ascii="宋体" w:hAnsi="宋体" w:cs="宋体"/>
              </w:rPr>
              <w:t>（</w:t>
            </w:r>
            <w:r>
              <w:rPr>
                <w:bCs/>
              </w:rPr>
              <w:t>量程0-999.9mm，准确度±4%，分辩率0.2mm</w:t>
            </w:r>
            <w:r>
              <w:rPr>
                <w:rFonts w:hint="eastAsia"/>
                <w:bCs/>
              </w:rPr>
              <w:t>，</w:t>
            </w:r>
            <w:r>
              <w:rPr>
                <w:bCs/>
              </w:rPr>
              <w:t>降雨强度</w:t>
            </w:r>
            <w:r>
              <w:rPr>
                <w:rFonts w:hint="eastAsia"/>
                <w:bCs/>
              </w:rPr>
              <w:t>≤4mm/min（允许通过8mm/min））、</w:t>
            </w:r>
            <w:r>
              <w:rPr>
                <w:rFonts w:hint="eastAsia" w:ascii="宋体" w:hAnsi="宋体" w:cs="宋体"/>
              </w:rPr>
              <w:t>气</w:t>
            </w:r>
            <w:r>
              <w:rPr>
                <w:rFonts w:ascii="宋体" w:hAnsi="宋体" w:cs="宋体"/>
              </w:rPr>
              <w:t>温</w:t>
            </w:r>
            <w:r>
              <w:rPr>
                <w:rFonts w:hint="eastAsia" w:ascii="宋体" w:hAnsi="宋体" w:cs="宋体"/>
              </w:rPr>
              <w:t>探测器（</w:t>
            </w:r>
            <w:r>
              <w:rPr>
                <w:bCs/>
              </w:rPr>
              <w:t>量程</w:t>
            </w:r>
            <w:r>
              <w:rPr>
                <w:rFonts w:hint="eastAsia"/>
                <w:bCs/>
              </w:rPr>
              <w:t xml:space="preserve"> </w:t>
            </w:r>
            <w:r>
              <w:rPr>
                <w:bCs/>
              </w:rPr>
              <w:t>-50～100℃，准确度±0.5℃，分辨率0.1℃</w:t>
            </w:r>
            <w:r>
              <w:rPr>
                <w:rFonts w:hint="eastAsia"/>
                <w:bCs/>
              </w:rPr>
              <w:t>）、</w:t>
            </w:r>
            <w:r>
              <w:rPr>
                <w:rFonts w:ascii="宋体" w:hAnsi="宋体" w:cs="宋体"/>
              </w:rPr>
              <w:t>湿度传感器</w:t>
            </w:r>
            <w:r>
              <w:rPr>
                <w:rFonts w:hint="eastAsia" w:ascii="宋体" w:hAnsi="宋体" w:cs="宋体"/>
              </w:rPr>
              <w:t>（</w:t>
            </w:r>
            <w:r>
              <w:rPr>
                <w:bCs/>
              </w:rPr>
              <w:t>0～100%</w:t>
            </w:r>
            <w:r>
              <w:rPr>
                <w:rFonts w:hint="eastAsia"/>
                <w:bCs/>
              </w:rPr>
              <w:t xml:space="preserve"> </w:t>
            </w:r>
            <w:r>
              <w:rPr>
                <w:bCs/>
              </w:rPr>
              <w:t xml:space="preserve">RH，准确度±3%，分辨率0.1% </w:t>
            </w:r>
            <w:r>
              <w:rPr>
                <w:rFonts w:hint="eastAsia"/>
                <w:bCs/>
              </w:rPr>
              <w:t>）、</w:t>
            </w:r>
            <w:r>
              <w:rPr>
                <w:rFonts w:ascii="宋体" w:hAnsi="宋体" w:cs="宋体"/>
              </w:rPr>
              <w:t>流量传感器</w:t>
            </w:r>
            <w:r>
              <w:rPr>
                <w:rFonts w:hint="eastAsia" w:ascii="宋体" w:hAnsi="宋体" w:cs="宋体"/>
              </w:rPr>
              <w:t>（</w:t>
            </w:r>
            <w:r>
              <w:rPr>
                <w:bCs/>
              </w:rPr>
              <w:t>DWM2000 24VDC</w:t>
            </w:r>
            <w:r>
              <w:rPr>
                <w:rFonts w:hint="eastAsia"/>
                <w:bCs/>
              </w:rPr>
              <w:t>，</w:t>
            </w:r>
            <w:r>
              <w:rPr>
                <w:bCs/>
              </w:rPr>
              <w:t>4-20mA输出</w:t>
            </w:r>
            <w:r>
              <w:rPr>
                <w:rFonts w:hint="eastAsia"/>
                <w:bCs/>
              </w:rPr>
              <w:t>）、</w:t>
            </w:r>
            <w:r>
              <w:rPr>
                <w:rFonts w:ascii="宋体" w:hAnsi="宋体" w:cs="宋体"/>
              </w:rPr>
              <w:t>气象检测终端</w:t>
            </w:r>
            <w:r>
              <w:rPr>
                <w:rFonts w:hint="eastAsia" w:ascii="宋体" w:hAnsi="宋体" w:cs="宋体"/>
              </w:rPr>
              <w:t>（</w:t>
            </w:r>
            <w:r>
              <w:rPr>
                <w:bCs/>
              </w:rPr>
              <w:t>PM2.5</w:t>
            </w:r>
            <w:r>
              <w:rPr>
                <w:rFonts w:hint="eastAsia"/>
                <w:bCs/>
              </w:rPr>
              <w:t>、</w:t>
            </w:r>
            <w:r>
              <w:rPr>
                <w:bCs/>
              </w:rPr>
              <w:t>PM10</w:t>
            </w:r>
            <w:r>
              <w:rPr>
                <w:rFonts w:hint="eastAsia"/>
                <w:bCs/>
              </w:rPr>
              <w:t>，</w:t>
            </w:r>
            <w:r>
              <w:rPr>
                <w:bCs/>
              </w:rPr>
              <w:t>量程0～500ug/m</w:t>
            </w:r>
            <w:r>
              <w:rPr>
                <w:bCs/>
                <w:vertAlign w:val="superscript"/>
              </w:rPr>
              <w:t>3</w:t>
            </w:r>
            <w:r>
              <w:rPr>
                <w:rFonts w:hint="eastAsia"/>
                <w:bCs/>
              </w:rPr>
              <w:t>，</w:t>
            </w:r>
            <w:r>
              <w:rPr>
                <w:bCs/>
              </w:rPr>
              <w:t>计数准确率50%@0.3um、98%@≥0.5um；称准体积0.1L；响应时间≤10s</w:t>
            </w:r>
            <w:r>
              <w:rPr>
                <w:rFonts w:hint="eastAsia"/>
                <w:bCs/>
              </w:rPr>
              <w:t>)、</w:t>
            </w:r>
            <w:r>
              <w:rPr>
                <w:rFonts w:ascii="宋体" w:hAnsi="宋体" w:cs="宋体"/>
              </w:rPr>
              <w:t>电导率</w:t>
            </w:r>
            <w:r>
              <w:rPr>
                <w:rFonts w:hint="eastAsia" w:ascii="宋体" w:hAnsi="宋体" w:cs="宋体"/>
              </w:rPr>
              <w:t>传感器（</w:t>
            </w:r>
            <w:r>
              <w:rPr>
                <w:bCs/>
              </w:rPr>
              <w:t>量程0～2000μS/cm</w:t>
            </w:r>
            <w:r>
              <w:rPr>
                <w:rFonts w:hint="eastAsia"/>
                <w:bCs/>
              </w:rPr>
              <w:t>，</w:t>
            </w:r>
            <w:r>
              <w:rPr>
                <w:bCs/>
              </w:rPr>
              <w:t>分辨率1μS/cm</w:t>
            </w:r>
            <w:r>
              <w:rPr>
                <w:rFonts w:hint="eastAsia"/>
                <w:bCs/>
              </w:rPr>
              <w:t>，</w:t>
            </w:r>
            <w:r>
              <w:rPr>
                <w:bCs/>
              </w:rPr>
              <w:t>精度±1.5%</w:t>
            </w:r>
            <w:r>
              <w:rPr>
                <w:rFonts w:hint="eastAsia"/>
                <w:bCs/>
              </w:rPr>
              <w:t xml:space="preserve"> </w:t>
            </w:r>
            <w:r>
              <w:rPr>
                <w:bCs/>
              </w:rPr>
              <w:t>F.S.</w:t>
            </w:r>
            <w:r>
              <w:rPr>
                <w:rFonts w:hint="eastAsia"/>
                <w:bCs/>
              </w:rPr>
              <w:t>）、</w:t>
            </w:r>
          </w:p>
          <w:p>
            <w:pPr>
              <w:rPr>
                <w:bCs/>
              </w:rPr>
            </w:pPr>
            <w:r>
              <w:rPr>
                <w:rFonts w:ascii="宋体" w:hAnsi="宋体" w:cs="宋体"/>
              </w:rPr>
              <w:t>浊度</w:t>
            </w:r>
            <w:r>
              <w:rPr>
                <w:rFonts w:hint="eastAsia" w:ascii="宋体" w:hAnsi="宋体" w:cs="宋体"/>
              </w:rPr>
              <w:t>传感器（</w:t>
            </w:r>
            <w:r>
              <w:rPr>
                <w:bCs/>
              </w:rPr>
              <w:t>量程0～200</w:t>
            </w:r>
            <w:r>
              <w:rPr>
                <w:rFonts w:hint="eastAsia"/>
                <w:bCs/>
              </w:rPr>
              <w:t>0</w:t>
            </w:r>
            <w:r>
              <w:rPr>
                <w:bCs/>
              </w:rPr>
              <w:t>NTU</w:t>
            </w:r>
            <w:r>
              <w:rPr>
                <w:rFonts w:hint="eastAsia"/>
                <w:bCs/>
              </w:rPr>
              <w:t>，</w:t>
            </w:r>
            <w:r>
              <w:rPr>
                <w:bCs/>
              </w:rPr>
              <w:t>分辨率0.1NTU，0.1℃ 精度±5%或±3NTU/±3%或±2NTU ±0.5℃</w:t>
            </w:r>
            <w:r>
              <w:rPr>
                <w:rFonts w:hint="eastAsia"/>
                <w:bCs/>
              </w:rPr>
              <w:t>）、</w:t>
            </w:r>
            <w:r>
              <w:rPr>
                <w:rFonts w:hint="eastAsia" w:ascii="宋体" w:hAnsi="宋体" w:cs="宋体"/>
              </w:rPr>
              <w:t>光照传感器（</w:t>
            </w:r>
            <w:r>
              <w:rPr>
                <w:rFonts w:hint="eastAsia"/>
                <w:bCs/>
              </w:rPr>
              <w:t>量</w:t>
            </w:r>
            <w:r>
              <w:rPr>
                <w:bCs/>
              </w:rPr>
              <w:t>程0-20000mW/cm</w:t>
            </w:r>
            <w:r>
              <w:rPr>
                <w:bCs/>
                <w:vertAlign w:val="superscript"/>
              </w:rPr>
              <w:t>2</w:t>
            </w:r>
            <w:r>
              <w:rPr>
                <w:rFonts w:hint="eastAsia"/>
                <w:bCs/>
              </w:rPr>
              <w:t>，</w:t>
            </w:r>
            <w:r>
              <w:rPr>
                <w:bCs/>
              </w:rPr>
              <w:t>测量精度±10 %</w:t>
            </w:r>
            <w:r>
              <w:rPr>
                <w:rFonts w:hint="eastAsia"/>
                <w:bCs/>
              </w:rPr>
              <w:t>，</w:t>
            </w:r>
            <w:r>
              <w:rPr>
                <w:bCs/>
              </w:rPr>
              <w:t>分辨率0.1 mW/cm</w:t>
            </w:r>
            <w:r>
              <w:rPr>
                <w:bCs/>
                <w:vertAlign w:val="superscript"/>
              </w:rPr>
              <w:t>2</w:t>
            </w:r>
            <w:r>
              <w:rPr>
                <w:rFonts w:hint="eastAsia"/>
                <w:bCs/>
              </w:rPr>
              <w:t>，</w:t>
            </w:r>
            <w:r>
              <w:rPr>
                <w:bCs/>
              </w:rPr>
              <w:t>测试光孔直:9.2mm</w:t>
            </w:r>
            <w:r>
              <w:rPr>
                <w:rFonts w:hint="eastAsia"/>
                <w:bCs/>
              </w:rPr>
              <w:t>，</w:t>
            </w:r>
            <w:r>
              <w:rPr>
                <w:bCs/>
              </w:rPr>
              <w:t>光谱响应340nm-420nm</w:t>
            </w:r>
            <w:r>
              <w:rPr>
                <w:rFonts w:hint="eastAsia"/>
                <w:bCs/>
              </w:rPr>
              <w:t>，</w:t>
            </w:r>
            <w:r>
              <w:rPr>
                <w:bCs/>
              </w:rPr>
              <w:t>λp=365nm</w:t>
            </w:r>
            <w:r>
              <w:rPr>
                <w:rFonts w:hint="eastAsia"/>
                <w:bCs/>
              </w:rPr>
              <w:t>，</w:t>
            </w:r>
            <w:r>
              <w:rPr>
                <w:bCs/>
              </w:rPr>
              <w:t>能量测量范围0-999999mJ/cm</w:t>
            </w:r>
            <w:r>
              <w:rPr>
                <w:bCs/>
                <w:vertAlign w:val="superscript"/>
              </w:rPr>
              <w:t>2</w:t>
            </w:r>
            <w:r>
              <w:rPr>
                <w:rFonts w:hint="eastAsia"/>
                <w:bCs/>
              </w:rPr>
              <w:t>）、</w:t>
            </w:r>
            <w:r>
              <w:rPr>
                <w:rFonts w:hint="eastAsia" w:ascii="宋体" w:hAnsi="宋体" w:cs="宋体"/>
              </w:rPr>
              <w:t>叶绿素传感器（</w:t>
            </w:r>
            <w:r>
              <w:rPr>
                <w:rFonts w:hint="eastAsia"/>
                <w:bCs/>
              </w:rPr>
              <w:t>量程0-400μg/L,精度</w:t>
            </w:r>
            <w:r>
              <w:rPr>
                <w:bCs/>
              </w:rPr>
              <w:t>±</w:t>
            </w:r>
            <w:r>
              <w:rPr>
                <w:rFonts w:hint="eastAsia"/>
                <w:bCs/>
              </w:rPr>
              <w:t>5%，分辨率0.1μg/L）</w:t>
            </w:r>
          </w:p>
        </w:tc>
        <w:tc>
          <w:tcPr>
            <w:tcW w:w="1125" w:type="pct"/>
            <w:vAlign w:val="center"/>
          </w:tcPr>
          <w:p>
            <w:pPr>
              <w:rPr>
                <w:rFonts w:ascii="宋体" w:hAnsi="宋体" w:cs="宋体"/>
              </w:rPr>
            </w:pPr>
          </w:p>
        </w:tc>
        <w:tc>
          <w:tcPr>
            <w:tcW w:w="1125" w:type="pct"/>
            <w:vAlign w:val="center"/>
          </w:tcPr>
          <w:p>
            <w:pPr>
              <w:rPr>
                <w:rFonts w:ascii="宋体" w:hAnsi="宋体" w:cs="宋体"/>
              </w:rPr>
            </w:pPr>
          </w:p>
        </w:tc>
        <w:tc>
          <w:tcPr>
            <w:tcW w:w="1125" w:type="pct"/>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2</w:t>
            </w:r>
            <w:r>
              <w:rPr>
                <w:b/>
                <w:szCs w:val="21"/>
              </w:rPr>
              <w:t>8</w:t>
            </w:r>
          </w:p>
        </w:tc>
        <w:tc>
          <w:tcPr>
            <w:tcW w:w="300" w:type="pct"/>
            <w:vAlign w:val="center"/>
          </w:tcPr>
          <w:p>
            <w:pPr>
              <w:spacing w:line="440" w:lineRule="exact"/>
              <w:jc w:val="center"/>
              <w:rPr>
                <w:rFonts w:ascii="宋体" w:hAnsi="宋体" w:cs="宋体"/>
              </w:rPr>
            </w:pPr>
            <w:r>
              <w:rPr>
                <w:rFonts w:hint="eastAsia" w:ascii="宋体" w:hAnsi="宋体" w:cs="宋体"/>
              </w:rPr>
              <w:t>数据采集仪</w:t>
            </w:r>
          </w:p>
        </w:tc>
        <w:tc>
          <w:tcPr>
            <w:tcW w:w="1121" w:type="pct"/>
            <w:vAlign w:val="center"/>
          </w:tcPr>
          <w:p>
            <w:pPr>
              <w:rPr>
                <w:rFonts w:ascii="宋体" w:hAnsi="宋体"/>
                <w:sz w:val="18"/>
                <w:szCs w:val="18"/>
              </w:rPr>
            </w:pPr>
            <w:r>
              <w:rPr>
                <w:rFonts w:hint="eastAsia"/>
                <w:bCs/>
              </w:rPr>
              <w:t>★</w:t>
            </w:r>
            <w:r>
              <w:rPr>
                <w:bCs/>
              </w:rPr>
              <w:t>一体式无人值守采集器</w:t>
            </w:r>
            <w:r>
              <w:rPr>
                <w:rFonts w:hint="eastAsia"/>
                <w:bCs/>
              </w:rPr>
              <w:t>，具数据采集、自动控制输出、数据上传、报警输出、自定义逻辑计算功能，</w:t>
            </w:r>
            <w:r>
              <w:rPr>
                <w:bCs/>
              </w:rPr>
              <w:t>开放式通讯协议,</w:t>
            </w:r>
            <w:r>
              <w:rPr>
                <w:rFonts w:hint="eastAsia"/>
                <w:bCs/>
              </w:rPr>
              <w:t>可进行RS232/RS485/USB通信；可扩展 CAN总线通信接口；支持现场和远程操作，支持手机、IPAD、电脑同时控制及编程；支持Modbus协议，支持物联网通讯协议。</w:t>
            </w:r>
            <w:r>
              <w:rPr>
                <w:bCs/>
              </w:rPr>
              <w:t>内核</w:t>
            </w:r>
            <w:r>
              <w:rPr>
                <w:rFonts w:hint="eastAsia"/>
                <w:bCs/>
              </w:rPr>
              <w:t>配置高于</w:t>
            </w:r>
            <w:r>
              <w:rPr>
                <w:bCs/>
              </w:rPr>
              <w:t>ARM 32位Cortex-M3 CPU</w:t>
            </w:r>
            <w:r>
              <w:rPr>
                <w:rFonts w:hint="eastAsia"/>
                <w:bCs/>
              </w:rPr>
              <w:t>，FLASH容量≥4M bits，</w:t>
            </w:r>
            <w:r>
              <w:rPr>
                <w:bCs/>
              </w:rPr>
              <w:t>模拟/计数通道：16路，可扩展32路</w:t>
            </w:r>
            <w:r>
              <w:rPr>
                <w:rFonts w:hint="eastAsia"/>
                <w:bCs/>
              </w:rPr>
              <w:t>，</w:t>
            </w:r>
            <w:r>
              <w:rPr>
                <w:bCs/>
              </w:rPr>
              <w:t>可扩展USB接口</w:t>
            </w:r>
            <w:r>
              <w:rPr>
                <w:rFonts w:hint="eastAsia"/>
                <w:bCs/>
              </w:rPr>
              <w:t>，模拟量A/D转换精度12位，</w:t>
            </w:r>
            <w:r>
              <w:rPr>
                <w:bCs/>
              </w:rPr>
              <w:t>系统时钟：72MHz</w:t>
            </w:r>
            <w:r>
              <w:rPr>
                <w:rFonts w:hint="eastAsia"/>
                <w:bCs/>
              </w:rPr>
              <w:t>，</w:t>
            </w:r>
            <w:r>
              <w:rPr>
                <w:bCs/>
              </w:rPr>
              <w:t>指令执行速度</w:t>
            </w:r>
            <w:r>
              <w:rPr>
                <w:rFonts w:hint="eastAsia"/>
                <w:bCs/>
              </w:rPr>
              <w:t>≥</w:t>
            </w:r>
            <w:r>
              <w:rPr>
                <w:bCs/>
              </w:rPr>
              <w:t>1.25Dmips/MHz</w:t>
            </w:r>
            <w:r>
              <w:rPr>
                <w:rFonts w:hint="eastAsia"/>
                <w:bCs/>
              </w:rPr>
              <w:t>，</w:t>
            </w:r>
            <w:r>
              <w:rPr>
                <w:bCs/>
              </w:rPr>
              <w:t>采样频率：0.5s/次</w:t>
            </w:r>
            <w:r>
              <w:rPr>
                <w:rFonts w:hint="eastAsia"/>
                <w:bCs/>
              </w:rPr>
              <w:t>，</w:t>
            </w:r>
            <w:r>
              <w:rPr>
                <w:bCs/>
              </w:rPr>
              <w:t>具看门狗电路，自动复位，掉电采用电池供电</w:t>
            </w:r>
          </w:p>
        </w:tc>
        <w:tc>
          <w:tcPr>
            <w:tcW w:w="1125" w:type="pct"/>
            <w:vAlign w:val="center"/>
          </w:tcPr>
          <w:p>
            <w:pPr>
              <w:rPr>
                <w:rFonts w:hint="eastAsia"/>
                <w:bCs/>
              </w:rPr>
            </w:pPr>
          </w:p>
        </w:tc>
        <w:tc>
          <w:tcPr>
            <w:tcW w:w="1125" w:type="pct"/>
            <w:vAlign w:val="center"/>
          </w:tcPr>
          <w:p>
            <w:pPr>
              <w:rPr>
                <w:rFonts w:hint="eastAsia"/>
                <w:bCs/>
              </w:rPr>
            </w:pPr>
          </w:p>
        </w:tc>
        <w:tc>
          <w:tcPr>
            <w:tcW w:w="1125" w:type="pct"/>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b/>
                <w:szCs w:val="21"/>
              </w:rPr>
              <w:t>29</w:t>
            </w:r>
          </w:p>
        </w:tc>
        <w:tc>
          <w:tcPr>
            <w:tcW w:w="300" w:type="pct"/>
            <w:vAlign w:val="center"/>
          </w:tcPr>
          <w:p>
            <w:pPr>
              <w:spacing w:line="440" w:lineRule="exact"/>
              <w:jc w:val="center"/>
              <w:rPr>
                <w:rFonts w:ascii="宋体" w:hAnsi="宋体" w:cs="宋体"/>
              </w:rPr>
            </w:pPr>
            <w:r>
              <w:rPr>
                <w:rFonts w:hint="eastAsia" w:ascii="宋体" w:hAnsi="宋体" w:cs="宋体"/>
              </w:rPr>
              <w:t>通讯模块</w:t>
            </w:r>
          </w:p>
        </w:tc>
        <w:tc>
          <w:tcPr>
            <w:tcW w:w="1121" w:type="pct"/>
            <w:vAlign w:val="center"/>
          </w:tcPr>
          <w:p>
            <w:pPr>
              <w:rPr>
                <w:rFonts w:ascii="宋体" w:hAnsi="宋体" w:cs="宋体"/>
                <w:sz w:val="18"/>
                <w:szCs w:val="18"/>
              </w:rPr>
            </w:pPr>
            <w:r>
              <w:rPr>
                <w:rFonts w:hint="eastAsia"/>
                <w:bCs/>
              </w:rPr>
              <w:t xml:space="preserve">★数据处理、反馈控制，包括恒温系统运行、反应器内部养殖参数调节、水电气管网系统工作以及场区环境在内的所有数据的采集和处理整合到一个终端，并对各部分进行反馈调控  </w:t>
            </w:r>
          </w:p>
        </w:tc>
        <w:tc>
          <w:tcPr>
            <w:tcW w:w="1125" w:type="pct"/>
            <w:vAlign w:val="center"/>
          </w:tcPr>
          <w:p>
            <w:pPr>
              <w:rPr>
                <w:rFonts w:hint="eastAsia"/>
                <w:bCs/>
              </w:rPr>
            </w:pPr>
          </w:p>
        </w:tc>
        <w:tc>
          <w:tcPr>
            <w:tcW w:w="1125" w:type="pct"/>
            <w:vAlign w:val="center"/>
          </w:tcPr>
          <w:p>
            <w:pPr>
              <w:rPr>
                <w:rFonts w:hint="eastAsia"/>
                <w:bCs/>
              </w:rPr>
            </w:pPr>
          </w:p>
        </w:tc>
        <w:tc>
          <w:tcPr>
            <w:tcW w:w="1125" w:type="pct"/>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3</w:t>
            </w:r>
            <w:r>
              <w:rPr>
                <w:b/>
                <w:szCs w:val="21"/>
              </w:rPr>
              <w:t>0</w:t>
            </w:r>
          </w:p>
        </w:tc>
        <w:tc>
          <w:tcPr>
            <w:tcW w:w="300" w:type="pct"/>
            <w:vAlign w:val="center"/>
          </w:tcPr>
          <w:p>
            <w:pPr>
              <w:spacing w:line="440" w:lineRule="exact"/>
              <w:jc w:val="center"/>
              <w:rPr>
                <w:rFonts w:ascii="宋体" w:hAnsi="宋体" w:cs="宋体"/>
              </w:rPr>
            </w:pPr>
            <w:r>
              <w:rPr>
                <w:rFonts w:hint="eastAsia" w:ascii="宋体" w:hAnsi="宋体" w:cs="宋体"/>
              </w:rPr>
              <w:t>处理器和显示屏</w:t>
            </w:r>
          </w:p>
        </w:tc>
        <w:tc>
          <w:tcPr>
            <w:tcW w:w="1121" w:type="pct"/>
            <w:vAlign w:val="center"/>
          </w:tcPr>
          <w:p>
            <w:pPr>
              <w:rPr>
                <w:bCs/>
              </w:rPr>
            </w:pPr>
            <w:r>
              <w:rPr>
                <w:rFonts w:hint="eastAsia" w:ascii="仿宋_GB2312" w:eastAsia="仿宋_GB2312"/>
                <w:szCs w:val="21"/>
              </w:rPr>
              <w:t>▲</w:t>
            </w:r>
            <w:r>
              <w:rPr>
                <w:rFonts w:hint="eastAsia"/>
                <w:bCs/>
              </w:rPr>
              <w:t>服务器CPU≥2.5GHz、八核，内存≥32G，处理器不低于11代Intel，硬盘1T（2个）+512G固态，显示器23英寸，独立显卡4GB，分辨率1920*1080；</w:t>
            </w:r>
          </w:p>
          <w:p>
            <w:pPr>
              <w:rPr>
                <w:rFonts w:ascii="宋体" w:hAnsi="宋体" w:cs="宋体"/>
                <w:sz w:val="18"/>
                <w:szCs w:val="18"/>
              </w:rPr>
            </w:pPr>
            <w:r>
              <w:rPr>
                <w:rFonts w:hint="eastAsia"/>
                <w:bCs/>
              </w:rPr>
              <w:t>显示屏≥55寸，分辨率：1920*1080，色域：72%NTSC，响应速度：4ms，视频接口：VGA+DVI</w:t>
            </w:r>
          </w:p>
        </w:tc>
        <w:tc>
          <w:tcPr>
            <w:tcW w:w="1125" w:type="pct"/>
            <w:vAlign w:val="center"/>
          </w:tcPr>
          <w:p>
            <w:pPr>
              <w:rPr>
                <w:rFonts w:hint="eastAsia"/>
                <w:bCs/>
              </w:rPr>
            </w:pPr>
          </w:p>
        </w:tc>
        <w:tc>
          <w:tcPr>
            <w:tcW w:w="1125" w:type="pct"/>
            <w:vAlign w:val="center"/>
          </w:tcPr>
          <w:p>
            <w:pPr>
              <w:rPr>
                <w:rFonts w:hint="eastAsia"/>
                <w:bCs/>
              </w:rPr>
            </w:pPr>
          </w:p>
        </w:tc>
        <w:tc>
          <w:tcPr>
            <w:tcW w:w="1125" w:type="pct"/>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 w:type="pct"/>
            <w:vAlign w:val="center"/>
          </w:tcPr>
          <w:p>
            <w:pPr>
              <w:jc w:val="center"/>
              <w:rPr>
                <w:b/>
                <w:szCs w:val="21"/>
              </w:rPr>
            </w:pPr>
            <w:r>
              <w:rPr>
                <w:rFonts w:hint="eastAsia"/>
                <w:b/>
                <w:szCs w:val="21"/>
              </w:rPr>
              <w:t>3</w:t>
            </w:r>
            <w:r>
              <w:rPr>
                <w:b/>
                <w:szCs w:val="21"/>
              </w:rPr>
              <w:t>1</w:t>
            </w:r>
          </w:p>
        </w:tc>
        <w:tc>
          <w:tcPr>
            <w:tcW w:w="300" w:type="pct"/>
            <w:vAlign w:val="center"/>
          </w:tcPr>
          <w:p>
            <w:pPr>
              <w:spacing w:line="440" w:lineRule="exact"/>
              <w:jc w:val="center"/>
              <w:rPr>
                <w:rFonts w:ascii="宋体" w:hAnsi="宋体" w:cs="宋体"/>
              </w:rPr>
            </w:pPr>
            <w:r>
              <w:rPr>
                <w:rFonts w:hint="eastAsia" w:ascii="宋体" w:hAnsi="宋体" w:cs="宋体"/>
              </w:rPr>
              <w:t>防护装置</w:t>
            </w:r>
          </w:p>
        </w:tc>
        <w:tc>
          <w:tcPr>
            <w:tcW w:w="1121" w:type="pct"/>
            <w:vAlign w:val="center"/>
          </w:tcPr>
          <w:p>
            <w:pPr>
              <w:spacing w:line="440" w:lineRule="exact"/>
              <w:jc w:val="left"/>
              <w:rPr>
                <w:rFonts w:ascii="宋体" w:hAnsi="宋体" w:cs="宋体"/>
                <w:sz w:val="18"/>
                <w:szCs w:val="18"/>
              </w:rPr>
            </w:pPr>
            <w:r>
              <w:rPr>
                <w:rFonts w:hint="eastAsia"/>
                <w:bCs/>
              </w:rPr>
              <w:t>安全运行、防雷设施</w:t>
            </w:r>
          </w:p>
        </w:tc>
        <w:tc>
          <w:tcPr>
            <w:tcW w:w="1125" w:type="pct"/>
            <w:vAlign w:val="center"/>
          </w:tcPr>
          <w:p>
            <w:pPr>
              <w:spacing w:line="440" w:lineRule="exact"/>
              <w:jc w:val="left"/>
              <w:rPr>
                <w:rFonts w:hint="eastAsia"/>
                <w:bCs/>
              </w:rPr>
            </w:pPr>
          </w:p>
        </w:tc>
        <w:tc>
          <w:tcPr>
            <w:tcW w:w="1125" w:type="pct"/>
            <w:vAlign w:val="center"/>
          </w:tcPr>
          <w:p>
            <w:pPr>
              <w:spacing w:line="440" w:lineRule="exact"/>
              <w:jc w:val="left"/>
              <w:rPr>
                <w:rFonts w:hint="eastAsia"/>
                <w:bCs/>
              </w:rPr>
            </w:pPr>
          </w:p>
        </w:tc>
        <w:tc>
          <w:tcPr>
            <w:tcW w:w="1125" w:type="pct"/>
            <w:vAlign w:val="center"/>
          </w:tcPr>
          <w:p>
            <w:pPr>
              <w:spacing w:line="440" w:lineRule="exact"/>
              <w:jc w:val="left"/>
              <w:rPr>
                <w:rFonts w:hint="eastAsia"/>
                <w:bCs/>
              </w:rPr>
            </w:pPr>
          </w:p>
        </w:tc>
      </w:tr>
    </w:tbl>
    <w:p>
      <w:pPr>
        <w:rPr>
          <w:sz w:val="24"/>
        </w:rPr>
      </w:pPr>
      <w:r>
        <w:rPr>
          <w:rFonts w:hint="eastAsia"/>
          <w:sz w:val="24"/>
        </w:rPr>
        <w:t>备注：</w:t>
      </w:r>
    </w:p>
    <w:p>
      <w:pPr>
        <w:rPr>
          <w:color w:val="FF0000"/>
          <w:sz w:val="24"/>
        </w:rPr>
      </w:pPr>
      <w:r>
        <w:rPr>
          <w:rFonts w:hint="eastAsia"/>
          <w:color w:val="FF0000"/>
          <w:sz w:val="24"/>
        </w:rPr>
        <w:t>1、“招标技术要求”一栏应</w:t>
      </w:r>
      <w:r>
        <w:rPr>
          <w:rFonts w:hint="eastAsia"/>
          <w:b/>
          <w:color w:val="FF0000"/>
          <w:sz w:val="24"/>
        </w:rPr>
        <w:t>填写招标文件第二章</w:t>
      </w:r>
      <w:r>
        <w:rPr>
          <w:rFonts w:hint="eastAsia"/>
          <w:color w:val="FF0000"/>
          <w:sz w:val="24"/>
        </w:rPr>
        <w:t>“三、具体技术要求”的内容；</w:t>
      </w:r>
    </w:p>
    <w:p>
      <w:pPr>
        <w:rPr>
          <w:color w:val="FF0000"/>
          <w:sz w:val="24"/>
        </w:rPr>
      </w:pPr>
      <w:r>
        <w:rPr>
          <w:rFonts w:hint="eastAsia"/>
          <w:color w:val="FF0000"/>
          <w:sz w:val="24"/>
        </w:rPr>
        <w:t>2、“投标技术响应”一栏必须详细填写投标产品的具体参数，并应对照招标技术要求一一对应响应；</w:t>
      </w:r>
    </w:p>
    <w:p>
      <w:pPr>
        <w:rPr>
          <w:color w:val="FF0000"/>
          <w:sz w:val="24"/>
        </w:rPr>
      </w:pPr>
      <w:r>
        <w:rPr>
          <w:rFonts w:hint="eastAsia"/>
          <w:color w:val="FF0000"/>
          <w:sz w:val="24"/>
        </w:rPr>
        <w:t>3、“偏离情况”一栏应如实填写“正偏离”、“负偏离”或“无偏离”。</w:t>
      </w:r>
    </w:p>
    <w:p>
      <w:pPr>
        <w:rPr>
          <w:sz w:val="24"/>
        </w:rPr>
      </w:pPr>
      <w:r>
        <w:rPr>
          <w:rFonts w:hint="eastAsia"/>
          <w:sz w:val="24"/>
        </w:rPr>
        <w:t>4、投标产品的技术参数应尽可能提供相应的证明资料，以证明投标人响应的真实性。证明资料包括制造商公布的产品说明书、产品彩页和我国政府机构出具的产品检验和核准证件等。证明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pPr>
        <w:rPr>
          <w:sz w:val="24"/>
        </w:rPr>
      </w:pPr>
      <w:r>
        <w:rPr>
          <w:rFonts w:hint="eastAsia"/>
          <w:sz w:val="24"/>
        </w:rPr>
        <w:t>5、证明资料的提供要求：</w:t>
      </w:r>
    </w:p>
    <w:p>
      <w:pPr>
        <w:rPr>
          <w:sz w:val="24"/>
        </w:rPr>
      </w:pPr>
      <w:r>
        <w:rPr>
          <w:rFonts w:hint="eastAsia"/>
          <w:sz w:val="24"/>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pPr>
        <w:rPr>
          <w:sz w:val="24"/>
        </w:rPr>
      </w:pPr>
      <w:r>
        <w:rPr>
          <w:rFonts w:hint="eastAsia"/>
          <w:sz w:val="24"/>
        </w:rPr>
        <w:t>（2）我国政府机构出具的产品检验和核准证件应为证件正面、背面和附件标注的全部具体内容；产品检验和核准证件的尺寸和清晰度应该能够被阅读、识别和判断。</w:t>
      </w:r>
    </w:p>
    <w:p>
      <w:pPr>
        <w:rPr>
          <w:sz w:val="24"/>
        </w:rPr>
      </w:pPr>
      <w:r>
        <w:rPr>
          <w:rFonts w:hint="eastAsia"/>
          <w:sz w:val="24"/>
        </w:rPr>
        <w:t>未达到以上提供要求的，评标委员会有权认定为不合格响应，其相关分数予以扣减或作投标无效处理。</w:t>
      </w:r>
    </w:p>
    <w:p>
      <w:pPr>
        <w:rPr>
          <w:sz w:val="24"/>
        </w:rPr>
      </w:pPr>
      <w:r>
        <w:rPr>
          <w:rFonts w:hint="eastAsia"/>
          <w:sz w:val="24"/>
        </w:rPr>
        <w:t>6、评标委员会有权对以谋取中标为目的的技术规格模糊响应（如有意照搬照抄招标文件的技术要求）或虚假响应予以认定，并视情况经深圳大学招投标管理中心报深圳大学采购招标领导部门予以处罚。</w:t>
      </w:r>
    </w:p>
    <w:p>
      <w:pPr>
        <w:rPr>
          <w:sz w:val="24"/>
        </w:rPr>
      </w:pPr>
      <w:r>
        <w:rPr>
          <w:sz w:val="24"/>
        </w:rPr>
        <w:br w:type="page"/>
      </w:r>
    </w:p>
    <w:p>
      <w:pPr>
        <w:pStyle w:val="3"/>
        <w:jc w:val="center"/>
        <w:rPr>
          <w:b w:val="0"/>
          <w:highlight w:val="yellow"/>
        </w:rPr>
      </w:pPr>
      <w:r>
        <w:rPr>
          <w:rFonts w:hint="eastAsia" w:ascii="黑体" w:eastAsia="黑体"/>
          <w:b w:val="0"/>
          <w:bCs w:val="0"/>
          <w:kern w:val="0"/>
          <w:sz w:val="24"/>
          <w:szCs w:val="20"/>
          <w:highlight w:val="yellow"/>
        </w:rPr>
        <w:t>十一、商务需求偏离表</w:t>
      </w:r>
    </w:p>
    <w:p>
      <w:pPr>
        <w:rPr>
          <w:b/>
          <w:sz w:val="24"/>
        </w:rPr>
      </w:pPr>
    </w:p>
    <w:p>
      <w:pPr>
        <w:rPr>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86"/>
        <w:gridCol w:w="1822"/>
        <w:gridCol w:w="1819"/>
        <w:gridCol w:w="181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302"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1116"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投标商务条款</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偏离情况</w:t>
            </w: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53" w:type="pct"/>
            <w:gridSpan w:val="3"/>
          </w:tcPr>
          <w:p>
            <w:pPr>
              <w:rPr>
                <w:b/>
              </w:rPr>
            </w:pPr>
            <w:r>
              <w:rPr>
                <w:rFonts w:hint="eastAsia"/>
                <w:b/>
              </w:rPr>
              <w:t>（一）免费保修期内售后服务要求</w:t>
            </w:r>
          </w:p>
        </w:tc>
        <w:tc>
          <w:tcPr>
            <w:tcW w:w="1115" w:type="pct"/>
          </w:tcPr>
          <w:p>
            <w:pPr>
              <w:rPr>
                <w:rFonts w:hint="eastAsia"/>
                <w:b/>
              </w:rPr>
            </w:pPr>
          </w:p>
        </w:tc>
        <w:tc>
          <w:tcPr>
            <w:tcW w:w="1115" w:type="pct"/>
          </w:tcPr>
          <w:p>
            <w:pPr>
              <w:rPr>
                <w:rFonts w:hint="eastAsia"/>
                <w:b/>
              </w:rPr>
            </w:pPr>
          </w:p>
        </w:tc>
        <w:tc>
          <w:tcPr>
            <w:tcW w:w="1115"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34" w:type="pct"/>
            <w:vAlign w:val="center"/>
          </w:tcPr>
          <w:p>
            <w:pPr>
              <w:jc w:val="center"/>
              <w:rPr>
                <w:b/>
              </w:rPr>
            </w:pPr>
            <w:r>
              <w:rPr>
                <w:rFonts w:hint="eastAsia"/>
                <w:b/>
              </w:rPr>
              <w:t>1</w:t>
            </w:r>
          </w:p>
        </w:tc>
        <w:tc>
          <w:tcPr>
            <w:tcW w:w="302" w:type="pct"/>
            <w:vAlign w:val="center"/>
          </w:tcPr>
          <w:p>
            <w:r>
              <w:rPr>
                <w:rFonts w:hint="eastAsia"/>
              </w:rPr>
              <w:t>免费保修期</w:t>
            </w:r>
          </w:p>
        </w:tc>
        <w:tc>
          <w:tcPr>
            <w:tcW w:w="1116" w:type="pct"/>
          </w:tcPr>
          <w:p>
            <w:pPr>
              <w:rPr>
                <w:b/>
                <w:color w:val="FF0000"/>
              </w:rPr>
            </w:pPr>
            <w:r>
              <w:rPr>
                <w:rFonts w:hint="eastAsia"/>
                <w:bCs/>
                <w:szCs w:val="21"/>
              </w:rPr>
              <w:t>货物</w:t>
            </w:r>
            <w:r>
              <w:rPr>
                <w:rFonts w:hint="eastAsia" w:ascii="宋体" w:hAnsi="宋体"/>
                <w:color w:val="FF0000"/>
                <w:szCs w:val="21"/>
                <w:u w:val="single"/>
              </w:rPr>
              <w:t>反应器主体、温控主机</w:t>
            </w:r>
            <w:r>
              <w:rPr>
                <w:rFonts w:hint="eastAsia"/>
                <w:bCs/>
                <w:szCs w:val="21"/>
              </w:rPr>
              <w:t>免费保修期</w:t>
            </w:r>
            <w:r>
              <w:rPr>
                <w:rFonts w:hint="eastAsia" w:ascii="宋体" w:hAnsi="宋体"/>
                <w:color w:val="FF0000"/>
                <w:szCs w:val="21"/>
                <w:u w:val="single"/>
              </w:rPr>
              <w:t>2年，其它设备</w:t>
            </w:r>
            <w:r>
              <w:rPr>
                <w:rFonts w:hint="eastAsia"/>
                <w:bCs/>
                <w:szCs w:val="21"/>
              </w:rPr>
              <w:t>免费保修期</w:t>
            </w:r>
            <w:r>
              <w:rPr>
                <w:rFonts w:hint="eastAsia" w:ascii="宋体" w:hAnsi="宋体"/>
                <w:color w:val="FF0000"/>
                <w:szCs w:val="21"/>
                <w:u w:val="single"/>
              </w:rPr>
              <w:t>1</w:t>
            </w:r>
            <w:r>
              <w:rPr>
                <w:rFonts w:hint="eastAsia" w:ascii="宋体" w:hAnsi="宋体"/>
                <w:color w:val="FF0000"/>
                <w:szCs w:val="21"/>
              </w:rPr>
              <w:t>年。</w:t>
            </w:r>
            <w:r>
              <w:rPr>
                <w:rFonts w:hint="eastAsia"/>
                <w:bCs/>
                <w:szCs w:val="21"/>
              </w:rPr>
              <w:t>时间自最终验收合格并交付使用之日起计算。</w:t>
            </w:r>
            <w:r>
              <w:rPr>
                <w:rFonts w:hint="eastAsia"/>
                <w:bCs/>
                <w:color w:val="FF0000"/>
              </w:rPr>
              <w:t>货物的检修期应以双倍计算延长免费保修期。</w:t>
            </w:r>
          </w:p>
        </w:tc>
        <w:tc>
          <w:tcPr>
            <w:tcW w:w="1115" w:type="pct"/>
          </w:tcPr>
          <w:p>
            <w:pPr>
              <w:rPr>
                <w:rFonts w:hint="eastAsia"/>
                <w:bCs/>
                <w:szCs w:val="21"/>
              </w:rPr>
            </w:pPr>
          </w:p>
        </w:tc>
        <w:tc>
          <w:tcPr>
            <w:tcW w:w="1115" w:type="pct"/>
          </w:tcPr>
          <w:p>
            <w:pPr>
              <w:rPr>
                <w:rFonts w:hint="eastAsia"/>
                <w:bCs/>
                <w:szCs w:val="21"/>
              </w:rPr>
            </w:pPr>
          </w:p>
        </w:tc>
        <w:tc>
          <w:tcPr>
            <w:tcW w:w="1115"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4" w:type="pct"/>
            <w:vAlign w:val="center"/>
          </w:tcPr>
          <w:p>
            <w:pPr>
              <w:jc w:val="center"/>
              <w:rPr>
                <w:b/>
              </w:rPr>
            </w:pPr>
            <w:r>
              <w:rPr>
                <w:rFonts w:hint="eastAsia"/>
                <w:b/>
              </w:rPr>
              <w:t>2</w:t>
            </w:r>
          </w:p>
        </w:tc>
        <w:tc>
          <w:tcPr>
            <w:tcW w:w="302" w:type="pct"/>
          </w:tcPr>
          <w:p>
            <w:r>
              <w:rPr>
                <w:rFonts w:hint="eastAsia"/>
              </w:rPr>
              <w:t>维修响应及故障解决时间</w:t>
            </w:r>
          </w:p>
        </w:tc>
        <w:tc>
          <w:tcPr>
            <w:tcW w:w="1116" w:type="pct"/>
          </w:tcPr>
          <w:p>
            <w:pPr>
              <w:rPr>
                <w:b/>
              </w:rPr>
            </w:pPr>
            <w:r>
              <w:rPr>
                <w:rFonts w:hint="eastAsia"/>
                <w:bCs/>
                <w:szCs w:val="21"/>
              </w:rPr>
              <w:t>在保修期内，一旦发生质量问题，投标人保证在接到通知1 小时内电话相应.如故障不能排除，供方应在 4小时 内提供现场服务，待产品运行正常后撤离现场。</w:t>
            </w:r>
          </w:p>
        </w:tc>
        <w:tc>
          <w:tcPr>
            <w:tcW w:w="1115" w:type="pct"/>
          </w:tcPr>
          <w:p>
            <w:pPr>
              <w:rPr>
                <w:rFonts w:hint="eastAsia"/>
                <w:bCs/>
                <w:szCs w:val="21"/>
              </w:rPr>
            </w:pPr>
          </w:p>
        </w:tc>
        <w:tc>
          <w:tcPr>
            <w:tcW w:w="1115" w:type="pct"/>
          </w:tcPr>
          <w:p>
            <w:pPr>
              <w:rPr>
                <w:rFonts w:hint="eastAsia"/>
                <w:bCs/>
                <w:szCs w:val="21"/>
              </w:rPr>
            </w:pPr>
          </w:p>
        </w:tc>
        <w:tc>
          <w:tcPr>
            <w:tcW w:w="1115"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4" w:type="pct"/>
            <w:vAlign w:val="center"/>
          </w:tcPr>
          <w:p>
            <w:pPr>
              <w:jc w:val="center"/>
              <w:rPr>
                <w:b/>
              </w:rPr>
            </w:pPr>
            <w:r>
              <w:rPr>
                <w:rFonts w:hint="eastAsia"/>
                <w:b/>
              </w:rPr>
              <w:t>3</w:t>
            </w:r>
          </w:p>
        </w:tc>
        <w:tc>
          <w:tcPr>
            <w:tcW w:w="302" w:type="pct"/>
          </w:tcPr>
          <w:p>
            <w:r>
              <w:rPr>
                <w:rFonts w:hint="eastAsia"/>
              </w:rPr>
              <w:t>发生</w:t>
            </w:r>
            <w:r>
              <w:t>质量问题</w:t>
            </w:r>
            <w:r>
              <w:rPr>
                <w:rFonts w:hint="eastAsia"/>
              </w:rPr>
              <w:t>的</w:t>
            </w:r>
            <w:r>
              <w:t>处理方式</w:t>
            </w:r>
          </w:p>
        </w:tc>
        <w:tc>
          <w:tcPr>
            <w:tcW w:w="1116" w:type="pct"/>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5" w:type="pct"/>
          </w:tcPr>
          <w:p>
            <w:pPr>
              <w:rPr>
                <w:rFonts w:hint="eastAsia"/>
                <w:bCs/>
                <w:szCs w:val="21"/>
              </w:rPr>
            </w:pPr>
          </w:p>
        </w:tc>
        <w:tc>
          <w:tcPr>
            <w:tcW w:w="1115" w:type="pct"/>
          </w:tcPr>
          <w:p>
            <w:pPr>
              <w:rPr>
                <w:rFonts w:hint="eastAsia"/>
                <w:bCs/>
                <w:szCs w:val="21"/>
              </w:rPr>
            </w:pPr>
          </w:p>
        </w:tc>
        <w:tc>
          <w:tcPr>
            <w:tcW w:w="1115"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4" w:type="pct"/>
            <w:vAlign w:val="center"/>
          </w:tcPr>
          <w:p>
            <w:pPr>
              <w:jc w:val="center"/>
              <w:rPr>
                <w:b/>
              </w:rPr>
            </w:pPr>
            <w:r>
              <w:rPr>
                <w:rFonts w:hint="eastAsia"/>
                <w:b/>
              </w:rPr>
              <w:t>4</w:t>
            </w:r>
          </w:p>
        </w:tc>
        <w:tc>
          <w:tcPr>
            <w:tcW w:w="302" w:type="pct"/>
            <w:vAlign w:val="center"/>
          </w:tcPr>
          <w:p>
            <w:pPr>
              <w:rPr>
                <w:b/>
              </w:rPr>
            </w:pPr>
            <w:r>
              <w:rPr>
                <w:rFonts w:hint="eastAsia"/>
              </w:rPr>
              <w:t>其他</w:t>
            </w:r>
          </w:p>
        </w:tc>
        <w:tc>
          <w:tcPr>
            <w:tcW w:w="1116" w:type="pct"/>
            <w:vAlign w:val="center"/>
          </w:tcPr>
          <w:p>
            <w:pPr>
              <w:rPr>
                <w:bCs/>
                <w:szCs w:val="21"/>
              </w:rPr>
            </w:pPr>
            <w:r>
              <w:rPr>
                <w:rFonts w:hint="eastAsia"/>
                <w:bCs/>
                <w:szCs w:val="21"/>
              </w:rPr>
              <w:t>投标人应按其投标文件中的承诺，进行其他售后服务工作。</w:t>
            </w:r>
          </w:p>
          <w:p>
            <w:pPr>
              <w:rPr>
                <w:bCs/>
              </w:rPr>
            </w:pPr>
            <w:r>
              <w:rPr>
                <w:rFonts w:hint="eastAsia"/>
                <w:bCs/>
                <w:color w:val="FF0000"/>
              </w:rPr>
              <w:t>设备安装完成后，对设备进行试机运行，并培训需方相关操作人员至熟练掌握。</w:t>
            </w:r>
          </w:p>
        </w:tc>
        <w:tc>
          <w:tcPr>
            <w:tcW w:w="1115" w:type="pct"/>
            <w:vAlign w:val="center"/>
          </w:tcPr>
          <w:p>
            <w:pPr>
              <w:rPr>
                <w:rFonts w:hint="eastAsia"/>
                <w:bCs/>
                <w:color w:val="FF0000"/>
              </w:rPr>
            </w:pPr>
          </w:p>
        </w:tc>
        <w:tc>
          <w:tcPr>
            <w:tcW w:w="1115" w:type="pct"/>
            <w:vAlign w:val="center"/>
          </w:tcPr>
          <w:p>
            <w:pPr>
              <w:rPr>
                <w:rFonts w:hint="eastAsia"/>
                <w:bCs/>
                <w:color w:val="FF0000"/>
              </w:rPr>
            </w:pPr>
          </w:p>
        </w:tc>
        <w:tc>
          <w:tcPr>
            <w:tcW w:w="1115" w:type="pct"/>
            <w:vAlign w:val="center"/>
          </w:tcPr>
          <w:p>
            <w:pPr>
              <w:rPr>
                <w:rFonts w:hint="eastAsia"/>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53" w:type="pct"/>
            <w:gridSpan w:val="3"/>
          </w:tcPr>
          <w:p>
            <w:pPr>
              <w:rPr>
                <w:b/>
              </w:rPr>
            </w:pPr>
            <w:r>
              <w:rPr>
                <w:rFonts w:hint="eastAsia"/>
                <w:b/>
              </w:rPr>
              <w:t>（二）免费保修期外售后服务要求</w:t>
            </w:r>
          </w:p>
        </w:tc>
        <w:tc>
          <w:tcPr>
            <w:tcW w:w="1115" w:type="pct"/>
          </w:tcPr>
          <w:p>
            <w:pPr>
              <w:rPr>
                <w:rFonts w:hint="eastAsia"/>
                <w:b/>
              </w:rPr>
            </w:pPr>
          </w:p>
        </w:tc>
        <w:tc>
          <w:tcPr>
            <w:tcW w:w="1115" w:type="pct"/>
          </w:tcPr>
          <w:p>
            <w:pPr>
              <w:rPr>
                <w:rFonts w:hint="eastAsia"/>
                <w:b/>
              </w:rPr>
            </w:pPr>
          </w:p>
        </w:tc>
        <w:tc>
          <w:tcPr>
            <w:tcW w:w="1115"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4" w:type="pct"/>
            <w:vAlign w:val="center"/>
          </w:tcPr>
          <w:p>
            <w:pPr>
              <w:jc w:val="center"/>
              <w:rPr>
                <w:b/>
              </w:rPr>
            </w:pPr>
            <w:r>
              <w:rPr>
                <w:rFonts w:hint="eastAsia"/>
                <w:b/>
              </w:rPr>
              <w:t>1</w:t>
            </w:r>
          </w:p>
        </w:tc>
        <w:tc>
          <w:tcPr>
            <w:tcW w:w="302" w:type="pct"/>
          </w:tcPr>
          <w:p>
            <w:pPr>
              <w:rPr>
                <w:b/>
              </w:rPr>
            </w:pPr>
          </w:p>
        </w:tc>
        <w:tc>
          <w:tcPr>
            <w:tcW w:w="1116" w:type="pct"/>
          </w:tcPr>
          <w:p>
            <w:r>
              <w:rPr>
                <w:rFonts w:hint="eastAsia"/>
              </w:rPr>
              <w:t>免费</w:t>
            </w:r>
            <w:r>
              <w:t>保修期</w:t>
            </w:r>
            <w:r>
              <w:rPr>
                <w:rFonts w:hint="eastAsia"/>
              </w:rPr>
              <w:t>后继续支持维修，并按成本价标准收取维修及零件费用。</w:t>
            </w:r>
          </w:p>
        </w:tc>
        <w:tc>
          <w:tcPr>
            <w:tcW w:w="1115" w:type="pct"/>
          </w:tcPr>
          <w:p>
            <w:pPr>
              <w:rPr>
                <w:rFonts w:hint="eastAsia"/>
              </w:rPr>
            </w:pPr>
          </w:p>
        </w:tc>
        <w:tc>
          <w:tcPr>
            <w:tcW w:w="1115" w:type="pct"/>
          </w:tcPr>
          <w:p>
            <w:pPr>
              <w:rPr>
                <w:rFonts w:hint="eastAsia"/>
              </w:rPr>
            </w:pPr>
          </w:p>
        </w:tc>
        <w:tc>
          <w:tcPr>
            <w:tcW w:w="1115"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53" w:type="pct"/>
            <w:gridSpan w:val="3"/>
          </w:tcPr>
          <w:p>
            <w:pPr>
              <w:rPr>
                <w:b/>
              </w:rPr>
            </w:pPr>
            <w:r>
              <w:rPr>
                <w:rFonts w:hint="eastAsia"/>
                <w:b/>
              </w:rPr>
              <w:t>（三）其他商务要求</w:t>
            </w:r>
          </w:p>
        </w:tc>
        <w:tc>
          <w:tcPr>
            <w:tcW w:w="1115" w:type="pct"/>
          </w:tcPr>
          <w:p>
            <w:pPr>
              <w:rPr>
                <w:rFonts w:hint="eastAsia"/>
                <w:b/>
              </w:rPr>
            </w:pPr>
          </w:p>
        </w:tc>
        <w:tc>
          <w:tcPr>
            <w:tcW w:w="1115" w:type="pct"/>
          </w:tcPr>
          <w:p>
            <w:pPr>
              <w:rPr>
                <w:rFonts w:hint="eastAsia"/>
                <w:b/>
              </w:rPr>
            </w:pPr>
          </w:p>
        </w:tc>
        <w:tc>
          <w:tcPr>
            <w:tcW w:w="1115"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4" w:type="pct"/>
            <w:vMerge w:val="restart"/>
            <w:vAlign w:val="center"/>
          </w:tcPr>
          <w:p>
            <w:pPr>
              <w:jc w:val="center"/>
              <w:rPr>
                <w:b/>
              </w:rPr>
            </w:pPr>
            <w:r>
              <w:rPr>
                <w:rFonts w:hint="eastAsia"/>
                <w:b/>
              </w:rPr>
              <w:t>1</w:t>
            </w:r>
          </w:p>
        </w:tc>
        <w:tc>
          <w:tcPr>
            <w:tcW w:w="302" w:type="pct"/>
            <w:vMerge w:val="restart"/>
            <w:vAlign w:val="center"/>
          </w:tcPr>
          <w:p>
            <w:pPr>
              <w:jc w:val="center"/>
            </w:pPr>
            <w:r>
              <w:rPr>
                <w:rFonts w:hint="eastAsia"/>
              </w:rPr>
              <w:t>关于交货</w:t>
            </w:r>
          </w:p>
        </w:tc>
        <w:tc>
          <w:tcPr>
            <w:tcW w:w="1116" w:type="pct"/>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c>
          <w:tcPr>
            <w:tcW w:w="1115" w:type="pct"/>
          </w:tcPr>
          <w:p>
            <w:pPr>
              <w:rPr>
                <w:rFonts w:hint="eastAsia"/>
                <w:bCs/>
                <w:szCs w:val="21"/>
              </w:rPr>
            </w:pPr>
          </w:p>
        </w:tc>
        <w:tc>
          <w:tcPr>
            <w:tcW w:w="1115" w:type="pct"/>
          </w:tcPr>
          <w:p>
            <w:pPr>
              <w:rPr>
                <w:rFonts w:hint="eastAsia"/>
                <w:bCs/>
                <w:szCs w:val="21"/>
              </w:rPr>
            </w:pPr>
          </w:p>
        </w:tc>
        <w:tc>
          <w:tcPr>
            <w:tcW w:w="1115"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34" w:type="pct"/>
            <w:vMerge w:val="continue"/>
            <w:vAlign w:val="center"/>
          </w:tcPr>
          <w:p>
            <w:pPr>
              <w:jc w:val="center"/>
              <w:rPr>
                <w:b/>
              </w:rPr>
            </w:pPr>
          </w:p>
        </w:tc>
        <w:tc>
          <w:tcPr>
            <w:tcW w:w="302" w:type="pct"/>
            <w:vMerge w:val="continue"/>
            <w:vAlign w:val="center"/>
          </w:tcPr>
          <w:p>
            <w:pPr>
              <w:jc w:val="center"/>
            </w:pPr>
          </w:p>
        </w:tc>
        <w:tc>
          <w:tcPr>
            <w:tcW w:w="1116" w:type="pct"/>
          </w:tcPr>
          <w:p>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c>
          <w:tcPr>
            <w:tcW w:w="1115" w:type="pct"/>
          </w:tcPr>
          <w:p>
            <w:pPr>
              <w:rPr>
                <w:rFonts w:hint="eastAsia"/>
                <w:bCs/>
                <w:szCs w:val="21"/>
              </w:rPr>
            </w:pPr>
          </w:p>
        </w:tc>
        <w:tc>
          <w:tcPr>
            <w:tcW w:w="1115" w:type="pct"/>
          </w:tcPr>
          <w:p>
            <w:pPr>
              <w:rPr>
                <w:rFonts w:hint="eastAsia"/>
                <w:bCs/>
                <w:szCs w:val="21"/>
              </w:rPr>
            </w:pPr>
          </w:p>
        </w:tc>
        <w:tc>
          <w:tcPr>
            <w:tcW w:w="1115"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4" w:type="pct"/>
            <w:vMerge w:val="continue"/>
            <w:vAlign w:val="center"/>
          </w:tcPr>
          <w:p>
            <w:pPr>
              <w:jc w:val="center"/>
              <w:rPr>
                <w:b/>
              </w:rPr>
            </w:pPr>
          </w:p>
        </w:tc>
        <w:tc>
          <w:tcPr>
            <w:tcW w:w="302" w:type="pct"/>
            <w:vMerge w:val="continue"/>
            <w:vAlign w:val="center"/>
          </w:tcPr>
          <w:p>
            <w:pPr>
              <w:jc w:val="center"/>
            </w:pPr>
          </w:p>
        </w:tc>
        <w:tc>
          <w:tcPr>
            <w:tcW w:w="1116" w:type="pct"/>
          </w:tcPr>
          <w:p>
            <w:pPr>
              <w:spacing w:line="340" w:lineRule="exact"/>
              <w:rPr>
                <w:bCs/>
                <w:szCs w:val="21"/>
              </w:rPr>
            </w:pPr>
            <w:r>
              <w:rPr>
                <w:rFonts w:hint="eastAsia"/>
                <w:bCs/>
                <w:szCs w:val="21"/>
              </w:rPr>
              <w:t>1.3 交货（具体）地点：</w:t>
            </w:r>
            <w:r>
              <w:rPr>
                <w:rFonts w:hint="eastAsia" w:ascii="宋体" w:hAnsi="宋体"/>
                <w:bCs/>
                <w:szCs w:val="21"/>
                <w:u w:val="single"/>
              </w:rPr>
              <w:t xml:space="preserve">深圳大学龙华生物产业创新研究院指定区域 </w:t>
            </w:r>
          </w:p>
        </w:tc>
        <w:tc>
          <w:tcPr>
            <w:tcW w:w="1115" w:type="pct"/>
          </w:tcPr>
          <w:p>
            <w:pPr>
              <w:spacing w:line="340" w:lineRule="exact"/>
              <w:rPr>
                <w:rFonts w:hint="eastAsia"/>
                <w:bCs/>
                <w:szCs w:val="21"/>
              </w:rPr>
            </w:pPr>
          </w:p>
        </w:tc>
        <w:tc>
          <w:tcPr>
            <w:tcW w:w="1115" w:type="pct"/>
          </w:tcPr>
          <w:p>
            <w:pPr>
              <w:spacing w:line="340" w:lineRule="exact"/>
              <w:rPr>
                <w:rFonts w:hint="eastAsia"/>
                <w:bCs/>
                <w:szCs w:val="21"/>
              </w:rPr>
            </w:pPr>
          </w:p>
        </w:tc>
        <w:tc>
          <w:tcPr>
            <w:tcW w:w="1115"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4" w:type="pct"/>
            <w:vMerge w:val="continue"/>
            <w:vAlign w:val="center"/>
          </w:tcPr>
          <w:p>
            <w:pPr>
              <w:jc w:val="center"/>
              <w:rPr>
                <w:b/>
              </w:rPr>
            </w:pPr>
          </w:p>
        </w:tc>
        <w:tc>
          <w:tcPr>
            <w:tcW w:w="302" w:type="pct"/>
            <w:vMerge w:val="continue"/>
            <w:vAlign w:val="center"/>
          </w:tcPr>
          <w:p>
            <w:pPr>
              <w:jc w:val="center"/>
            </w:pPr>
          </w:p>
        </w:tc>
        <w:tc>
          <w:tcPr>
            <w:tcW w:w="1116" w:type="pct"/>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r>
              <w:rPr>
                <w:bCs/>
                <w:szCs w:val="21"/>
              </w:rPr>
              <w:t xml:space="preserve"> </w:t>
            </w:r>
          </w:p>
        </w:tc>
        <w:tc>
          <w:tcPr>
            <w:tcW w:w="1115" w:type="pct"/>
          </w:tcPr>
          <w:p>
            <w:pPr>
              <w:spacing w:line="340" w:lineRule="exact"/>
              <w:rPr>
                <w:rFonts w:hint="eastAsia"/>
                <w:bCs/>
                <w:szCs w:val="21"/>
              </w:rPr>
            </w:pPr>
          </w:p>
        </w:tc>
        <w:tc>
          <w:tcPr>
            <w:tcW w:w="1115" w:type="pct"/>
          </w:tcPr>
          <w:p>
            <w:pPr>
              <w:spacing w:line="340" w:lineRule="exact"/>
              <w:rPr>
                <w:rFonts w:hint="eastAsia"/>
                <w:bCs/>
                <w:szCs w:val="21"/>
              </w:rPr>
            </w:pPr>
          </w:p>
        </w:tc>
        <w:tc>
          <w:tcPr>
            <w:tcW w:w="1115"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4" w:type="pct"/>
            <w:vMerge w:val="restart"/>
            <w:vAlign w:val="center"/>
          </w:tcPr>
          <w:p>
            <w:pPr>
              <w:jc w:val="center"/>
              <w:rPr>
                <w:b/>
              </w:rPr>
            </w:pPr>
            <w:r>
              <w:rPr>
                <w:rFonts w:hint="eastAsia"/>
                <w:b/>
              </w:rPr>
              <w:t>2</w:t>
            </w:r>
          </w:p>
        </w:tc>
        <w:tc>
          <w:tcPr>
            <w:tcW w:w="302" w:type="pct"/>
            <w:vMerge w:val="restart"/>
            <w:vAlign w:val="center"/>
          </w:tcPr>
          <w:p>
            <w:pPr>
              <w:jc w:val="center"/>
            </w:pPr>
            <w:r>
              <w:rPr>
                <w:rFonts w:hint="eastAsia"/>
              </w:rPr>
              <w:t>关于验收</w:t>
            </w:r>
          </w:p>
        </w:tc>
        <w:tc>
          <w:tcPr>
            <w:tcW w:w="1116" w:type="pct"/>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5" w:type="pct"/>
          </w:tcPr>
          <w:p>
            <w:pPr>
              <w:spacing w:line="340" w:lineRule="exact"/>
              <w:rPr>
                <w:bCs/>
                <w:szCs w:val="21"/>
              </w:rPr>
            </w:pPr>
          </w:p>
        </w:tc>
        <w:tc>
          <w:tcPr>
            <w:tcW w:w="1115" w:type="pct"/>
          </w:tcPr>
          <w:p>
            <w:pPr>
              <w:spacing w:line="340" w:lineRule="exact"/>
              <w:rPr>
                <w:bCs/>
                <w:szCs w:val="21"/>
              </w:rPr>
            </w:pPr>
          </w:p>
        </w:tc>
        <w:tc>
          <w:tcPr>
            <w:tcW w:w="1115" w:type="pct"/>
          </w:tcPr>
          <w:p>
            <w:pPr>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4" w:type="pct"/>
            <w:vMerge w:val="continue"/>
            <w:vAlign w:val="center"/>
          </w:tcPr>
          <w:p>
            <w:pPr>
              <w:jc w:val="center"/>
              <w:rPr>
                <w:b/>
              </w:rPr>
            </w:pPr>
          </w:p>
        </w:tc>
        <w:tc>
          <w:tcPr>
            <w:tcW w:w="302" w:type="pct"/>
            <w:vMerge w:val="continue"/>
          </w:tcPr>
          <w:p>
            <w:pPr>
              <w:rPr>
                <w:b/>
              </w:rPr>
            </w:pPr>
          </w:p>
        </w:tc>
        <w:tc>
          <w:tcPr>
            <w:tcW w:w="1116" w:type="pct"/>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c>
          <w:tcPr>
            <w:tcW w:w="1115" w:type="pct"/>
          </w:tcPr>
          <w:p>
            <w:pPr>
              <w:tabs>
                <w:tab w:val="left" w:pos="1260"/>
              </w:tabs>
              <w:spacing w:line="340" w:lineRule="exact"/>
              <w:rPr>
                <w:bCs/>
                <w:szCs w:val="21"/>
              </w:rPr>
            </w:pPr>
          </w:p>
        </w:tc>
        <w:tc>
          <w:tcPr>
            <w:tcW w:w="1115" w:type="pct"/>
          </w:tcPr>
          <w:p>
            <w:pPr>
              <w:tabs>
                <w:tab w:val="left" w:pos="1260"/>
              </w:tabs>
              <w:spacing w:line="340" w:lineRule="exact"/>
              <w:rPr>
                <w:bCs/>
                <w:szCs w:val="21"/>
              </w:rPr>
            </w:pPr>
          </w:p>
        </w:tc>
        <w:tc>
          <w:tcPr>
            <w:tcW w:w="1115" w:type="pct"/>
          </w:tcPr>
          <w:p>
            <w:pPr>
              <w:tabs>
                <w:tab w:val="left" w:pos="1260"/>
              </w:tabs>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4" w:type="pct"/>
            <w:vAlign w:val="center"/>
          </w:tcPr>
          <w:p>
            <w:pPr>
              <w:jc w:val="center"/>
              <w:rPr>
                <w:b/>
              </w:rPr>
            </w:pPr>
            <w:r>
              <w:rPr>
                <w:rFonts w:hint="eastAsia"/>
                <w:b/>
              </w:rPr>
              <w:t>3</w:t>
            </w:r>
          </w:p>
        </w:tc>
        <w:tc>
          <w:tcPr>
            <w:tcW w:w="302" w:type="pct"/>
            <w:vAlign w:val="center"/>
          </w:tcPr>
          <w:p>
            <w:pPr>
              <w:jc w:val="center"/>
            </w:pPr>
            <w:r>
              <w:rPr>
                <w:rFonts w:hint="eastAsia"/>
              </w:rPr>
              <w:t>付款方式</w:t>
            </w:r>
          </w:p>
        </w:tc>
        <w:tc>
          <w:tcPr>
            <w:tcW w:w="1116" w:type="pct"/>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color w:val="0000FF"/>
                <w:szCs w:val="21"/>
              </w:rPr>
            </w:pPr>
            <w:r>
              <w:rPr>
                <w:rFonts w:hint="eastAsia" w:ascii="宋体" w:hAnsi="宋体"/>
                <w:bCs/>
                <w:szCs w:val="21"/>
              </w:rPr>
              <w:t>验收合格后，需方整</w:t>
            </w:r>
            <w:r>
              <w:rPr>
                <w:rFonts w:hint="eastAsia" w:ascii="宋体" w:hAnsi="宋体"/>
                <w:color w:val="000000"/>
                <w:szCs w:val="21"/>
              </w:rPr>
              <w:t>理相关付款资料，经付款审批流程后支付货款</w:t>
            </w:r>
            <w:r>
              <w:rPr>
                <w:rFonts w:hint="eastAsia" w:ascii="宋体" w:hAnsi="宋体"/>
                <w:color w:val="000000"/>
                <w:szCs w:val="21"/>
                <w:lang w:eastAsia="zh-CN"/>
              </w:rPr>
              <w:t>，</w:t>
            </w:r>
            <w:r>
              <w:rPr>
                <w:rFonts w:hint="eastAsia" w:ascii="宋体" w:hAnsi="宋体"/>
                <w:color w:val="000000"/>
                <w:szCs w:val="21"/>
              </w:rPr>
              <w:t>分两期付款，其中首付款为中标价的50%，付款条件为中标方完成</w:t>
            </w:r>
            <w:r>
              <w:rPr>
                <w:rFonts w:hint="eastAsia" w:ascii="宋体" w:hAnsi="宋体"/>
                <w:color w:val="000000"/>
                <w:szCs w:val="21"/>
                <w:lang w:val="en-US" w:eastAsia="zh-CN"/>
              </w:rPr>
              <w:t>定</w:t>
            </w:r>
            <w:r>
              <w:rPr>
                <w:rFonts w:hint="eastAsia" w:ascii="宋体" w:hAnsi="宋体"/>
                <w:color w:val="000000"/>
                <w:szCs w:val="21"/>
              </w:rPr>
              <w:t>制光合反应器主体所用</w:t>
            </w:r>
            <w:r>
              <w:rPr>
                <w:rFonts w:hint="eastAsia" w:ascii="宋体" w:hAnsi="宋体"/>
                <w:color w:val="000000"/>
                <w:szCs w:val="21"/>
                <w:lang w:val="en-US" w:eastAsia="zh-CN"/>
              </w:rPr>
              <w:t>的</w:t>
            </w:r>
            <w:r>
              <w:rPr>
                <w:rFonts w:hint="eastAsia" w:ascii="宋体" w:hAnsi="宋体"/>
                <w:color w:val="000000"/>
                <w:szCs w:val="21"/>
              </w:rPr>
              <w:t>全部PP</w:t>
            </w:r>
            <w:r>
              <w:rPr>
                <w:rFonts w:hint="eastAsia" w:ascii="宋体" w:hAnsi="宋体"/>
                <w:color w:val="000000"/>
                <w:szCs w:val="21"/>
                <w:lang w:val="en-US" w:eastAsia="zh-CN"/>
              </w:rPr>
              <w:t>板</w:t>
            </w:r>
            <w:r>
              <w:rPr>
                <w:rFonts w:hint="eastAsia" w:ascii="宋体" w:hAnsi="宋体"/>
                <w:color w:val="000000"/>
                <w:szCs w:val="21"/>
              </w:rPr>
              <w:t>材（符合技术规格要求，且不少于6500平方米）的订购与进场，并提供权威第三方质检报告，经采购方点收后付款；尾款比例为50%，付款条件为验收合格后，需方整理相关付款资料，经付款审批流程后支付货款。质保金为中标价的5%，需在收到首付款一周内支付。</w:t>
            </w:r>
          </w:p>
        </w:tc>
        <w:tc>
          <w:tcPr>
            <w:tcW w:w="1115" w:type="pct"/>
          </w:tcPr>
          <w:p>
            <w:pPr>
              <w:ind w:firstLine="420" w:firstLineChars="200"/>
              <w:rPr>
                <w:rFonts w:hint="eastAsia" w:ascii="宋体" w:hAnsi="宋体"/>
                <w:bCs/>
                <w:szCs w:val="21"/>
              </w:rPr>
            </w:pPr>
          </w:p>
        </w:tc>
        <w:tc>
          <w:tcPr>
            <w:tcW w:w="1115" w:type="pct"/>
          </w:tcPr>
          <w:p>
            <w:pPr>
              <w:ind w:firstLine="420" w:firstLineChars="200"/>
              <w:rPr>
                <w:rFonts w:hint="eastAsia" w:ascii="宋体" w:hAnsi="宋体"/>
                <w:bCs/>
                <w:szCs w:val="21"/>
              </w:rPr>
            </w:pPr>
          </w:p>
        </w:tc>
        <w:tc>
          <w:tcPr>
            <w:tcW w:w="1115" w:type="pct"/>
          </w:tcPr>
          <w:p>
            <w:pPr>
              <w:ind w:firstLine="420" w:firstLineChars="200"/>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4" w:type="pct"/>
            <w:vAlign w:val="center"/>
          </w:tcPr>
          <w:p>
            <w:pPr>
              <w:jc w:val="center"/>
            </w:pPr>
            <w:r>
              <w:rPr>
                <w:rFonts w:hint="eastAsia"/>
                <w:b/>
              </w:rPr>
              <w:t>4</w:t>
            </w:r>
          </w:p>
        </w:tc>
        <w:tc>
          <w:tcPr>
            <w:tcW w:w="302" w:type="pct"/>
            <w:vAlign w:val="center"/>
          </w:tcPr>
          <w:p>
            <w:r>
              <w:rPr>
                <w:rFonts w:hint="eastAsia"/>
              </w:rPr>
              <w:t>关于</w:t>
            </w:r>
            <w:r>
              <w:t>知识产权</w:t>
            </w:r>
          </w:p>
        </w:tc>
        <w:tc>
          <w:tcPr>
            <w:tcW w:w="1116" w:type="pct"/>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5" w:type="pct"/>
          </w:tcPr>
          <w:p>
            <w:pPr>
              <w:rPr>
                <w:rFonts w:hint="eastAsia"/>
              </w:rPr>
            </w:pPr>
          </w:p>
        </w:tc>
        <w:tc>
          <w:tcPr>
            <w:tcW w:w="1115" w:type="pct"/>
          </w:tcPr>
          <w:p>
            <w:pPr>
              <w:rPr>
                <w:rFonts w:hint="eastAsia"/>
              </w:rPr>
            </w:pPr>
          </w:p>
        </w:tc>
        <w:tc>
          <w:tcPr>
            <w:tcW w:w="1115"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4" w:type="pct"/>
            <w:vAlign w:val="center"/>
          </w:tcPr>
          <w:p>
            <w:pPr>
              <w:jc w:val="center"/>
              <w:rPr>
                <w:b/>
              </w:rPr>
            </w:pPr>
            <w:r>
              <w:rPr>
                <w:b/>
              </w:rPr>
              <w:t>5</w:t>
            </w:r>
          </w:p>
        </w:tc>
        <w:tc>
          <w:tcPr>
            <w:tcW w:w="302" w:type="pct"/>
            <w:vAlign w:val="center"/>
          </w:tcPr>
          <w:p>
            <w:r>
              <w:rPr>
                <w:rFonts w:hint="eastAsia"/>
              </w:rPr>
              <w:t>关于</w:t>
            </w:r>
            <w:r>
              <w:t>商检</w:t>
            </w:r>
          </w:p>
        </w:tc>
        <w:tc>
          <w:tcPr>
            <w:tcW w:w="1116" w:type="pct"/>
          </w:tcPr>
          <w:p>
            <w:r>
              <w:rPr>
                <w:rFonts w:hint="eastAsia"/>
              </w:rPr>
              <w:t>依据相关法律法规要求，如</w:t>
            </w:r>
            <w:r>
              <w:t>所提供的货物需</w:t>
            </w:r>
            <w:r>
              <w:rPr>
                <w:rFonts w:hint="eastAsia"/>
              </w:rPr>
              <w:t>由国家商检部门进行商检的，商检、检疫费用由中标人承担。</w:t>
            </w:r>
          </w:p>
        </w:tc>
        <w:tc>
          <w:tcPr>
            <w:tcW w:w="1115" w:type="pct"/>
          </w:tcPr>
          <w:p>
            <w:pPr>
              <w:rPr>
                <w:rFonts w:hint="eastAsia"/>
              </w:rPr>
            </w:pPr>
          </w:p>
        </w:tc>
        <w:tc>
          <w:tcPr>
            <w:tcW w:w="1115" w:type="pct"/>
          </w:tcPr>
          <w:p>
            <w:pPr>
              <w:rPr>
                <w:rFonts w:hint="eastAsia"/>
              </w:rPr>
            </w:pPr>
          </w:p>
        </w:tc>
        <w:tc>
          <w:tcPr>
            <w:tcW w:w="1115"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4" w:type="pct"/>
            <w:vAlign w:val="center"/>
          </w:tcPr>
          <w:p>
            <w:pPr>
              <w:jc w:val="center"/>
              <w:rPr>
                <w:rFonts w:hint="eastAsia" w:eastAsia="宋体"/>
                <w:b/>
                <w:lang w:val="en-US" w:eastAsia="zh-CN"/>
              </w:rPr>
            </w:pPr>
            <w:r>
              <w:rPr>
                <w:rFonts w:hint="eastAsia"/>
                <w:b/>
                <w:lang w:val="en-US" w:eastAsia="zh-CN"/>
              </w:rPr>
              <w:t>6</w:t>
            </w:r>
          </w:p>
        </w:tc>
        <w:tc>
          <w:tcPr>
            <w:tcW w:w="302" w:type="pct"/>
            <w:vAlign w:val="center"/>
          </w:tcPr>
          <w:p>
            <w:pPr>
              <w:rPr>
                <w:rFonts w:hint="default" w:eastAsia="宋体"/>
                <w:lang w:val="en-US" w:eastAsia="zh-CN"/>
              </w:rPr>
            </w:pPr>
            <w:r>
              <w:rPr>
                <w:rFonts w:hint="eastAsia"/>
                <w:lang w:val="en-US" w:eastAsia="zh-CN"/>
              </w:rPr>
              <w:t>其它要求</w:t>
            </w:r>
          </w:p>
        </w:tc>
        <w:tc>
          <w:tcPr>
            <w:tcW w:w="1116" w:type="pct"/>
          </w:tcPr>
          <w:p>
            <w:pPr>
              <w:pStyle w:val="5"/>
              <w:spacing w:before="120" w:beforeLines="50" w:after="120" w:afterLines="50"/>
              <w:jc w:val="left"/>
              <w:rPr>
                <w:rFonts w:hint="default" w:eastAsia="宋体"/>
                <w:lang w:val="en-US" w:eastAsia="zh-CN"/>
              </w:rPr>
            </w:pPr>
            <w:r>
              <w:rPr>
                <w:rFonts w:hint="eastAsia" w:ascii="Times New Roman" w:hAnsi="Times New Roman" w:eastAsia="宋体" w:cs="Times New Roman"/>
                <w:b w:val="0"/>
                <w:bCs/>
                <w:kern w:val="2"/>
                <w:sz w:val="21"/>
                <w:szCs w:val="24"/>
                <w:lang w:val="en-US" w:eastAsia="zh-CN" w:bidi="ar-SA"/>
              </w:rPr>
              <w:t>★用于建造微藻光合反应器及自动检测与温控系统所需要的主水管</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分水管</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电缆</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玻璃钢格栅</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塑胶格栅</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地膜</w:t>
            </w:r>
            <w:r>
              <w:rPr>
                <w:rFonts w:hint="eastAsia" w:ascii="Times New Roman" w:hAnsi="Times New Roman" w:cs="Times New Roman"/>
                <w:b w:val="0"/>
                <w:bCs/>
                <w:kern w:val="2"/>
                <w:sz w:val="21"/>
                <w:szCs w:val="24"/>
                <w:lang w:val="en-US" w:eastAsia="zh-CN" w:bidi="ar-SA"/>
              </w:rPr>
              <w:t>等配件需满足系统建造的用量，其中，</w:t>
            </w:r>
            <w:r>
              <w:rPr>
                <w:rFonts w:hint="eastAsia" w:ascii="Times New Roman" w:hAnsi="Times New Roman" w:eastAsia="宋体" w:cs="Times New Roman"/>
                <w:b w:val="0"/>
                <w:bCs/>
                <w:kern w:val="2"/>
                <w:sz w:val="21"/>
                <w:szCs w:val="24"/>
                <w:lang w:val="en-US" w:eastAsia="zh-CN" w:bidi="ar-SA"/>
              </w:rPr>
              <w:t>主水管</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分水管</w:t>
            </w:r>
            <w:r>
              <w:rPr>
                <w:rFonts w:hint="eastAsia" w:ascii="Times New Roman" w:hAnsi="Times New Roman"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电缆</w:t>
            </w:r>
            <w:r>
              <w:rPr>
                <w:rFonts w:hint="eastAsia" w:ascii="Times New Roman" w:hAnsi="Times New Roman" w:cs="Times New Roman"/>
                <w:b w:val="0"/>
                <w:bCs/>
                <w:kern w:val="2"/>
                <w:sz w:val="21"/>
                <w:szCs w:val="24"/>
                <w:lang w:val="en-US" w:eastAsia="zh-CN" w:bidi="ar-SA"/>
              </w:rPr>
              <w:t>等主要配件需符合国标</w:t>
            </w:r>
          </w:p>
        </w:tc>
        <w:tc>
          <w:tcPr>
            <w:tcW w:w="1115" w:type="pct"/>
          </w:tcPr>
          <w:p>
            <w:pPr>
              <w:pStyle w:val="5"/>
              <w:spacing w:before="120" w:beforeLines="50" w:after="120" w:afterLines="50"/>
              <w:jc w:val="left"/>
              <w:rPr>
                <w:rFonts w:hint="eastAsia" w:ascii="Times New Roman" w:hAnsi="Times New Roman" w:eastAsia="宋体" w:cs="Times New Roman"/>
                <w:b w:val="0"/>
                <w:bCs/>
                <w:kern w:val="2"/>
                <w:sz w:val="21"/>
                <w:szCs w:val="24"/>
                <w:lang w:val="en-US" w:eastAsia="zh-CN" w:bidi="ar-SA"/>
              </w:rPr>
            </w:pPr>
          </w:p>
        </w:tc>
        <w:tc>
          <w:tcPr>
            <w:tcW w:w="1115" w:type="pct"/>
          </w:tcPr>
          <w:p>
            <w:pPr>
              <w:pStyle w:val="5"/>
              <w:spacing w:before="120" w:beforeLines="50" w:after="120" w:afterLines="50"/>
              <w:jc w:val="left"/>
              <w:rPr>
                <w:rFonts w:hint="eastAsia" w:ascii="Times New Roman" w:hAnsi="Times New Roman" w:eastAsia="宋体" w:cs="Times New Roman"/>
                <w:b w:val="0"/>
                <w:bCs/>
                <w:kern w:val="2"/>
                <w:sz w:val="21"/>
                <w:szCs w:val="24"/>
                <w:lang w:val="en-US" w:eastAsia="zh-CN" w:bidi="ar-SA"/>
              </w:rPr>
            </w:pPr>
          </w:p>
        </w:tc>
        <w:tc>
          <w:tcPr>
            <w:tcW w:w="1115" w:type="pct"/>
          </w:tcPr>
          <w:p>
            <w:pPr>
              <w:pStyle w:val="5"/>
              <w:spacing w:before="120" w:beforeLines="50" w:after="120" w:afterLines="50"/>
              <w:jc w:val="left"/>
              <w:rPr>
                <w:rFonts w:hint="eastAsia" w:ascii="Times New Roman" w:hAnsi="Times New Roman" w:eastAsia="宋体" w:cs="Times New Roman"/>
                <w:b w:val="0"/>
                <w:bCs/>
                <w:kern w:val="2"/>
                <w:sz w:val="21"/>
                <w:szCs w:val="24"/>
                <w:lang w:val="en-US" w:eastAsia="zh-CN" w:bidi="ar-SA"/>
              </w:rPr>
            </w:pPr>
          </w:p>
        </w:tc>
      </w:tr>
    </w:tbl>
    <w:p>
      <w:pPr>
        <w:rPr>
          <w:rFonts w:cs="宋体"/>
          <w:color w:val="FF0000"/>
        </w:rPr>
      </w:pPr>
    </w:p>
    <w:p>
      <w:pPr>
        <w:numPr>
          <w:ins w:id="0" w:author="雨林木风" w:date="2015-02-15T03:05:00Z"/>
        </w:numPr>
        <w:rPr>
          <w:sz w:val="24"/>
        </w:rPr>
      </w:pPr>
    </w:p>
    <w:p>
      <w:pPr>
        <w:rPr>
          <w:sz w:val="24"/>
        </w:rPr>
      </w:pPr>
      <w:bookmarkStart w:id="31" w:name="_GoBack"/>
      <w:bookmarkEnd w:id="31"/>
      <w:r>
        <w:rPr>
          <w:rFonts w:hint="eastAsia"/>
          <w:sz w:val="24"/>
        </w:rPr>
        <w:t>备注：</w:t>
      </w:r>
    </w:p>
    <w:p>
      <w:pPr>
        <w:rPr>
          <w:b/>
          <w:color w:val="FF0000"/>
          <w:sz w:val="24"/>
        </w:rPr>
      </w:pPr>
      <w:r>
        <w:rPr>
          <w:rFonts w:hint="eastAsia"/>
          <w:b/>
          <w:color w:val="FF0000"/>
          <w:sz w:val="24"/>
        </w:rPr>
        <w:t>1. “招标商务条款”一栏必须填写招标文件第二章“四、商务需求”的内容分别对应“（一）免费保修期内售后服务要求、（二）免费保修期外售后服务要求、（三）其他商务要求”的内容进行填写。</w:t>
      </w:r>
    </w:p>
    <w:p>
      <w:pPr>
        <w:rPr>
          <w:b/>
          <w:color w:val="FF0000"/>
          <w:sz w:val="24"/>
        </w:rPr>
      </w:pPr>
      <w:r>
        <w:rPr>
          <w:rFonts w:hint="eastAsia"/>
          <w:b/>
          <w:color w:val="FF0000"/>
          <w:sz w:val="24"/>
        </w:rPr>
        <w:t>2. “投标商务条款”一栏必须详细填写投标商务条款的内容。</w:t>
      </w:r>
    </w:p>
    <w:p>
      <w:pPr>
        <w:rPr>
          <w:sz w:val="24"/>
        </w:rPr>
      </w:pPr>
      <w:r>
        <w:rPr>
          <w:rFonts w:hint="eastAsia"/>
          <w:b/>
          <w:color w:val="FF0000"/>
          <w:sz w:val="24"/>
        </w:rPr>
        <w:t>3. “偏离情况”栏中应如实填写“正偏离”、“负偏离”或“无偏离”。</w:t>
      </w:r>
    </w:p>
    <w:p>
      <w:pPr>
        <w:rPr>
          <w:b/>
          <w:color w:val="FF0000"/>
          <w:sz w:val="24"/>
        </w:rPr>
      </w:pPr>
      <w:r>
        <w:rPr>
          <w:rFonts w:hint="eastAsia"/>
          <w:b/>
          <w:color w:val="FF0000"/>
          <w:sz w:val="24"/>
        </w:rPr>
        <w:t>3. 交货期条款为不可负偏离条款，投标文件响应为“负偏离”的，投标文件将按投标无效处理。</w:t>
      </w:r>
    </w:p>
    <w:p>
      <w:pPr>
        <w:rPr>
          <w:b/>
          <w:color w:val="FF0000"/>
          <w:sz w:val="24"/>
        </w:rPr>
      </w:pPr>
      <w:r>
        <w:rPr>
          <w:rFonts w:hint="eastAsia"/>
          <w:b/>
          <w:color w:val="FF0000"/>
          <w:sz w:val="24"/>
        </w:rPr>
        <w:t>4. 开标一览表中填写的“交货期”必须与本表填写的“交货期”一致。如填写不一致，以开标一览表填写的“交货期”为准。</w:t>
      </w:r>
    </w:p>
    <w:p>
      <w:pPr>
        <w:rPr>
          <w:sz w:val="24"/>
        </w:rPr>
      </w:pPr>
      <w:r>
        <w:rPr>
          <w:sz w:val="24"/>
        </w:rPr>
        <w:br w:type="page"/>
      </w:r>
    </w:p>
    <w:p>
      <w:pPr>
        <w:pStyle w:val="3"/>
        <w:jc w:val="center"/>
        <w:rPr>
          <w:rFonts w:ascii="黑体" w:eastAsia="黑体"/>
          <w:b w:val="0"/>
          <w:bCs w:val="0"/>
          <w:kern w:val="0"/>
          <w:sz w:val="24"/>
          <w:szCs w:val="20"/>
        </w:rPr>
      </w:pPr>
      <w:r>
        <w:rPr>
          <w:rFonts w:hint="eastAsia" w:ascii="黑体" w:eastAsia="黑体"/>
          <w:b w:val="0"/>
          <w:bCs w:val="0"/>
          <w:kern w:val="0"/>
          <w:sz w:val="24"/>
          <w:szCs w:val="20"/>
        </w:rPr>
        <w:t>十二、投标人认为需要加以说明的其他内容</w:t>
      </w:r>
    </w:p>
    <w:p/>
    <w:p/>
    <w:p/>
    <w:p/>
    <w:p>
      <w:r>
        <w:br w:type="page"/>
      </w:r>
    </w:p>
    <w:p>
      <w:pPr>
        <w:outlineLvl w:val="1"/>
        <w:rPr>
          <w:rFonts w:ascii="宋体" w:hAnsi="宋体"/>
          <w:b/>
          <w:color w:val="FF0000"/>
          <w:sz w:val="28"/>
          <w:szCs w:val="28"/>
        </w:rPr>
      </w:pPr>
      <w:r>
        <w:rPr>
          <w:rFonts w:hint="eastAsia" w:ascii="宋体" w:hAnsi="宋体"/>
          <w:b/>
          <w:color w:val="FF0000"/>
          <w:sz w:val="28"/>
          <w:szCs w:val="28"/>
        </w:rPr>
        <w:t>投标文件第二</w:t>
      </w:r>
      <w:r>
        <w:rPr>
          <w:rFonts w:ascii="宋体" w:hAnsi="宋体"/>
          <w:b/>
          <w:color w:val="FF0000"/>
          <w:sz w:val="28"/>
          <w:szCs w:val="28"/>
        </w:rPr>
        <w:t>部分</w:t>
      </w:r>
    </w:p>
    <w:p>
      <w:pPr>
        <w:pStyle w:val="3"/>
        <w:jc w:val="center"/>
        <w:rPr>
          <w:rFonts w:ascii="黑体" w:eastAsia="黑体"/>
          <w:b w:val="0"/>
          <w:kern w:val="0"/>
          <w:sz w:val="24"/>
        </w:rPr>
      </w:pPr>
      <w:r>
        <w:rPr>
          <w:rFonts w:hint="eastAsia" w:ascii="黑体" w:eastAsia="黑体"/>
          <w:b w:val="0"/>
          <w:kern w:val="0"/>
          <w:sz w:val="24"/>
        </w:rPr>
        <w:t>一、法定代表人证明书</w:t>
      </w:r>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pPr>
        <w:spacing w:line="360" w:lineRule="auto"/>
        <w:rPr>
          <w:szCs w:val="21"/>
        </w:rPr>
      </w:pPr>
      <w:r>
        <w:rPr>
          <w:rFonts w:hint="eastAsia"/>
          <w:szCs w:val="21"/>
        </w:rPr>
        <w:t>有效日期：         签发日期：         单位：                （公章）</w:t>
      </w:r>
    </w:p>
    <w:p>
      <w:pPr>
        <w:spacing w:line="360" w:lineRule="auto"/>
        <w:rPr>
          <w:szCs w:val="21"/>
        </w:rPr>
      </w:pPr>
      <w:r>
        <w:rPr>
          <w:rFonts w:hint="eastAsia"/>
          <w:szCs w:val="21"/>
        </w:rPr>
        <w:t>附：代表人性别：   年龄：      身份证号码：</w:t>
      </w:r>
    </w:p>
    <w:p>
      <w:pPr>
        <w:spacing w:line="360" w:lineRule="auto"/>
        <w:rPr>
          <w:szCs w:val="21"/>
        </w:rPr>
      </w:pPr>
      <w:r>
        <w:rPr>
          <w:rFonts w:hint="eastAsia"/>
          <w:szCs w:val="21"/>
        </w:rPr>
        <w:t>营业执照号码：                 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p>
    <w:p>
      <w:pPr>
        <w:spacing w:line="360" w:lineRule="auto"/>
        <w:rPr>
          <w:szCs w:val="21"/>
        </w:rPr>
      </w:pPr>
      <w:r>
        <w:rPr>
          <w:rFonts w:hint="eastAsia"/>
          <w:szCs w:val="21"/>
        </w:rPr>
        <w:t>说明：1、法定代表人为企业事业单位、国家机关、社会团体的主要行政负责人。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rPr>
          <w:b/>
          <w:bCs/>
          <w:sz w:val="24"/>
        </w:rPr>
      </w:pPr>
    </w:p>
    <w:p>
      <w:pPr>
        <w:pStyle w:val="3"/>
        <w:spacing w:before="120" w:after="120"/>
        <w:jc w:val="center"/>
        <w:rPr>
          <w:rFonts w:ascii="黑体" w:eastAsia="黑体"/>
          <w:b w:val="0"/>
          <w:kern w:val="0"/>
          <w:sz w:val="24"/>
        </w:rPr>
      </w:pPr>
      <w:r>
        <w:rPr>
          <w:rFonts w:hint="eastAsia" w:ascii="黑体" w:eastAsia="黑体"/>
          <w:b w:val="0"/>
          <w:kern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pPr>
        <w:pStyle w:val="7"/>
        <w:spacing w:line="360" w:lineRule="auto"/>
        <w:rPr>
          <w:szCs w:val="21"/>
        </w:rPr>
      </w:pPr>
      <w:r>
        <w:rPr>
          <w:rFonts w:hint="eastAsia"/>
          <w:szCs w:val="21"/>
        </w:rPr>
        <w:t>有效期限：与本公司投标文件中标注的投标有效期相同，自法人代表签字之日起生效。</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 xml:space="preserve">  职务：</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p>
    <w:p>
      <w:pPr>
        <w:spacing w:line="360" w:lineRule="auto"/>
        <w:ind w:left="540" w:leftChars="257"/>
        <w:rPr>
          <w:szCs w:val="21"/>
        </w:rPr>
      </w:pPr>
    </w:p>
    <w:p>
      <w:pPr>
        <w:spacing w:line="360" w:lineRule="auto"/>
        <w:ind w:left="540" w:leftChars="257"/>
        <w:rPr>
          <w:szCs w:val="21"/>
        </w:rPr>
      </w:pPr>
      <w:r>
        <w:rPr>
          <w:rFonts w:hint="eastAsia"/>
          <w:szCs w:val="21"/>
        </w:rPr>
        <w:t>投标人（公司名称）：</w:t>
      </w:r>
      <w:r>
        <w:rPr>
          <w:rFonts w:hint="eastAsia"/>
          <w:szCs w:val="21"/>
          <w:u w:val="single"/>
        </w:rPr>
        <w:t xml:space="preserve">                                    </w:t>
      </w:r>
      <w:r>
        <w:rPr>
          <w:rFonts w:hint="eastAsia"/>
          <w:szCs w:val="21"/>
        </w:rPr>
        <w:t>（公章）</w:t>
      </w:r>
    </w:p>
    <w:p>
      <w:pPr>
        <w:spacing w:line="360" w:lineRule="auto"/>
        <w:ind w:left="540" w:leftChars="257"/>
        <w:rPr>
          <w:szCs w:val="21"/>
        </w:rPr>
      </w:pPr>
      <w:r>
        <w:rPr>
          <w:rFonts w:hint="eastAsia"/>
          <w:szCs w:val="21"/>
        </w:rPr>
        <w:t>法定代表人：</w:t>
      </w:r>
      <w:r>
        <w:rPr>
          <w:rFonts w:hint="eastAsia"/>
          <w:szCs w:val="21"/>
          <w:u w:val="single"/>
        </w:rPr>
        <w:t xml:space="preserve">                 </w:t>
      </w:r>
      <w:r>
        <w:rPr>
          <w:rFonts w:hint="eastAsia"/>
          <w:szCs w:val="21"/>
        </w:rPr>
        <w:t xml:space="preserve"> （签名或</w:t>
      </w:r>
      <w:r>
        <w:rPr>
          <w:szCs w:val="21"/>
        </w:rPr>
        <w:t>签章</w:t>
      </w:r>
      <w:r>
        <w:rPr>
          <w:rFonts w:hint="eastAsia"/>
          <w:szCs w:val="21"/>
        </w:rPr>
        <w:t>）</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r>
        <w:br w:type="page"/>
      </w:r>
    </w:p>
    <w:p>
      <w:pPr>
        <w:pStyle w:val="3"/>
        <w:jc w:val="center"/>
        <w:rPr>
          <w:rFonts w:ascii="黑体" w:eastAsia="黑体"/>
          <w:b w:val="0"/>
          <w:sz w:val="24"/>
          <w:szCs w:val="24"/>
        </w:rPr>
      </w:pPr>
      <w:r>
        <w:rPr>
          <w:rFonts w:hint="eastAsia" w:ascii="黑体" w:eastAsia="黑体"/>
          <w:b w:val="0"/>
          <w:sz w:val="24"/>
          <w:szCs w:val="24"/>
        </w:rPr>
        <w:t>三、项目实施方案</w:t>
      </w:r>
    </w:p>
    <w:p>
      <w:pPr>
        <w:rPr>
          <w:sz w:val="24"/>
        </w:rPr>
      </w:pPr>
      <w:r>
        <w:rPr>
          <w:rFonts w:hint="eastAsia"/>
          <w:sz w:val="24"/>
        </w:rPr>
        <w:t>主要内容应包括(根据项目实际情况适当调整内容)：</w:t>
      </w:r>
    </w:p>
    <w:p>
      <w:pPr>
        <w:rPr>
          <w:sz w:val="24"/>
        </w:rPr>
      </w:pPr>
    </w:p>
    <w:p>
      <w:pPr>
        <w:rPr>
          <w:sz w:val="24"/>
        </w:rPr>
      </w:pPr>
      <w:r>
        <w:rPr>
          <w:rFonts w:hint="eastAsia"/>
          <w:sz w:val="24"/>
        </w:rPr>
        <w:t>1、项目交货期、实施进度表</w:t>
      </w:r>
    </w:p>
    <w:p>
      <w:pPr>
        <w:rPr>
          <w:sz w:val="24"/>
        </w:rPr>
      </w:pPr>
      <w:r>
        <w:rPr>
          <w:rFonts w:hint="eastAsia"/>
          <w:sz w:val="24"/>
        </w:rPr>
        <w:t>2、相关配套措施</w:t>
      </w:r>
    </w:p>
    <w:p>
      <w:pPr>
        <w:rPr>
          <w:b/>
          <w:bCs/>
          <w:color w:val="FF0000"/>
          <w:sz w:val="24"/>
        </w:rPr>
      </w:pPr>
      <w:r>
        <w:rPr>
          <w:rFonts w:hint="eastAsia"/>
          <w:b/>
          <w:bCs/>
          <w:color w:val="FF0000"/>
          <w:sz w:val="24"/>
        </w:rPr>
        <w:t>（备注：该部分须与“技术保障措施”、“施工安全保障措施”、“商务需求”等部分承诺的内容相呼应，不得前后矛盾。）</w:t>
      </w:r>
    </w:p>
    <w:p>
      <w:pPr>
        <w:rPr>
          <w:b/>
          <w:bCs/>
          <w:sz w:val="24"/>
        </w:rPr>
      </w:pPr>
    </w:p>
    <w:p>
      <w:pPr>
        <w:pStyle w:val="3"/>
        <w:jc w:val="center"/>
        <w:rPr>
          <w:rFonts w:ascii="黑体" w:eastAsia="黑体"/>
          <w:b w:val="0"/>
          <w:sz w:val="24"/>
          <w:szCs w:val="24"/>
        </w:rPr>
      </w:pPr>
      <w:r>
        <w:rPr>
          <w:rFonts w:hint="eastAsia" w:ascii="黑体" w:eastAsia="黑体"/>
          <w:b w:val="0"/>
          <w:sz w:val="24"/>
          <w:szCs w:val="24"/>
        </w:rPr>
        <w:t>四、售后服务方案</w:t>
      </w:r>
    </w:p>
    <w:p>
      <w:pPr>
        <w:rPr>
          <w:sz w:val="24"/>
        </w:rPr>
      </w:pPr>
    </w:p>
    <w:p>
      <w:pPr>
        <w:rPr>
          <w:sz w:val="24"/>
        </w:rPr>
      </w:pPr>
      <w:r>
        <w:rPr>
          <w:rFonts w:hint="eastAsia"/>
          <w:sz w:val="24"/>
        </w:rPr>
        <w:t>主要内容应包括(根据项目实际情况适当调整内容)：</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
      <w:r>
        <w:br w:type="page"/>
      </w:r>
    </w:p>
    <w:p>
      <w:pPr>
        <w:pStyle w:val="5"/>
        <w:rPr>
          <w:kern w:val="2"/>
          <w:sz w:val="32"/>
          <w:szCs w:val="32"/>
        </w:rPr>
      </w:pPr>
      <w:r>
        <w:rPr>
          <w:rFonts w:hint="eastAsia"/>
          <w:kern w:val="2"/>
          <w:sz w:val="32"/>
          <w:szCs w:val="32"/>
        </w:rPr>
        <w:t>第四章</w:t>
      </w:r>
      <w:r>
        <w:rPr>
          <w:kern w:val="2"/>
          <w:sz w:val="32"/>
          <w:szCs w:val="32"/>
        </w:rPr>
        <w:t xml:space="preserve"> </w:t>
      </w:r>
      <w:r>
        <w:rPr>
          <w:rFonts w:hint="eastAsia"/>
          <w:kern w:val="2"/>
          <w:sz w:val="32"/>
          <w:szCs w:val="32"/>
        </w:rPr>
        <w:t xml:space="preserve"> 合同条款及格式（仅供参考）</w:t>
      </w:r>
    </w:p>
    <w:p>
      <w:pPr>
        <w:pStyle w:val="4"/>
        <w:jc w:val="center"/>
      </w:pPr>
      <w:r>
        <w:rPr>
          <w:rFonts w:hint="eastAsia"/>
        </w:rPr>
        <w:t>有专业类别的格式合同范本请选择相应的合同</w:t>
      </w:r>
    </w:p>
    <w:p>
      <w:pPr>
        <w:pStyle w:val="5"/>
        <w:rPr>
          <w:kern w:val="2"/>
        </w:rPr>
      </w:pPr>
      <w:r>
        <w:rPr>
          <w:rFonts w:hint="eastAsia"/>
        </w:rPr>
        <w:t>一、</w:t>
      </w:r>
      <w:r>
        <w:rPr>
          <w:rFonts w:hint="eastAsia"/>
          <w:kern w:val="2"/>
        </w:rPr>
        <w:t>合同条款及格式</w:t>
      </w:r>
    </w:p>
    <w:p>
      <w:pPr>
        <w:jc w:val="center"/>
        <w:rPr>
          <w:b/>
          <w:sz w:val="24"/>
        </w:rPr>
      </w:pPr>
      <w:r>
        <w:rPr>
          <w:rFonts w:hint="eastAsia"/>
          <w:b/>
          <w:sz w:val="24"/>
        </w:rPr>
        <w:t>（仅供参考）</w:t>
      </w:r>
    </w:p>
    <w:p>
      <w:pPr>
        <w:jc w:val="left"/>
        <w:rPr>
          <w:szCs w:val="21"/>
        </w:rPr>
      </w:pPr>
      <w:r>
        <w:rPr>
          <w:rFonts w:hint="eastAsia"/>
          <w:szCs w:val="21"/>
        </w:rPr>
        <w:t>采购人：</w:t>
      </w:r>
      <w:r>
        <w:rPr>
          <w:rFonts w:hint="eastAsia"/>
          <w:szCs w:val="21"/>
          <w:u w:val="single"/>
        </w:rPr>
        <w:t xml:space="preserve">           </w:t>
      </w:r>
    </w:p>
    <w:p>
      <w:pPr>
        <w:jc w:val="left"/>
        <w:rPr>
          <w:szCs w:val="21"/>
        </w:rPr>
      </w:pPr>
      <w:r>
        <w:rPr>
          <w:rFonts w:hint="eastAsia"/>
          <w:szCs w:val="21"/>
        </w:rPr>
        <w:t>供应商：</w:t>
      </w:r>
      <w:r>
        <w:rPr>
          <w:rFonts w:hint="eastAsia"/>
          <w:szCs w:val="21"/>
          <w:u w:val="single"/>
        </w:rPr>
        <w:t xml:space="preserve">           </w:t>
      </w:r>
    </w:p>
    <w:p>
      <w:pPr>
        <w:jc w:val="left"/>
        <w:rPr>
          <w:sz w:val="24"/>
        </w:rPr>
      </w:pPr>
    </w:p>
    <w:p>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pPr>
        <w:spacing w:line="360" w:lineRule="auto"/>
        <w:ind w:firstLine="560"/>
        <w:jc w:val="left"/>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pPr>
        <w:spacing w:line="360" w:lineRule="auto"/>
        <w:ind w:firstLine="560"/>
        <w:jc w:val="left"/>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pPr>
        <w:spacing w:line="360" w:lineRule="auto"/>
        <w:ind w:firstLine="560"/>
        <w:jc w:val="left"/>
        <w:rPr>
          <w:b/>
          <w:szCs w:val="21"/>
        </w:rPr>
      </w:pPr>
      <w:r>
        <w:rPr>
          <w:rFonts w:hint="eastAsia"/>
          <w:b/>
          <w:szCs w:val="21"/>
        </w:rPr>
        <w:t>第三条  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b/>
          <w:szCs w:val="21"/>
        </w:rPr>
      </w:pPr>
      <w:r>
        <w:rPr>
          <w:rFonts w:hint="eastAsia"/>
          <w:b/>
          <w:szCs w:val="21"/>
        </w:rPr>
        <w:t>第四条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第五条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4、甲方应当在到货后的</w:t>
      </w:r>
      <w:r>
        <w:rPr>
          <w:rFonts w:hint="eastAsia" w:ascii="宋体" w:hAnsi="宋体"/>
          <w:szCs w:val="21"/>
          <w:u w:val="single"/>
        </w:rPr>
        <w:t xml:space="preserve">       </w:t>
      </w:r>
      <w:r>
        <w:rPr>
          <w:rFonts w:hint="eastAsia" w:ascii="宋体" w:hAnsi="宋体"/>
          <w:szCs w:val="21"/>
        </w:rPr>
        <w:t>个工作日内对货物进行验收；需要乙方对货物或系统进行安装调试的，甲方应在货物安装调试完毕后的</w:t>
      </w:r>
      <w:r>
        <w:rPr>
          <w:rFonts w:hint="eastAsia" w:ascii="宋体" w:hAnsi="宋体"/>
          <w:szCs w:val="21"/>
          <w:u w:val="single"/>
        </w:rPr>
        <w:t xml:space="preserve">       </w:t>
      </w:r>
      <w:r>
        <w:rPr>
          <w:rFonts w:hint="eastAsia" w:ascii="宋体" w:hAnsi="宋体"/>
          <w:szCs w:val="21"/>
        </w:rPr>
        <w:t>个工作日内进行质量验收。</w:t>
      </w:r>
    </w:p>
    <w:p>
      <w:pPr>
        <w:spacing w:line="360" w:lineRule="auto"/>
        <w:ind w:firstLine="560"/>
        <w:jc w:val="left"/>
        <w:rPr>
          <w:b/>
          <w:szCs w:val="21"/>
        </w:rPr>
      </w:pPr>
      <w:r>
        <w:rPr>
          <w:rFonts w:hint="eastAsia"/>
          <w:b/>
          <w:szCs w:val="21"/>
        </w:rPr>
        <w:t>第六条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b/>
          <w:szCs w:val="21"/>
        </w:rPr>
      </w:pPr>
      <w:r>
        <w:rPr>
          <w:rFonts w:hint="eastAsia"/>
          <w:b/>
          <w:szCs w:val="21"/>
        </w:rPr>
        <w:t>第七条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第八条   货款支付</w:t>
      </w:r>
    </w:p>
    <w:p>
      <w:pPr>
        <w:spacing w:line="360" w:lineRule="auto"/>
        <w:ind w:firstLine="560"/>
        <w:jc w:val="left"/>
        <w:rPr>
          <w:szCs w:val="21"/>
        </w:rPr>
      </w:pPr>
    </w:p>
    <w:p>
      <w:pPr>
        <w:spacing w:line="360" w:lineRule="auto"/>
        <w:ind w:firstLine="560"/>
        <w:jc w:val="left"/>
        <w:rPr>
          <w:b/>
          <w:szCs w:val="21"/>
        </w:rPr>
      </w:pPr>
      <w:r>
        <w:rPr>
          <w:rFonts w:hint="eastAsia"/>
          <w:b/>
          <w:szCs w:val="21"/>
        </w:rPr>
        <w:t>第九条    违约责任</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w:t>
      </w:r>
      <w:r>
        <w:rPr>
          <w:rFonts w:hint="eastAsia" w:ascii="宋体" w:hAnsi="宋体"/>
          <w:szCs w:val="21"/>
          <w:u w:val="single"/>
        </w:rPr>
        <w:t xml:space="preserve">    </w:t>
      </w:r>
      <w:r>
        <w:rPr>
          <w:rFonts w:hint="eastAsia" w:ascii="宋体" w:hAnsi="宋体"/>
          <w:szCs w:val="21"/>
        </w:rPr>
        <w:t>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除《中华人民共和国政府采购法》第４９条、第５０条第二款规定的情形外，本合同一经签订，甲乙双方不得擅自变更、中止或终止合同。</w:t>
      </w:r>
    </w:p>
    <w:p>
      <w:pPr>
        <w:spacing w:line="360" w:lineRule="auto"/>
        <w:ind w:firstLine="560"/>
        <w:jc w:val="left"/>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w:t>
      </w:r>
      <w:r>
        <w:rPr>
          <w:rFonts w:hint="eastAsia" w:ascii="宋体" w:hAnsi="宋体"/>
          <w:szCs w:val="21"/>
          <w:u w:val="single"/>
        </w:rPr>
        <w:t xml:space="preserve">     </w:t>
      </w:r>
      <w:r>
        <w:rPr>
          <w:rFonts w:hint="eastAsia" w:ascii="宋体" w:hAnsi="宋体"/>
          <w:szCs w:val="21"/>
        </w:rPr>
        <w:t>份，甲、乙方双方各执</w:t>
      </w:r>
      <w:r>
        <w:rPr>
          <w:rFonts w:hint="eastAsia" w:ascii="宋体" w:hAnsi="宋体"/>
          <w:szCs w:val="21"/>
          <w:u w:val="single"/>
        </w:rPr>
        <w:t xml:space="preserve">     </w:t>
      </w:r>
      <w:r>
        <w:rPr>
          <w:rFonts w:hint="eastAsia" w:ascii="宋体" w:hAnsi="宋体"/>
          <w:szCs w:val="21"/>
        </w:rPr>
        <w:t>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r>
        <w:br w:type="page"/>
      </w:r>
    </w:p>
    <w:p>
      <w:pPr>
        <w:pStyle w:val="5"/>
        <w:rPr>
          <w:kern w:val="2"/>
          <w:sz w:val="32"/>
          <w:szCs w:val="32"/>
        </w:rPr>
      </w:pPr>
      <w:r>
        <w:rPr>
          <w:rFonts w:hint="eastAsia"/>
          <w:kern w:val="2"/>
          <w:sz w:val="32"/>
          <w:szCs w:val="32"/>
        </w:rPr>
        <w:t>第五章  深圳大学采购履约情况反馈表</w:t>
      </w:r>
    </w:p>
    <w:p>
      <w:pPr>
        <w:spacing w:line="240" w:lineRule="atLeast"/>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5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3"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1、本表为采购单位向深圳大学招投标管理中心反映采购项目履约情况时所用；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rPr>
          <w:rFonts w:ascii="宋体" w:hAnsi="宋体"/>
          <w:szCs w:val="21"/>
        </w:rPr>
      </w:pPr>
    </w:p>
    <w:p>
      <w:pPr>
        <w:pStyle w:val="2"/>
      </w:pPr>
      <w:r>
        <w:rPr>
          <w:rFonts w:hint="eastAsia"/>
        </w:rPr>
        <w:t>第二册  通用条款（公开招标）</w:t>
      </w:r>
    </w:p>
    <w:p>
      <w:pPr>
        <w:jc w:val="center"/>
        <w:rPr>
          <w:rFonts w:ascii="宋体" w:hAnsi="宋体"/>
          <w:b/>
          <w:color w:val="FF0000"/>
          <w:sz w:val="28"/>
          <w:szCs w:val="28"/>
        </w:rPr>
      </w:pPr>
      <w:r>
        <w:rPr>
          <w:rFonts w:hint="eastAsia" w:ascii="宋体" w:hAnsi="宋体"/>
          <w:b/>
          <w:color w:val="FF0000"/>
          <w:sz w:val="28"/>
          <w:szCs w:val="28"/>
        </w:rPr>
        <w:t>（</w:t>
      </w:r>
      <w:r>
        <w:rPr>
          <w:rFonts w:ascii="宋体" w:hAnsi="宋体"/>
          <w:b/>
          <w:color w:val="FF0000"/>
          <w:sz w:val="28"/>
          <w:szCs w:val="28"/>
        </w:rPr>
        <w:t>1</w:t>
      </w:r>
      <w:r>
        <w:rPr>
          <w:rFonts w:hint="eastAsia" w:ascii="宋体" w:hAnsi="宋体"/>
          <w:b/>
          <w:color w:val="FF0000"/>
          <w:sz w:val="28"/>
          <w:szCs w:val="28"/>
        </w:rPr>
        <w:t>.4.</w:t>
      </w:r>
      <w:r>
        <w:rPr>
          <w:rFonts w:ascii="宋体" w:hAnsi="宋体"/>
          <w:b/>
          <w:color w:val="FF0000"/>
          <w:sz w:val="28"/>
          <w:szCs w:val="28"/>
        </w:rPr>
        <w:t>1</w:t>
      </w:r>
      <w:r>
        <w:rPr>
          <w:rFonts w:hint="eastAsia" w:ascii="宋体" w:hAnsi="宋体"/>
          <w:b/>
          <w:color w:val="FF0000"/>
          <w:sz w:val="28"/>
          <w:szCs w:val="28"/>
        </w:rPr>
        <w:t>版本）</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1.1深圳大学招投标</w:t>
      </w:r>
      <w:r>
        <w:rPr>
          <w:rFonts w:ascii="宋体" w:hAnsi="宋体"/>
          <w:szCs w:val="21"/>
        </w:rPr>
        <w:t>管理中心</w:t>
      </w:r>
      <w:r>
        <w:rPr>
          <w:rFonts w:hint="eastAsia" w:ascii="宋体" w:hAnsi="宋体"/>
          <w:szCs w:val="21"/>
        </w:rPr>
        <w:t>发出招标文件通用条款版本，列出深圳大学采购项目进行招标采购所适用的通用条款内容。如有需要，深圳大学</w:t>
      </w:r>
      <w:r>
        <w:rPr>
          <w:rFonts w:ascii="宋体" w:hAnsi="宋体"/>
          <w:szCs w:val="21"/>
        </w:rPr>
        <w:t>招投标管理中心</w:t>
      </w:r>
      <w:r>
        <w:rPr>
          <w:rFonts w:hint="eastAsia" w:ascii="宋体" w:hAnsi="宋体"/>
          <w:szCs w:val="21"/>
        </w:rPr>
        <w:t>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 《深圳经济特区</w:t>
      </w:r>
      <w:r>
        <w:rPr>
          <w:rFonts w:ascii="宋体" w:hAnsi="宋体"/>
          <w:szCs w:val="21"/>
        </w:rPr>
        <w:t>政府采购条例实施细则</w:t>
      </w:r>
      <w:r>
        <w:rPr>
          <w:rFonts w:hint="eastAsia" w:ascii="宋体" w:hAnsi="宋体"/>
          <w:szCs w:val="21"/>
        </w:rPr>
        <w:t>》和深圳大学</w:t>
      </w:r>
      <w:r>
        <w:rPr>
          <w:rFonts w:ascii="宋体" w:hAnsi="宋体"/>
          <w:szCs w:val="21"/>
        </w:rPr>
        <w:t>的</w:t>
      </w:r>
      <w:r>
        <w:rPr>
          <w:rFonts w:hint="eastAsia" w:ascii="宋体" w:hAnsi="宋体"/>
          <w:szCs w:val="21"/>
        </w:rPr>
        <w:t>有关</w:t>
      </w:r>
      <w:r>
        <w:rPr>
          <w:rFonts w:ascii="宋体" w:hAnsi="宋体"/>
          <w:szCs w:val="21"/>
        </w:rPr>
        <w:t>规定</w:t>
      </w:r>
      <w:r>
        <w:rPr>
          <w:rFonts w:hint="eastAsia" w:ascii="宋体" w:hAnsi="宋体"/>
          <w:szCs w:val="21"/>
        </w:rPr>
        <w:t>，并参考有关法规和规定通过招标方式</w:t>
      </w:r>
      <w:r>
        <w:rPr>
          <w:rFonts w:ascii="宋体" w:hAnsi="宋体"/>
          <w:szCs w:val="21"/>
        </w:rPr>
        <w:t>确定</w:t>
      </w:r>
      <w:r>
        <w:rPr>
          <w:rFonts w:hint="eastAsia" w:ascii="宋体" w:hAnsi="宋体"/>
          <w:szCs w:val="21"/>
        </w:rPr>
        <w:t>中标供应商。</w:t>
      </w:r>
    </w:p>
    <w:p>
      <w:pPr>
        <w:spacing w:line="360" w:lineRule="auto"/>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“学校采购机构”系指深圳大学</w:t>
      </w:r>
      <w:r>
        <w:rPr>
          <w:rFonts w:ascii="宋体" w:hAnsi="宋体"/>
          <w:szCs w:val="21"/>
        </w:rPr>
        <w:t>招投标管理中心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3.2“采购人”或“采购单位”：系指深圳大学</w:t>
      </w:r>
      <w:r>
        <w:rPr>
          <w:rFonts w:ascii="宋体" w:hAnsi="宋体"/>
          <w:szCs w:val="21"/>
        </w:rPr>
        <w:t>、深圳大学下属</w:t>
      </w:r>
      <w:r>
        <w:rPr>
          <w:rFonts w:hint="eastAsia" w:ascii="宋体" w:hAnsi="宋体"/>
          <w:szCs w:val="21"/>
        </w:rPr>
        <w:t xml:space="preserve">单位； </w:t>
      </w:r>
    </w:p>
    <w:p>
      <w:pPr>
        <w:ind w:firstLine="411" w:firstLineChars="196"/>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“评审委员会”和“谈判小组”是依据《深圳经济特区政府采购条例》、《深圳经济特区政府采购条例实施细则》和</w:t>
      </w:r>
      <w:r>
        <w:rPr>
          <w:rFonts w:ascii="宋体" w:hAnsi="宋体"/>
          <w:szCs w:val="21"/>
        </w:rPr>
        <w:t>深圳大学的</w:t>
      </w:r>
      <w:r>
        <w:rPr>
          <w:rFonts w:hint="eastAsia" w:ascii="宋体" w:hAnsi="宋体"/>
          <w:szCs w:val="21"/>
        </w:rPr>
        <w:t>有关规定组建的专门负责本次招标的评审（谈判）工作的临时性机构；</w:t>
      </w:r>
    </w:p>
    <w:p>
      <w:pPr>
        <w:ind w:firstLine="411" w:firstLineChars="196"/>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ascii="宋体" w:hAnsi="宋体"/>
          <w:szCs w:val="21"/>
        </w:rPr>
        <w:t>3.6“</w:t>
      </w:r>
      <w:r>
        <w:rPr>
          <w:rFonts w:hint="eastAsia" w:ascii="宋体" w:hAnsi="宋体"/>
          <w:szCs w:val="21"/>
        </w:rPr>
        <w:t>时间</w:t>
      </w:r>
      <w:r>
        <w:rPr>
          <w:rFonts w:ascii="宋体" w:hAnsi="宋体"/>
          <w:szCs w:val="21"/>
        </w:rPr>
        <w:t>”</w:t>
      </w:r>
      <w:r>
        <w:rPr>
          <w:rFonts w:hint="eastAsia" w:ascii="宋体" w:hAnsi="宋体"/>
          <w:szCs w:val="21"/>
        </w:rPr>
        <w:t>如未特别</w:t>
      </w:r>
      <w:r>
        <w:rPr>
          <w:rFonts w:ascii="宋体" w:hAnsi="宋体"/>
          <w:szCs w:val="21"/>
        </w:rPr>
        <w:t>说明，均</w:t>
      </w:r>
      <w:r>
        <w:rPr>
          <w:rFonts w:hint="eastAsia" w:ascii="宋体" w:hAnsi="宋体"/>
          <w:szCs w:val="21"/>
        </w:rPr>
        <w:t>为</w:t>
      </w:r>
      <w:r>
        <w:rPr>
          <w:rFonts w:ascii="宋体" w:hAnsi="宋体"/>
          <w:szCs w:val="21"/>
        </w:rPr>
        <w:t>北京时间；</w:t>
      </w:r>
    </w:p>
    <w:p>
      <w:pPr>
        <w:ind w:firstLine="411" w:firstLineChars="196"/>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“合同”指由本次招标所产生的合同或合约文件；</w:t>
      </w:r>
    </w:p>
    <w:p>
      <w:pPr>
        <w:ind w:firstLine="411" w:firstLineChars="196"/>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招标文件中的标题或题名仅起引导作用，而不应视为对招标文件内容的理解和解释。</w:t>
      </w:r>
    </w:p>
    <w:p>
      <w:pPr>
        <w:spacing w:line="360" w:lineRule="auto"/>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rPr>
      </w:pPr>
      <w:r>
        <w:rPr>
          <w:rFonts w:hint="eastAsia" w:ascii="黑体" w:hAnsi="宋体" w:eastAsia="黑体"/>
          <w:sz w:val="24"/>
        </w:rPr>
        <w:t>5．投标人参加深圳大学采购活动的条件</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rPr>
      </w:pPr>
      <w:r>
        <w:rPr>
          <w:rFonts w:hint="eastAsia" w:ascii="黑体" w:hAnsi="宋体" w:eastAsia="黑体"/>
          <w:sz w:val="24"/>
        </w:rPr>
        <w:t>6．联合体投标</w:t>
      </w:r>
    </w:p>
    <w:p>
      <w:pPr>
        <w:ind w:firstLine="411" w:firstLineChars="196"/>
        <w:rPr>
          <w:rFonts w:ascii="宋体" w:hAnsi="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（1）投标联合体各方参加深圳大学</w:t>
      </w:r>
      <w:r>
        <w:rPr>
          <w:rFonts w:ascii="宋体" w:hAnsi="宋体"/>
        </w:rPr>
        <w:t>的</w:t>
      </w:r>
      <w:r>
        <w:rPr>
          <w:rFonts w:hint="eastAsia" w:ascii="宋体" w:hAnsi="宋体"/>
        </w:rPr>
        <w:t>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w:t>
      </w:r>
      <w:r>
        <w:rPr>
          <w:rFonts w:ascii="宋体" w:hAnsi="宋体"/>
        </w:rPr>
        <w:t>7</w:t>
      </w:r>
      <w:r>
        <w:rPr>
          <w:rFonts w:hint="eastAsia" w:ascii="宋体" w:hAnsi="宋体"/>
        </w:rPr>
        <w:t xml:space="preserve">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rPr>
      </w:pPr>
      <w:r>
        <w:rPr>
          <w:rFonts w:hint="eastAsia" w:ascii="黑体" w:hAnsi="宋体" w:eastAsia="黑体"/>
          <w:sz w:val="24"/>
        </w:rPr>
        <w:t>9．踏勘现场</w:t>
      </w:r>
    </w:p>
    <w:p>
      <w:pPr>
        <w:ind w:firstLine="411" w:firstLineChars="196"/>
        <w:rPr>
          <w:rFonts w:ascii="宋体" w:hAnsi="宋体"/>
        </w:rPr>
      </w:pPr>
      <w:r>
        <w:rPr>
          <w:rFonts w:hint="eastAsia" w:ascii="宋体" w:hAnsi="宋体"/>
        </w:rPr>
        <w:t>9.1如有需要（详见专用条款），学校</w:t>
      </w:r>
      <w:r>
        <w:rPr>
          <w:rFonts w:ascii="宋体" w:hAnsi="宋体"/>
        </w:rPr>
        <w:t>采购机构</w:t>
      </w:r>
      <w:r>
        <w:rPr>
          <w:rFonts w:hint="eastAsia" w:ascii="宋体" w:hAnsi="宋体"/>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w:t>
      </w:r>
      <w:r>
        <w:rPr>
          <w:rFonts w:ascii="宋体" w:hAnsi="宋体"/>
        </w:rPr>
        <w:t>口头承诺</w:t>
      </w:r>
      <w:r>
        <w:rPr>
          <w:rFonts w:hint="eastAsia" w:ascii="宋体" w:hAnsi="宋体"/>
        </w:rPr>
        <w:t>，未经学校采购机构在网上发布或书面通知，均作无效处理。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11.1招标文件除以下内容外，学校采购机构在招标（或谈判）期间发出的答疑、</w:t>
      </w:r>
      <w:r>
        <w:rPr>
          <w:rFonts w:ascii="宋体" w:hAnsi="宋体"/>
          <w:szCs w:val="21"/>
        </w:rPr>
        <w:t>澄清</w:t>
      </w:r>
      <w:r>
        <w:rPr>
          <w:rFonts w:hint="eastAsia" w:ascii="宋体" w:hAnsi="宋体"/>
          <w:szCs w:val="21"/>
        </w:rPr>
        <w:t>或修改等</w:t>
      </w:r>
      <w:r>
        <w:rPr>
          <w:rFonts w:ascii="宋体" w:hAnsi="宋体"/>
          <w:szCs w:val="21"/>
        </w:rPr>
        <w:t>相关公告或通知内容</w:t>
      </w:r>
      <w:r>
        <w:rPr>
          <w:rFonts w:hint="eastAsia" w:ascii="宋体" w:hAnsi="宋体"/>
          <w:szCs w:val="21"/>
        </w:rPr>
        <w:t>，均是招标文件的组成部分，对投标人起约束作用；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3" w:firstLineChars="196"/>
        <w:rPr>
          <w:rFonts w:ascii="宋体" w:hAnsi="宋体"/>
          <w:b/>
          <w:szCs w:val="21"/>
        </w:rPr>
      </w:pPr>
      <w:r>
        <w:rPr>
          <w:rFonts w:hint="eastAsia" w:ascii="宋体" w:hAnsi="宋体"/>
          <w:b/>
          <w:szCs w:val="21"/>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w:t>
      </w:r>
      <w:r>
        <w:rPr>
          <w:rFonts w:ascii="宋体" w:hAnsi="宋体"/>
          <w:szCs w:val="21"/>
        </w:rPr>
        <w:t>书面</w:t>
      </w:r>
      <w:r>
        <w:rPr>
          <w:rFonts w:hint="eastAsia" w:ascii="宋体" w:hAnsi="宋体"/>
          <w:szCs w:val="21"/>
        </w:rPr>
        <w:t>形式提交</w:t>
      </w:r>
      <w:r>
        <w:rPr>
          <w:rFonts w:ascii="宋体" w:hAnsi="宋体"/>
          <w:szCs w:val="21"/>
        </w:rPr>
        <w:t>给</w:t>
      </w:r>
      <w:r>
        <w:rPr>
          <w:rFonts w:hint="eastAsia" w:ascii="宋体" w:hAnsi="宋体"/>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具体内容请详见本项目招标文件</w:t>
      </w:r>
      <w:r>
        <w:rPr>
          <w:rFonts w:ascii="宋体" w:hAnsi="宋体"/>
          <w:b/>
          <w:szCs w:val="21"/>
        </w:rPr>
        <w:t>第一册“</w:t>
      </w:r>
      <w:r>
        <w:rPr>
          <w:rFonts w:hint="eastAsia" w:ascii="宋体" w:hAnsi="宋体"/>
          <w:b/>
          <w:szCs w:val="21"/>
        </w:rPr>
        <w:t>专用条款</w:t>
      </w:r>
      <w:r>
        <w:rPr>
          <w:rFonts w:ascii="宋体" w:hAnsi="宋体"/>
          <w:b/>
          <w:szCs w:val="21"/>
        </w:rPr>
        <w:t>”</w:t>
      </w:r>
      <w:r>
        <w:rPr>
          <w:rFonts w:hint="eastAsia" w:ascii="宋体" w:hAnsi="宋体"/>
          <w:b/>
          <w:szCs w:val="21"/>
        </w:rPr>
        <w:t>的相关内容。</w:t>
      </w:r>
    </w:p>
    <w:p>
      <w:pPr>
        <w:spacing w:line="360" w:lineRule="auto"/>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如招标文件第一册“专用条款”</w:t>
      </w:r>
      <w:r>
        <w:rPr>
          <w:rFonts w:ascii="宋体" w:hAnsi="宋体"/>
          <w:szCs w:val="21"/>
        </w:rPr>
        <w:t>无另外</w:t>
      </w:r>
      <w:r>
        <w:rPr>
          <w:rFonts w:hint="eastAsia" w:ascii="宋体" w:hAnsi="宋体"/>
          <w:szCs w:val="21"/>
        </w:rPr>
        <w:t>规定</w:t>
      </w:r>
      <w:r>
        <w:rPr>
          <w:rFonts w:ascii="宋体" w:hAnsi="宋体"/>
          <w:szCs w:val="21"/>
        </w:rPr>
        <w:t>，</w:t>
      </w:r>
      <w:r>
        <w:rPr>
          <w:rFonts w:hint="eastAsia" w:ascii="宋体" w:hAnsi="宋体"/>
          <w:szCs w:val="21"/>
        </w:rPr>
        <w:t>本项目的投标应以人民币计。</w:t>
      </w:r>
    </w:p>
    <w:p>
      <w:pPr>
        <w:spacing w:line="360" w:lineRule="auto"/>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投标人应按照本项目</w:t>
      </w:r>
      <w:r>
        <w:rPr>
          <w:rFonts w:ascii="宋体" w:hAnsi="宋体"/>
          <w:szCs w:val="21"/>
        </w:rPr>
        <w:t>招标文</w:t>
      </w:r>
      <w:r>
        <w:rPr>
          <w:rFonts w:hint="eastAsia" w:ascii="宋体" w:hAnsi="宋体"/>
          <w:szCs w:val="21"/>
        </w:rPr>
        <w:t>件第一册“</w:t>
      </w:r>
      <w:r>
        <w:rPr>
          <w:rFonts w:ascii="宋体" w:hAnsi="宋体"/>
          <w:szCs w:val="21"/>
        </w:rPr>
        <w:t>专用条款</w:t>
      </w:r>
      <w:r>
        <w:rPr>
          <w:rFonts w:hint="eastAsia" w:ascii="宋体" w:hAnsi="宋体"/>
          <w:szCs w:val="21"/>
        </w:rPr>
        <w:t>”</w:t>
      </w:r>
      <w:r>
        <w:rPr>
          <w:rFonts w:ascii="宋体" w:hAnsi="宋体"/>
          <w:szCs w:val="21"/>
        </w:rPr>
        <w:t>的要求</w:t>
      </w:r>
      <w:r>
        <w:rPr>
          <w:rFonts w:hint="eastAsia" w:ascii="宋体" w:hAnsi="宋体"/>
          <w:szCs w:val="21"/>
        </w:rPr>
        <w:t>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hint="eastAsia" w:ascii="宋体" w:hAnsi="宋体"/>
          <w:szCs w:val="21"/>
        </w:rPr>
        <w:t>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hint="eastAsia" w:ascii="宋体" w:hAnsi="宋体"/>
          <w:szCs w:val="21"/>
        </w:rPr>
        <w:t>。</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.4</w:t>
      </w:r>
      <w:r>
        <w:rPr>
          <w:rFonts w:hint="eastAsia" w:ascii="宋体" w:hAnsi="宋体"/>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w:t>
      </w:r>
      <w:r>
        <w:rPr>
          <w:rFonts w:ascii="宋体" w:hAnsi="宋体"/>
          <w:szCs w:val="21"/>
        </w:rPr>
        <w:t>5</w:t>
      </w:r>
      <w:r>
        <w:rPr>
          <w:rFonts w:hint="eastAsia" w:ascii="宋体" w:hAnsi="宋体"/>
          <w:szCs w:val="21"/>
        </w:rPr>
        <w:t>为保证公平公正，除非另有规定或说明，投标人对同一项目投标时，不得同时提供两套或两套以上的投标方案。</w:t>
      </w:r>
    </w:p>
    <w:p>
      <w:pPr>
        <w:spacing w:line="360" w:lineRule="auto"/>
        <w:rPr>
          <w:rFonts w:ascii="黑体" w:hAnsi="宋体" w:eastAsia="黑体"/>
          <w:sz w:val="24"/>
        </w:rPr>
      </w:pPr>
      <w:r>
        <w:rPr>
          <w:rFonts w:hint="eastAsia" w:ascii="黑体" w:hAnsi="宋体" w:eastAsia="黑体"/>
          <w:sz w:val="24"/>
        </w:rPr>
        <w:t>19．投标文件其他证明文件的要求</w:t>
      </w:r>
    </w:p>
    <w:p>
      <w:pPr>
        <w:ind w:firstLine="411" w:firstLineChars="196"/>
        <w:rPr>
          <w:rFonts w:ascii="宋体" w:hAnsi="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hint="eastAsia" w:ascii="宋体" w:hAnsi="宋体"/>
          <w:szCs w:val="21"/>
        </w:rPr>
        <w:t>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spacing w:line="360" w:lineRule="auto"/>
        <w:rPr>
          <w:rFonts w:ascii="黑体" w:hAnsi="宋体" w:eastAsia="黑体"/>
          <w:sz w:val="24"/>
        </w:rPr>
      </w:pPr>
      <w:r>
        <w:rPr>
          <w:rFonts w:hint="eastAsia" w:ascii="黑体" w:hAnsi="宋体" w:eastAsia="黑体"/>
          <w:sz w:val="24"/>
        </w:rPr>
        <w:t>21．关于投标保证金</w:t>
      </w:r>
    </w:p>
    <w:p>
      <w:pPr>
        <w:ind w:firstLine="411" w:firstLineChars="196"/>
        <w:rPr>
          <w:rFonts w:ascii="宋体" w:hAnsi="宋体"/>
          <w:szCs w:val="21"/>
        </w:rPr>
      </w:pPr>
      <w:r>
        <w:rPr>
          <w:rFonts w:hint="eastAsia" w:ascii="宋体" w:hAnsi="宋体"/>
          <w:szCs w:val="21"/>
        </w:rPr>
        <w:t>21.1 为切实减轻企业负担，降低制度性交易成本，</w:t>
      </w:r>
      <w:r>
        <w:rPr>
          <w:rFonts w:ascii="宋体" w:hAnsi="宋体"/>
          <w:szCs w:val="21"/>
        </w:rPr>
        <w:t>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w:t>
      </w:r>
      <w:r>
        <w:rPr>
          <w:rFonts w:ascii="宋体" w:hAnsi="宋体"/>
          <w:szCs w:val="21"/>
        </w:rPr>
        <w:t>.1</w:t>
      </w:r>
      <w:r>
        <w:rPr>
          <w:rFonts w:hint="eastAsia" w:ascii="宋体" w:hAnsi="宋体"/>
          <w:szCs w:val="21"/>
        </w:rPr>
        <w:t>款限制。是否另外收取投标保证金，请见本招标文件“专用条款”《对通用条款的补充内容》中的相关要求。</w:t>
      </w:r>
    </w:p>
    <w:p>
      <w:pPr>
        <w:spacing w:line="360" w:lineRule="auto"/>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 投标人需按</w:t>
      </w:r>
      <w:r>
        <w:rPr>
          <w:rFonts w:ascii="宋体" w:hAnsi="宋体"/>
        </w:rPr>
        <w:t>项目</w:t>
      </w:r>
      <w:r>
        <w:rPr>
          <w:rFonts w:hint="eastAsia" w:ascii="宋体" w:hAnsi="宋体"/>
        </w:rPr>
        <w:t>采购</w:t>
      </w:r>
      <w:r>
        <w:rPr>
          <w:rFonts w:ascii="宋体" w:hAnsi="宋体"/>
        </w:rPr>
        <w:t>文件要求</w:t>
      </w:r>
      <w:r>
        <w:rPr>
          <w:rFonts w:hint="eastAsia" w:ascii="宋体" w:hAnsi="宋体"/>
        </w:rPr>
        <w:t>准备所投项目的纸质投标文件正副本。</w:t>
      </w:r>
    </w:p>
    <w:p>
      <w:pPr>
        <w:ind w:firstLine="413" w:firstLineChars="196"/>
        <w:rPr>
          <w:rFonts w:ascii="宋体" w:hAnsi="宋体"/>
        </w:rPr>
      </w:pPr>
      <w:r>
        <w:rPr>
          <w:rFonts w:hint="eastAsia" w:ascii="宋体" w:hAnsi="宋体"/>
          <w:b/>
        </w:rPr>
        <w:tab/>
      </w:r>
      <w:r>
        <w:rPr>
          <w:rFonts w:ascii="宋体" w:hAnsi="宋体"/>
        </w:rPr>
        <w:t xml:space="preserve">23.2 </w:t>
      </w:r>
      <w:r>
        <w:rPr>
          <w:rFonts w:hint="eastAsia" w:ascii="宋体" w:hAnsi="宋体"/>
        </w:rPr>
        <w:t>投标人在编辑投标文件时，在投标文件目录中属于本节点内容的必须在本节点中填写；填写到其他节点或附件的，评审</w:t>
      </w:r>
      <w:r>
        <w:rPr>
          <w:rFonts w:ascii="宋体" w:hAnsi="宋体"/>
        </w:rPr>
        <w:t>委员会</w:t>
      </w:r>
      <w:r>
        <w:rPr>
          <w:rFonts w:hint="eastAsia" w:ascii="宋体" w:hAnsi="宋体"/>
        </w:rPr>
        <w:t>有权</w:t>
      </w:r>
      <w:r>
        <w:rPr>
          <w:rFonts w:ascii="宋体" w:hAnsi="宋体"/>
        </w:rPr>
        <w:t>不予接受，</w:t>
      </w:r>
      <w:r>
        <w:rPr>
          <w:rFonts w:hint="eastAsia" w:ascii="宋体" w:hAnsi="宋体"/>
        </w:rPr>
        <w:t>一切后果由供应商自行承担。</w:t>
      </w:r>
    </w:p>
    <w:p>
      <w:pPr>
        <w:ind w:firstLine="411" w:firstLineChars="196"/>
        <w:rPr>
          <w:rFonts w:ascii="宋体" w:hAnsi="宋体"/>
        </w:rPr>
      </w:pPr>
      <w:r>
        <w:rPr>
          <w:rFonts w:hint="eastAsia" w:ascii="宋体" w:hAnsi="宋体"/>
        </w:rPr>
        <w:t>23.3 投标文件</w:t>
      </w:r>
      <w:r>
        <w:rPr>
          <w:rFonts w:ascii="宋体" w:hAnsi="宋体"/>
        </w:rPr>
        <w:t>要求盖章、签字的地方，</w:t>
      </w:r>
      <w:r>
        <w:rPr>
          <w:rFonts w:hint="eastAsia" w:ascii="宋体" w:hAnsi="宋体"/>
        </w:rPr>
        <w:t>应</w:t>
      </w:r>
      <w:r>
        <w:rPr>
          <w:rFonts w:ascii="宋体" w:hAnsi="宋体"/>
        </w:rPr>
        <w:t>按要求盖章、签字。评审委员会</w:t>
      </w:r>
      <w:r>
        <w:rPr>
          <w:rFonts w:hint="eastAsia" w:ascii="宋体" w:hAnsi="宋体"/>
        </w:rPr>
        <w:t>有权将缺、漏</w:t>
      </w:r>
      <w:r>
        <w:rPr>
          <w:rFonts w:ascii="宋体" w:hAnsi="宋体"/>
        </w:rPr>
        <w:t>盖章、签字</w:t>
      </w:r>
      <w:r>
        <w:rPr>
          <w:rFonts w:hint="eastAsia" w:ascii="宋体" w:hAnsi="宋体"/>
        </w:rPr>
        <w:t>的</w:t>
      </w:r>
      <w:r>
        <w:rPr>
          <w:rFonts w:ascii="宋体" w:hAnsi="宋体"/>
        </w:rPr>
        <w:t>投标文件认定为无效投标。</w:t>
      </w:r>
    </w:p>
    <w:p>
      <w:pPr>
        <w:ind w:firstLine="411" w:firstLineChars="196"/>
        <w:rPr>
          <w:rFonts w:ascii="宋体" w:hAnsi="宋体"/>
        </w:rPr>
      </w:pPr>
      <w:r>
        <w:rPr>
          <w:rFonts w:hint="eastAsia" w:ascii="宋体" w:hAnsi="宋体"/>
        </w:rPr>
        <w:t>23.</w:t>
      </w:r>
      <w:r>
        <w:rPr>
          <w:rFonts w:ascii="宋体" w:hAnsi="宋体"/>
        </w:rPr>
        <w:t xml:space="preserve">4 </w:t>
      </w:r>
      <w:r>
        <w:rPr>
          <w:rFonts w:hint="eastAsia" w:ascii="宋体" w:hAnsi="宋体"/>
        </w:rPr>
        <w:t>电报、电话、传真形式的投标概不接受。</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24.1在投标文件制作完成后，所有文件必须密封完整且加盖公章。</w:t>
      </w:r>
    </w:p>
    <w:p>
      <w:pPr>
        <w:ind w:firstLine="411" w:firstLineChars="196"/>
        <w:rPr>
          <w:rFonts w:ascii="宋体" w:hAnsi="宋体"/>
        </w:rPr>
      </w:pPr>
      <w:r>
        <w:rPr>
          <w:rFonts w:ascii="宋体" w:hAnsi="宋体"/>
        </w:rPr>
        <w:t xml:space="preserve">24.2 </w:t>
      </w:r>
      <w:r>
        <w:rPr>
          <w:rFonts w:hint="eastAsia" w:ascii="宋体" w:hAnsi="宋体"/>
        </w:rPr>
        <w:t>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1投标人</w:t>
      </w:r>
      <w:r>
        <w:rPr>
          <w:rFonts w:ascii="宋体" w:hAnsi="宋体"/>
        </w:rPr>
        <w:t>必须</w:t>
      </w:r>
      <w:r>
        <w:rPr>
          <w:rFonts w:hint="eastAsia" w:ascii="宋体" w:hAnsi="宋体"/>
        </w:rPr>
        <w:t>在</w:t>
      </w:r>
      <w:r>
        <w:rPr>
          <w:rFonts w:ascii="宋体" w:hAnsi="宋体"/>
        </w:rPr>
        <w:t>采购文件规定的投标截止时间前</w:t>
      </w:r>
      <w:r>
        <w:rPr>
          <w:rFonts w:hint="eastAsia" w:ascii="宋体" w:hAnsi="宋体"/>
        </w:rPr>
        <w:t>将</w:t>
      </w:r>
      <w:r>
        <w:rPr>
          <w:rFonts w:ascii="宋体" w:hAnsi="宋体"/>
        </w:rPr>
        <w:t>密封的投标文件递交到项目指定的地点</w:t>
      </w:r>
      <w:r>
        <w:rPr>
          <w:rFonts w:hint="eastAsia" w:ascii="宋体" w:hAnsi="宋体"/>
        </w:rPr>
        <w:t>。</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w:t>
      </w:r>
      <w:r>
        <w:rPr>
          <w:rFonts w:ascii="宋体" w:hAnsi="宋体"/>
        </w:rPr>
        <w:t>采购机构</w:t>
      </w:r>
      <w:r>
        <w:rPr>
          <w:rFonts w:hint="eastAsia" w:ascii="宋体" w:hAnsi="宋体"/>
        </w:rPr>
        <w:t>、采购人和投标人受投标截止期制约的所有权利和义务均应延长至新的截止期。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w:t>
      </w:r>
      <w:r>
        <w:rPr>
          <w:rFonts w:ascii="宋体" w:hAnsi="宋体"/>
          <w:szCs w:val="21"/>
        </w:rPr>
        <w:t>3</w:t>
      </w:r>
      <w:r>
        <w:rPr>
          <w:rFonts w:hint="eastAsia" w:ascii="宋体" w:hAnsi="宋体"/>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提交投标文件后</w:t>
      </w:r>
      <w:r>
        <w:rPr>
          <w:rFonts w:ascii="宋体" w:hAnsi="宋体"/>
        </w:rPr>
        <w:t>可对其投标文件进行修改</w:t>
      </w:r>
      <w:r>
        <w:rPr>
          <w:rFonts w:hint="eastAsia" w:ascii="宋体" w:hAnsi="宋体"/>
        </w:rPr>
        <w:t>或</w:t>
      </w:r>
      <w:r>
        <w:rPr>
          <w:rFonts w:ascii="宋体" w:hAnsi="宋体"/>
        </w:rPr>
        <w:t>撤</w:t>
      </w:r>
      <w:r>
        <w:rPr>
          <w:rFonts w:hint="eastAsia" w:ascii="宋体" w:hAnsi="宋体"/>
        </w:rPr>
        <w:t>回</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r>
        <w:rPr>
          <w:rFonts w:ascii="宋体" w:hAnsi="宋体"/>
        </w:rPr>
        <w:t>。</w:t>
      </w:r>
    </w:p>
    <w:p>
      <w:pPr>
        <w:ind w:firstLine="411" w:firstLineChars="196"/>
        <w:rPr>
          <w:rFonts w:ascii="宋体" w:hAnsi="宋体"/>
          <w:szCs w:val="21"/>
        </w:rPr>
      </w:pPr>
      <w:r>
        <w:rPr>
          <w:rFonts w:hint="eastAsia" w:ascii="宋体" w:hAnsi="宋体"/>
          <w:szCs w:val="21"/>
        </w:rPr>
        <w:t>27.4学校采购机构不退还投标文件，专用</w:t>
      </w:r>
      <w:r>
        <w:rPr>
          <w:rFonts w:ascii="宋体" w:hAnsi="宋体"/>
          <w:szCs w:val="21"/>
        </w:rPr>
        <w:t>条款</w:t>
      </w:r>
      <w:r>
        <w:rPr>
          <w:rFonts w:hint="eastAsia" w:ascii="宋体" w:hAnsi="宋体"/>
          <w:szCs w:val="21"/>
        </w:rPr>
        <w:t>另有规定的除外。</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1学校</w:t>
      </w:r>
      <w:r>
        <w:rPr>
          <w:rFonts w:ascii="宋体" w:hAnsi="宋体"/>
          <w:szCs w:val="21"/>
        </w:rPr>
        <w:t>采购机构</w:t>
      </w:r>
      <w:r>
        <w:rPr>
          <w:rFonts w:hint="eastAsia" w:ascii="宋体" w:hAnsi="宋体"/>
          <w:szCs w:val="21"/>
        </w:rPr>
        <w:t>将在投标截止时间后，对密封</w:t>
      </w:r>
      <w:r>
        <w:rPr>
          <w:rFonts w:ascii="宋体" w:hAnsi="宋体"/>
          <w:szCs w:val="21"/>
        </w:rPr>
        <w:t>的</w:t>
      </w:r>
      <w:r>
        <w:rPr>
          <w:rFonts w:hint="eastAsia" w:ascii="宋体" w:hAnsi="宋体"/>
          <w:szCs w:val="21"/>
        </w:rPr>
        <w:t>投标文件进行拆封，开标，并</w:t>
      </w:r>
      <w:r>
        <w:rPr>
          <w:rFonts w:ascii="宋体" w:hAnsi="宋体"/>
          <w:szCs w:val="21"/>
        </w:rPr>
        <w:t>在开标现场公布开标结果</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w:t>
      </w:r>
      <w:r>
        <w:rPr>
          <w:rFonts w:ascii="宋体" w:hAnsi="宋体"/>
        </w:rPr>
        <w:t>5</w:t>
      </w:r>
      <w:r>
        <w:rPr>
          <w:rFonts w:hint="eastAsia" w:ascii="宋体" w:hAnsi="宋体"/>
        </w:rPr>
        <w:t>人以上（含</w:t>
      </w:r>
      <w:r>
        <w:rPr>
          <w:rFonts w:ascii="宋体" w:hAnsi="宋体"/>
        </w:rPr>
        <w:t>5</w:t>
      </w:r>
      <w:r>
        <w:rPr>
          <w:rFonts w:hint="eastAsia" w:ascii="宋体" w:hAnsi="宋体"/>
        </w:rPr>
        <w:t>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hint="eastAsia" w:ascii="宋体" w:hAnsi="宋体"/>
          <w:bCs/>
        </w:rPr>
        <w:t>）。</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hint="eastAsia" w:ascii="宋体" w:hAnsi="宋体"/>
        </w:rPr>
        <w:t>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ascii="宋体" w:hAnsi="宋体"/>
        </w:rPr>
        <w:t>32.4</w:t>
      </w:r>
      <w:r>
        <w:rPr>
          <w:rFonts w:hint="eastAsia" w:ascii="宋体" w:hAnsi="宋体"/>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w:t>
      </w:r>
      <w:r>
        <w:rPr>
          <w:rFonts w:ascii="宋体" w:hAnsi="宋体"/>
        </w:rPr>
        <w:t>5</w:t>
      </w:r>
      <w:r>
        <w:rPr>
          <w:rFonts w:hint="eastAsia" w:ascii="宋体" w:hAnsi="宋体"/>
        </w:rPr>
        <w:t>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w:t>
      </w:r>
      <w:r>
        <w:rPr>
          <w:rFonts w:ascii="宋体" w:hAnsi="宋体"/>
        </w:rPr>
        <w:t>部分投标文件</w:t>
      </w:r>
      <w:r>
        <w:rPr>
          <w:rFonts w:hint="eastAsia" w:ascii="宋体" w:hAnsi="宋体"/>
        </w:rPr>
        <w:t>相互混装；</w:t>
      </w:r>
    </w:p>
    <w:p>
      <w:pPr>
        <w:ind w:firstLine="411" w:firstLineChars="196"/>
        <w:rPr>
          <w:rFonts w:ascii="宋体" w:hAnsi="宋体"/>
        </w:rPr>
      </w:pPr>
      <w:r>
        <w:rPr>
          <w:rFonts w:hint="eastAsia" w:ascii="宋体" w:hAnsi="宋体"/>
        </w:rPr>
        <w:t>32.5.6投标</w:t>
      </w:r>
      <w:r>
        <w:rPr>
          <w:rFonts w:ascii="宋体" w:hAnsi="宋体"/>
        </w:rPr>
        <w:t>供应商之间相互约定给</w:t>
      </w:r>
      <w:r>
        <w:rPr>
          <w:rFonts w:hint="eastAsia" w:ascii="宋体" w:hAnsi="宋体"/>
        </w:rPr>
        <w:t>予</w:t>
      </w:r>
      <w:r>
        <w:rPr>
          <w:rFonts w:ascii="宋体" w:hAnsi="宋体"/>
        </w:rPr>
        <w:t>未中标的供应商利益补偿</w:t>
      </w:r>
      <w:r>
        <w:rPr>
          <w:rFonts w:hint="eastAsia" w:ascii="宋体" w:hAnsi="宋体"/>
        </w:rPr>
        <w:t>；</w:t>
      </w:r>
    </w:p>
    <w:p>
      <w:pPr>
        <w:ind w:firstLine="411" w:firstLineChars="196"/>
        <w:rPr>
          <w:rFonts w:ascii="宋体" w:hAnsi="宋体"/>
        </w:rPr>
      </w:pPr>
      <w:r>
        <w:rPr>
          <w:rFonts w:hint="eastAsia" w:ascii="宋体" w:hAnsi="宋体"/>
        </w:rPr>
        <w:t>32.5.</w:t>
      </w:r>
      <w:r>
        <w:rPr>
          <w:rFonts w:ascii="宋体" w:hAnsi="宋体"/>
        </w:rPr>
        <w:t>7</w:t>
      </w:r>
      <w:r>
        <w:rPr>
          <w:rFonts w:hint="eastAsia" w:ascii="宋体" w:hAnsi="宋体"/>
        </w:rPr>
        <w:t>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w:t>
      </w:r>
      <w:r>
        <w:rPr>
          <w:rFonts w:ascii="宋体" w:hAnsi="宋体"/>
        </w:rPr>
        <w:t>8</w:t>
      </w:r>
      <w:r>
        <w:rPr>
          <w:rFonts w:hint="eastAsia" w:ascii="宋体" w:hAnsi="宋体"/>
        </w:rPr>
        <w:t>不同投标供应商的投标文件内容存在非正常一致；</w:t>
      </w:r>
    </w:p>
    <w:p>
      <w:pPr>
        <w:ind w:firstLine="411" w:firstLineChars="196"/>
        <w:rPr>
          <w:rFonts w:ascii="宋体" w:hAnsi="宋体"/>
        </w:rPr>
      </w:pPr>
      <w:r>
        <w:rPr>
          <w:rFonts w:hint="eastAsia" w:ascii="宋体" w:hAnsi="宋体"/>
        </w:rPr>
        <w:t>32.5.</w:t>
      </w:r>
      <w:r>
        <w:rPr>
          <w:rFonts w:ascii="宋体" w:hAnsi="宋体"/>
        </w:rPr>
        <w:t>9</w:t>
      </w:r>
      <w:r>
        <w:rPr>
          <w:rFonts w:hint="eastAsia" w:ascii="宋体" w:hAnsi="宋体"/>
        </w:rPr>
        <w:t>在同一单位工作人员为两家以上（含两家）供应商进行同一项投标活动；</w:t>
      </w:r>
    </w:p>
    <w:p>
      <w:pPr>
        <w:ind w:firstLine="411" w:firstLineChars="196"/>
        <w:rPr>
          <w:rFonts w:ascii="宋体" w:hAnsi="宋体"/>
        </w:rPr>
      </w:pPr>
      <w:r>
        <w:rPr>
          <w:rFonts w:hint="eastAsia" w:ascii="宋体" w:hAnsi="宋体"/>
        </w:rPr>
        <w:t>32.5.1</w:t>
      </w:r>
      <w:r>
        <w:rPr>
          <w:rFonts w:ascii="宋体" w:hAnsi="宋体"/>
        </w:rPr>
        <w:t>0</w:t>
      </w:r>
      <w:r>
        <w:rPr>
          <w:rFonts w:hint="eastAsia" w:ascii="宋体" w:hAnsi="宋体"/>
        </w:rPr>
        <w:t>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rPr>
      </w:pPr>
      <w:r>
        <w:rPr>
          <w:rFonts w:hint="eastAsia" w:ascii="黑体" w:hAnsi="宋体" w:eastAsia="黑体"/>
          <w:sz w:val="24"/>
        </w:rPr>
        <w:t>34．错误的修正</w:t>
      </w:r>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w:t>
      </w:r>
      <w:r>
        <w:rPr>
          <w:rFonts w:ascii="宋体" w:hAnsi="宋体"/>
          <w:szCs w:val="21"/>
        </w:rPr>
        <w:t>政府采购条例实施细则</w:t>
      </w:r>
      <w:r>
        <w:rPr>
          <w:rFonts w:hint="eastAsia" w:ascii="宋体" w:hAnsi="宋体"/>
          <w:szCs w:val="21"/>
        </w:rPr>
        <w:t>》及《深圳市政府采购评审委员会和评标方法暂行规定》，参照相关法律、法规、规定，仅对通过资格性审查和符合性审查的投标文件进行综合比较与评价。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3"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3"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4</w:t>
      </w:r>
      <w:r>
        <w:rPr>
          <w:rFonts w:hint="eastAsia" w:ascii="宋体" w:hAnsi="宋体"/>
          <w:b/>
          <w:bCs/>
          <w:szCs w:val="21"/>
        </w:rPr>
        <w:t xml:space="preserve">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5</w:t>
      </w:r>
      <w:r>
        <w:rPr>
          <w:rFonts w:hint="eastAsia" w:ascii="宋体" w:hAnsi="宋体"/>
          <w:b/>
          <w:bCs/>
          <w:szCs w:val="21"/>
        </w:rPr>
        <w:t>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3" w:firstLineChars="196"/>
        <w:rPr>
          <w:rFonts w:ascii="宋体" w:hAnsi="宋体"/>
          <w:b/>
          <w:bCs/>
          <w:szCs w:val="21"/>
        </w:rPr>
      </w:pPr>
      <w:r>
        <w:rPr>
          <w:rFonts w:hint="eastAsia" w:ascii="宋体" w:hAnsi="宋体"/>
          <w:b/>
          <w:bCs/>
          <w:szCs w:val="21"/>
        </w:rPr>
        <w:t xml:space="preserve"> 37.</w:t>
      </w:r>
      <w:r>
        <w:rPr>
          <w:rFonts w:ascii="宋体" w:hAnsi="宋体"/>
          <w:b/>
          <w:bCs/>
          <w:szCs w:val="21"/>
        </w:rPr>
        <w:t>6</w:t>
      </w:r>
      <w:r>
        <w:rPr>
          <w:rFonts w:hint="eastAsia" w:ascii="宋体" w:hAnsi="宋体"/>
          <w:b/>
          <w:bCs/>
          <w:szCs w:val="21"/>
        </w:rPr>
        <w:t>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4出现并列的情况时，采取随机抽取的方式确定并列</w:t>
      </w:r>
      <w:r>
        <w:rPr>
          <w:rFonts w:ascii="宋体" w:hAnsi="宋体"/>
          <w:szCs w:val="21"/>
        </w:rPr>
        <w:t>的投标人的排序</w:t>
      </w:r>
      <w:r>
        <w:rPr>
          <w:rFonts w:hint="eastAsia" w:ascii="宋体" w:hAnsi="宋体"/>
          <w:szCs w:val="21"/>
        </w:rPr>
        <w:t>，具体操作办法及流程由评审委员会确定。</w:t>
      </w:r>
    </w:p>
    <w:p>
      <w:pPr>
        <w:ind w:firstLine="411" w:firstLineChars="196"/>
        <w:rPr>
          <w:rFonts w:ascii="宋体" w:hAnsi="宋体"/>
          <w:szCs w:val="21"/>
        </w:rPr>
      </w:pPr>
      <w:r>
        <w:rPr>
          <w:rFonts w:hint="eastAsia" w:ascii="宋体" w:hAnsi="宋体"/>
          <w:szCs w:val="21"/>
        </w:rPr>
        <w:t>38.</w:t>
      </w:r>
      <w:r>
        <w:rPr>
          <w:rFonts w:ascii="宋体" w:hAnsi="宋体"/>
          <w:szCs w:val="21"/>
        </w:rPr>
        <w:t>5</w:t>
      </w:r>
      <w:r>
        <w:rPr>
          <w:rFonts w:hint="eastAsia" w:ascii="宋体" w:hAnsi="宋体"/>
          <w:szCs w:val="21"/>
        </w:rPr>
        <w:t>专用条款另有规定的，按专用条款相关要求定标。</w:t>
      </w:r>
    </w:p>
    <w:p>
      <w:pPr>
        <w:spacing w:line="360" w:lineRule="auto"/>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40.1为体现“公开、公平、公正”的原则，评标结束后，学校采购机构将在“深圳大学</w:t>
      </w:r>
      <w:r>
        <w:rPr>
          <w:rFonts w:ascii="宋体" w:hAnsi="宋体"/>
          <w:szCs w:val="21"/>
        </w:rPr>
        <w:t>招投标管理中心</w:t>
      </w:r>
      <w:r>
        <w:rPr>
          <w:rFonts w:hint="eastAsia" w:ascii="宋体" w:hAnsi="宋体"/>
          <w:szCs w:val="21"/>
        </w:rPr>
        <w:t>网站”（</w:t>
      </w:r>
      <w:r>
        <w:fldChar w:fldCharType="begin"/>
      </w:r>
      <w:r>
        <w:instrText xml:space="preserve"> HYPERLINK "http://bidding.szu.edu.cn/" </w:instrText>
      </w:r>
      <w:r>
        <w:fldChar w:fldCharType="separate"/>
      </w:r>
      <w:r>
        <w:rPr>
          <w:rFonts w:ascii="宋体" w:hAnsi="宋体"/>
          <w:color w:val="0000FF"/>
          <w:szCs w:val="21"/>
          <w:u w:val="single"/>
        </w:rPr>
        <w:t>http://bidding.szu.edu.cn/</w:t>
      </w:r>
      <w:r>
        <w:rPr>
          <w:rFonts w:ascii="宋体" w:hAnsi="宋体"/>
          <w:color w:val="0000FF"/>
          <w:szCs w:val="21"/>
          <w:u w:val="single"/>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1中标公告公布以后,在公示</w:t>
      </w:r>
      <w:r>
        <w:rPr>
          <w:rFonts w:ascii="宋体" w:hAnsi="宋体"/>
          <w:szCs w:val="21"/>
        </w:rPr>
        <w:t>期</w:t>
      </w:r>
      <w:r>
        <w:rPr>
          <w:rFonts w:hint="eastAsia" w:ascii="宋体" w:hAnsi="宋体"/>
          <w:szCs w:val="21"/>
        </w:rPr>
        <w:t>内无有效质疑投诉,中标供应商和采购人可到学校采购机构领取《中标通知书》（咨询电话：0755—26531025，</w:t>
      </w:r>
      <w:r>
        <w:rPr>
          <w:rFonts w:ascii="宋体" w:hAnsi="宋体"/>
          <w:szCs w:val="21"/>
        </w:rPr>
        <w:t>地点：深圳大学</w:t>
      </w:r>
      <w:r>
        <w:rPr>
          <w:rFonts w:hint="eastAsia" w:ascii="宋体" w:hAnsi="宋体"/>
          <w:szCs w:val="21"/>
        </w:rPr>
        <w:t>粤海校区</w:t>
      </w:r>
      <w:r>
        <w:rPr>
          <w:rFonts w:ascii="宋体" w:hAnsi="宋体"/>
          <w:szCs w:val="21"/>
        </w:rPr>
        <w:t>汇元楼</w:t>
      </w:r>
      <w:r>
        <w:rPr>
          <w:rFonts w:hint="eastAsia" w:ascii="宋体" w:hAnsi="宋体"/>
          <w:szCs w:val="21"/>
        </w:rPr>
        <w:t>238室）。</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w:t>
      </w:r>
      <w:r>
        <w:rPr>
          <w:rFonts w:ascii="宋体" w:hAnsi="宋体"/>
        </w:rPr>
        <w:t>依照</w:t>
      </w:r>
      <w:r>
        <w:rPr>
          <w:rFonts w:hint="eastAsia" w:ascii="宋体" w:hAnsi="宋体"/>
        </w:rPr>
        <w:t>学校的</w:t>
      </w:r>
      <w:r>
        <w:rPr>
          <w:rFonts w:ascii="宋体" w:hAnsi="宋体"/>
        </w:rPr>
        <w:t>有关规定申请将</w:t>
      </w:r>
      <w:r>
        <w:rPr>
          <w:rFonts w:hint="eastAsia" w:ascii="宋体" w:hAnsi="宋体"/>
        </w:rPr>
        <w:t>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w:t>
      </w:r>
      <w:r>
        <w:rPr>
          <w:rFonts w:ascii="宋体" w:hAnsi="宋体"/>
        </w:rPr>
        <w:t>采购管理办法</w:t>
      </w:r>
      <w:r>
        <w:rPr>
          <w:rFonts w:hint="eastAsia" w:ascii="宋体" w:hAnsi="宋体"/>
        </w:rPr>
        <w:t>》及</w:t>
      </w:r>
      <w:r>
        <w:rPr>
          <w:rFonts w:ascii="宋体" w:hAnsi="宋体"/>
        </w:rPr>
        <w:t>相关规定</w:t>
      </w:r>
      <w:r>
        <w:rPr>
          <w:rFonts w:hint="eastAsia" w:ascii="宋体" w:hAnsi="宋体"/>
        </w:rPr>
        <w:t>的</w:t>
      </w:r>
      <w:r>
        <w:rPr>
          <w:rFonts w:ascii="宋体" w:hAnsi="宋体"/>
        </w:rPr>
        <w:t>程序</w:t>
      </w:r>
      <w:r>
        <w:rPr>
          <w:rFonts w:hint="eastAsia" w:ascii="宋体" w:hAnsi="宋体"/>
        </w:rPr>
        <w:t>批准转为竞争性谈判或单一来源谈判方式采购的，按规定要求组织采购活动。</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3</w:t>
      </w:r>
      <w:r>
        <w:rPr>
          <w:rFonts w:hint="eastAsia" w:ascii="黑体" w:hAnsi="宋体" w:eastAsia="黑体"/>
          <w:sz w:val="24"/>
        </w:rPr>
        <w:t>．合同授予标准</w:t>
      </w:r>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4</w:t>
      </w:r>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5</w:t>
      </w:r>
      <w:r>
        <w:rPr>
          <w:rFonts w:hint="eastAsia" w:ascii="黑体" w:hAnsi="宋体" w:eastAsia="黑体"/>
          <w:sz w:val="24"/>
        </w:rPr>
        <w:t>．合同协议书的签订</w:t>
      </w:r>
    </w:p>
    <w:p>
      <w:pPr>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.1中标人将于中标通知书发出之日起1</w:t>
      </w:r>
      <w:r>
        <w:rPr>
          <w:rFonts w:ascii="宋体" w:hAnsi="宋体"/>
          <w:szCs w:val="21"/>
        </w:rPr>
        <w:t>0个工作日</w:t>
      </w:r>
      <w:r>
        <w:rPr>
          <w:rFonts w:hint="eastAsia" w:ascii="宋体" w:hAnsi="宋体"/>
          <w:szCs w:val="21"/>
        </w:rPr>
        <w:t>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.2中标人如不按本通用条款第4</w:t>
      </w:r>
      <w:r>
        <w:rPr>
          <w:rFonts w:ascii="宋体" w:hAnsi="宋体"/>
          <w:szCs w:val="21"/>
        </w:rPr>
        <w:t>5.1</w:t>
      </w:r>
      <w:r>
        <w:rPr>
          <w:rFonts w:hint="eastAsia" w:ascii="宋体" w:hAnsi="宋体"/>
          <w:szCs w:val="21"/>
        </w:rPr>
        <w:t>款的规定与采购人签订合同，学校采购机构将有充分的理由取消</w:t>
      </w:r>
      <w:r>
        <w:rPr>
          <w:rFonts w:ascii="宋体" w:hAnsi="宋体"/>
          <w:szCs w:val="21"/>
        </w:rPr>
        <w:t>中标人的</w:t>
      </w:r>
      <w:r>
        <w:rPr>
          <w:rFonts w:hint="eastAsia" w:ascii="宋体" w:hAnsi="宋体"/>
          <w:szCs w:val="21"/>
        </w:rPr>
        <w:t>中标，并计入</w:t>
      </w:r>
      <w:r>
        <w:rPr>
          <w:rFonts w:ascii="宋体" w:hAnsi="宋体"/>
          <w:szCs w:val="21"/>
        </w:rPr>
        <w:t>供应商诚信档案</w:t>
      </w:r>
      <w:r>
        <w:rPr>
          <w:rFonts w:hint="eastAsia" w:ascii="宋体" w:hAnsi="宋体"/>
          <w:szCs w:val="21"/>
        </w:rPr>
        <w:t>。</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.3中标人应当按照合同约定履行义务，完成中标项目，不得将中标项目转让（转包）给他人。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6</w:t>
      </w:r>
      <w:r>
        <w:rPr>
          <w:rFonts w:hint="eastAsia" w:ascii="黑体" w:hAnsi="宋体" w:eastAsia="黑体"/>
          <w:sz w:val="24"/>
        </w:rPr>
        <w:t>．履约担保</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.2如果中标人不能按“对</w:t>
      </w:r>
      <w:r>
        <w:rPr>
          <w:rFonts w:ascii="宋体" w:hAnsi="宋体"/>
          <w:szCs w:val="21"/>
        </w:rPr>
        <w:t>通用条款的补充内容</w:t>
      </w:r>
      <w:r>
        <w:rPr>
          <w:rFonts w:hint="eastAsia" w:ascii="宋体" w:hAnsi="宋体"/>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7</w:t>
      </w:r>
      <w:r>
        <w:rPr>
          <w:rFonts w:hint="eastAsia" w:ascii="黑体" w:hAnsi="宋体" w:eastAsia="黑体"/>
          <w:sz w:val="24"/>
        </w:rPr>
        <w:t>.合同的备案</w:t>
      </w:r>
    </w:p>
    <w:p>
      <w:pPr>
        <w:spacing w:line="0" w:lineRule="atLeast"/>
        <w:ind w:firstLine="411" w:firstLineChars="196"/>
        <w:rPr>
          <w:rFonts w:ascii="宋体" w:hAnsi="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rPr>
      </w:pPr>
      <w:r>
        <w:rPr>
          <w:rFonts w:ascii="黑体" w:hAnsi="宋体" w:eastAsia="黑体"/>
          <w:sz w:val="24"/>
        </w:rPr>
        <w:t>48</w:t>
      </w:r>
      <w:r>
        <w:rPr>
          <w:rFonts w:hint="eastAsia" w:ascii="黑体" w:hAnsi="宋体" w:eastAsia="黑体"/>
          <w:sz w:val="24"/>
        </w:rPr>
        <w:t>.履约情况的反馈</w:t>
      </w:r>
    </w:p>
    <w:p>
      <w:pPr>
        <w:spacing w:line="0" w:lineRule="atLeast"/>
        <w:ind w:firstLine="411" w:firstLineChars="196"/>
        <w:rPr>
          <w:rFonts w:ascii="宋体" w:hAnsi="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rPr>
      </w:pPr>
      <w:r>
        <w:rPr>
          <w:rFonts w:ascii="黑体" w:hAnsi="宋体" w:eastAsia="黑体"/>
          <w:sz w:val="24"/>
        </w:rPr>
        <w:t>49</w:t>
      </w:r>
      <w:r>
        <w:rPr>
          <w:rFonts w:hint="eastAsia" w:ascii="黑体" w:hAnsi="宋体" w:eastAsia="黑体"/>
          <w:sz w:val="24"/>
        </w:rPr>
        <w:t>．腐败和欺诈行为</w:t>
      </w:r>
    </w:p>
    <w:p>
      <w:pPr>
        <w:spacing w:line="0" w:lineRule="atLeast"/>
        <w:ind w:firstLine="411" w:firstLineChars="196"/>
        <w:rPr>
          <w:rFonts w:ascii="宋体" w:hAnsi="宋体"/>
          <w:szCs w:val="21"/>
        </w:rPr>
      </w:pPr>
      <w:r>
        <w:rPr>
          <w:rFonts w:ascii="宋体" w:hAnsi="宋体"/>
          <w:szCs w:val="21"/>
        </w:rPr>
        <w:t>49</w:t>
      </w:r>
      <w:r>
        <w:rPr>
          <w:rFonts w:hint="eastAsia" w:ascii="宋体" w:hAnsi="宋体"/>
          <w:szCs w:val="21"/>
        </w:rPr>
        <w:t>.1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ascii="宋体" w:hAnsi="宋体"/>
          <w:szCs w:val="21"/>
        </w:rPr>
        <w:t xml:space="preserve">49.2 </w:t>
      </w:r>
      <w:r>
        <w:rPr>
          <w:rFonts w:hint="eastAsia" w:ascii="宋体" w:hAnsi="宋体"/>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ascii="宋体" w:hAnsi="宋体"/>
          <w:szCs w:val="21"/>
        </w:rPr>
        <w:t>49.3</w:t>
      </w:r>
      <w:r>
        <w:rPr>
          <w:rFonts w:hint="eastAsia" w:ascii="宋体" w:hAnsi="宋体"/>
          <w:szCs w:val="21"/>
        </w:rPr>
        <w:t>如果评审委员会认为投标人在本合同的竞争中有腐败和欺诈行为，则拒绝接受该投标。</w:t>
      </w:r>
    </w:p>
    <w:p>
      <w:pPr>
        <w:spacing w:line="0" w:lineRule="atLeast"/>
        <w:ind w:firstLine="411" w:firstLineChars="196"/>
        <w:rPr>
          <w:rFonts w:ascii="宋体" w:hAnsi="宋体"/>
          <w:szCs w:val="21"/>
        </w:rPr>
      </w:pPr>
      <w:r>
        <w:rPr>
          <w:rFonts w:ascii="宋体" w:hAnsi="宋体"/>
          <w:szCs w:val="21"/>
        </w:rPr>
        <w:t>49.4</w:t>
      </w:r>
      <w:r>
        <w:rPr>
          <w:rFonts w:hint="eastAsia" w:ascii="宋体" w:hAnsi="宋体"/>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0</w:t>
      </w:r>
      <w:r>
        <w:rPr>
          <w:rFonts w:hint="eastAsia" w:ascii="黑体" w:hAnsi="宋体" w:eastAsia="黑体"/>
          <w:sz w:val="24"/>
        </w:rPr>
        <w:t>.质疑处理原则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.1</w:t>
      </w:r>
      <w:r>
        <w:rPr>
          <w:rFonts w:ascii="宋体" w:hAnsi="宋体"/>
          <w:szCs w:val="21"/>
        </w:rPr>
        <w:t>质疑处理遵循公平、公正、规范、高效的原则。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.2</w:t>
      </w:r>
      <w:r>
        <w:rPr>
          <w:rFonts w:ascii="宋体" w:hAnsi="宋体"/>
          <w:szCs w:val="21"/>
        </w:rPr>
        <w:t>供应商质疑实行实名制和“谁质疑，谁举证”的原则，质疑应有具体的事项及事实根据。</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1</w:t>
      </w:r>
      <w:r>
        <w:rPr>
          <w:rFonts w:hint="eastAsia" w:ascii="黑体" w:hAnsi="宋体" w:eastAsia="黑体"/>
          <w:sz w:val="24"/>
        </w:rPr>
        <w:t>.质疑的</w:t>
      </w:r>
      <w:r>
        <w:rPr>
          <w:rFonts w:ascii="黑体" w:hAnsi="宋体" w:eastAsia="黑体"/>
          <w:sz w:val="24"/>
        </w:rPr>
        <w:t>提出与答复</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.1提出质疑</w:t>
      </w:r>
    </w:p>
    <w:p>
      <w:pPr>
        <w:ind w:firstLine="411" w:firstLineChars="196"/>
        <w:rPr>
          <w:rFonts w:ascii="宋体" w:hAnsi="宋体"/>
          <w:szCs w:val="21"/>
        </w:rPr>
      </w:pPr>
      <w:r>
        <w:rPr>
          <w:rFonts w:hint="eastAsia" w:ascii="宋体" w:hAnsi="宋体"/>
          <w:szCs w:val="21"/>
        </w:rPr>
        <w:t>参与</w:t>
      </w:r>
      <w:r>
        <w:rPr>
          <w:rFonts w:ascii="宋体" w:hAnsi="宋体"/>
          <w:szCs w:val="21"/>
        </w:rPr>
        <w:t>采购活动的</w:t>
      </w:r>
      <w:r>
        <w:rPr>
          <w:rFonts w:hint="eastAsia" w:ascii="宋体" w:hAnsi="宋体"/>
          <w:szCs w:val="21"/>
        </w:rPr>
        <w:t>供应商认为自己权益在</w:t>
      </w:r>
      <w:r>
        <w:rPr>
          <w:rFonts w:ascii="宋体" w:hAnsi="宋体"/>
          <w:szCs w:val="21"/>
        </w:rPr>
        <w:t>采购活动中</w:t>
      </w:r>
      <w:r>
        <w:rPr>
          <w:rFonts w:hint="eastAsia" w:ascii="宋体" w:hAnsi="宋体"/>
          <w:szCs w:val="21"/>
        </w:rPr>
        <w:t>受到损害的，应当自知道或者应当知道其权益受到损害之日起七个工作日内向</w:t>
      </w:r>
      <w:r>
        <w:rPr>
          <w:rFonts w:ascii="宋体" w:hAnsi="宋体"/>
          <w:szCs w:val="21"/>
        </w:rPr>
        <w:t>学校采购机构</w:t>
      </w:r>
      <w:r>
        <w:rPr>
          <w:rFonts w:hint="eastAsia" w:ascii="宋体" w:hAnsi="宋体"/>
          <w:szCs w:val="21"/>
        </w:rPr>
        <w:t>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ascii="宋体" w:hAnsi="宋体"/>
          <w:szCs w:val="21"/>
        </w:rPr>
        <w:t>51.4</w:t>
      </w:r>
      <w:r>
        <w:rPr>
          <w:rFonts w:hint="eastAsia" w:ascii="宋体" w:hAnsi="宋体"/>
          <w:szCs w:val="21"/>
        </w:rPr>
        <w:t>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w:t>
      </w:r>
      <w:r>
        <w:rPr>
          <w:rFonts w:ascii="宋体" w:hAnsi="宋体"/>
          <w:szCs w:val="21"/>
        </w:rPr>
        <w:t>：深圳市</w:t>
      </w:r>
      <w:r>
        <w:rPr>
          <w:rFonts w:hint="eastAsia" w:ascii="宋体" w:hAnsi="宋体"/>
          <w:szCs w:val="21"/>
        </w:rPr>
        <w:t>南山区</w:t>
      </w:r>
      <w:r>
        <w:rPr>
          <w:rFonts w:ascii="宋体" w:hAnsi="宋体"/>
          <w:szCs w:val="21"/>
        </w:rPr>
        <w:t>南海大道</w:t>
      </w:r>
      <w:r>
        <w:rPr>
          <w:rFonts w:hint="eastAsia" w:ascii="宋体" w:hAnsi="宋体"/>
          <w:szCs w:val="21"/>
        </w:rPr>
        <w:t>3688号</w:t>
      </w:r>
      <w:r>
        <w:rPr>
          <w:rFonts w:ascii="宋体" w:hAnsi="宋体"/>
          <w:szCs w:val="21"/>
        </w:rPr>
        <w:t>深圳大学粤海校区汇元楼</w:t>
      </w:r>
      <w:r>
        <w:rPr>
          <w:rFonts w:hint="eastAsia" w:ascii="宋体" w:hAnsi="宋体"/>
          <w:szCs w:val="21"/>
        </w:rPr>
        <w:t>246室</w:t>
      </w:r>
      <w:r>
        <w:rPr>
          <w:rFonts w:ascii="宋体" w:hAnsi="宋体"/>
          <w:szCs w:val="21"/>
        </w:rPr>
        <w:t>，</w:t>
      </w:r>
      <w:r>
        <w:rPr>
          <w:rFonts w:hint="eastAsia" w:ascii="宋体" w:hAnsi="宋体"/>
          <w:szCs w:val="21"/>
        </w:rPr>
        <w:t>质疑咨询电话：0755-</w:t>
      </w:r>
      <w:r>
        <w:rPr>
          <w:rFonts w:ascii="宋体" w:hAnsi="宋体"/>
          <w:szCs w:val="21"/>
        </w:rPr>
        <w:t>26057039</w:t>
      </w:r>
      <w:r>
        <w:rPr>
          <w:rFonts w:hint="eastAsia" w:ascii="宋体" w:hAnsi="宋体"/>
          <w:szCs w:val="21"/>
        </w:rPr>
        <w:t>。</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w:t>
      </w:r>
      <w:r>
        <w:rPr>
          <w:rFonts w:ascii="宋体" w:hAnsi="宋体"/>
          <w:szCs w:val="21"/>
        </w:rPr>
        <w:t>纪检、</w:t>
      </w:r>
      <w:r>
        <w:rPr>
          <w:rFonts w:hint="eastAsia" w:ascii="宋体" w:hAnsi="宋体"/>
          <w:szCs w:val="21"/>
        </w:rPr>
        <w:t>监察</w:t>
      </w:r>
      <w:r>
        <w:rPr>
          <w:rFonts w:ascii="宋体" w:hAnsi="宋体"/>
          <w:szCs w:val="21"/>
        </w:rPr>
        <w:t>部门</w:t>
      </w:r>
      <w:r>
        <w:rPr>
          <w:rFonts w:hint="eastAsia" w:ascii="宋体" w:hAnsi="宋体"/>
          <w:szCs w:val="21"/>
        </w:rPr>
        <w:t>投诉。</w:t>
      </w:r>
    </w:p>
    <w:p>
      <w:pPr>
        <w:spacing w:line="360" w:lineRule="auto"/>
        <w:rPr>
          <w:rFonts w:ascii="黑体" w:hAnsi="宋体" w:eastAsia="黑体"/>
          <w:sz w:val="24"/>
        </w:rPr>
      </w:pPr>
      <w:r>
        <w:rPr>
          <w:rFonts w:hint="eastAsia" w:ascii="黑体" w:hAnsi="宋体" w:eastAsia="黑体"/>
          <w:sz w:val="24"/>
        </w:rPr>
        <w:t>52.质疑后续处理</w:t>
      </w:r>
    </w:p>
    <w:p>
      <w:pPr>
        <w:ind w:firstLine="411" w:firstLineChars="196"/>
        <w:rPr>
          <w:rFonts w:ascii="宋体" w:hAnsi="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jc w:val="center"/>
        <w:rPr>
          <w:rFonts w:ascii="宋体" w:hAnsi="宋体"/>
          <w:color w:val="FF0000"/>
          <w:szCs w:val="21"/>
        </w:rPr>
      </w:pPr>
    </w:p>
    <w:p>
      <w:pPr>
        <w:spacing w:line="240" w:lineRule="atLeast"/>
        <w:rPr>
          <w:rFonts w:ascii="宋体" w:hAnsi="宋体"/>
          <w:szCs w:val="21"/>
        </w:rPr>
      </w:pPr>
    </w:p>
    <w:p>
      <w:pPr>
        <w:jc w:val="center"/>
        <w:rPr>
          <w:rFonts w:ascii="宋体" w:hAnsi="宋体"/>
          <w:color w:val="FF0000"/>
          <w:szCs w:val="21"/>
        </w:rPr>
      </w:pPr>
    </w:p>
    <w:p>
      <w:pPr>
        <w:pStyle w:val="2"/>
        <w:rPr>
          <w:szCs w:val="21"/>
        </w:rPr>
      </w:pPr>
    </w:p>
    <w:sectPr>
      <w:headerReference r:id="rId4" w:type="first"/>
      <w:headerReference r:id="rId3" w:type="default"/>
      <w:footerReference r:id="rId5" w:type="default"/>
      <w:footerReference r:id="rId6" w:type="even"/>
      <w:pgSz w:w="11907" w:h="16840"/>
      <w:pgMar w:top="1440" w:right="2130"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文鼎中楷">
    <w:altName w:val="仿宋"/>
    <w:panose1 w:val="00000000000000000000"/>
    <w:charset w:val="86"/>
    <w:family w:val="modern"/>
    <w:pitch w:val="default"/>
    <w:sig w:usb0="00000000" w:usb1="00000000" w:usb2="00000010" w:usb3="00000000" w:csb0="00040000" w:csb1="00000000"/>
  </w:font>
  <w:font w:name="Tunga">
    <w:altName w:val="Segoe UI Symbol"/>
    <w:panose1 w:val="020B0502040204020203"/>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t xml:space="preserve">- </w:t>
    </w:r>
    <w:r>
      <w:fldChar w:fldCharType="begin"/>
    </w:r>
    <w:r>
      <w:instrText xml:space="preserve"> PAGE </w:instrText>
    </w:r>
    <w:r>
      <w:fldChar w:fldCharType="separate"/>
    </w:r>
    <w:r>
      <w:t>23</w:t>
    </w:r>
    <w:r>
      <w:fldChar w:fldCharType="end"/>
    </w:r>
    <w:r>
      <w:t xml:space="preserve"> -</w: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rPr>
        <w:rStyle w:val="60"/>
      </w:rPr>
      <w:fldChar w:fldCharType="begin"/>
    </w:r>
    <w:r>
      <w:rPr>
        <w:rStyle w:val="60"/>
      </w:rPr>
      <w:instrText xml:space="preserve">PAGE  </w:instrText>
    </w:r>
    <w:r>
      <w:rPr>
        <w:rStyle w:val="60"/>
      </w:rPr>
      <w:fldChar w:fldCharType="separate"/>
    </w:r>
    <w:r>
      <w:rPr>
        <w:rStyle w:val="60"/>
      </w:rPr>
      <w:t>17</w:t>
    </w:r>
    <w:r>
      <w:rPr>
        <w:rStyle w:val="60"/>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20211585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20211585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2"/>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3960"/>
        </w:tabs>
        <w:ind w:left="3960" w:hanging="720"/>
      </w:pPr>
      <w:rPr>
        <w:rFonts w:hint="default"/>
      </w:rPr>
    </w:lvl>
    <w:lvl w:ilvl="1" w:tentative="0">
      <w:start w:val="1"/>
      <w:numFmt w:val="lowerLetter"/>
      <w:lvlText w:val="%2)"/>
      <w:lvlJc w:val="left"/>
      <w:pPr>
        <w:tabs>
          <w:tab w:val="left" w:pos="4080"/>
        </w:tabs>
        <w:ind w:left="408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920"/>
        </w:tabs>
        <w:ind w:left="4920" w:hanging="420"/>
      </w:pPr>
    </w:lvl>
    <w:lvl w:ilvl="4" w:tentative="0">
      <w:start w:val="1"/>
      <w:numFmt w:val="lowerLetter"/>
      <w:lvlText w:val="%5)"/>
      <w:lvlJc w:val="left"/>
      <w:pPr>
        <w:tabs>
          <w:tab w:val="left" w:pos="5340"/>
        </w:tabs>
        <w:ind w:left="5340" w:hanging="420"/>
      </w:pPr>
    </w:lvl>
    <w:lvl w:ilvl="5" w:tentative="0">
      <w:start w:val="1"/>
      <w:numFmt w:val="lowerRoman"/>
      <w:lvlText w:val="%6."/>
      <w:lvlJc w:val="right"/>
      <w:pPr>
        <w:tabs>
          <w:tab w:val="left" w:pos="5760"/>
        </w:tabs>
        <w:ind w:left="5760" w:hanging="420"/>
      </w:pPr>
    </w:lvl>
    <w:lvl w:ilvl="6" w:tentative="0">
      <w:start w:val="1"/>
      <w:numFmt w:val="decimal"/>
      <w:lvlText w:val="%7."/>
      <w:lvlJc w:val="left"/>
      <w:pPr>
        <w:tabs>
          <w:tab w:val="left" w:pos="6180"/>
        </w:tabs>
        <w:ind w:left="6180" w:hanging="420"/>
      </w:pPr>
    </w:lvl>
    <w:lvl w:ilvl="7" w:tentative="0">
      <w:start w:val="1"/>
      <w:numFmt w:val="lowerLetter"/>
      <w:lvlText w:val="%8)"/>
      <w:lvlJc w:val="left"/>
      <w:pPr>
        <w:tabs>
          <w:tab w:val="left" w:pos="6600"/>
        </w:tabs>
        <w:ind w:left="6600" w:hanging="420"/>
      </w:pPr>
    </w:lvl>
    <w:lvl w:ilvl="8" w:tentative="0">
      <w:start w:val="1"/>
      <w:numFmt w:val="lowerRoman"/>
      <w:lvlText w:val="%9."/>
      <w:lvlJc w:val="right"/>
      <w:pPr>
        <w:tabs>
          <w:tab w:val="left" w:pos="7020"/>
        </w:tabs>
        <w:ind w:left="7020" w:hanging="420"/>
      </w:pPr>
    </w:lvl>
  </w:abstractNum>
  <w:abstractNum w:abstractNumId="3">
    <w:nsid w:val="3AE1101E"/>
    <w:multiLevelType w:val="multilevel"/>
    <w:tmpl w:val="3AE1101E"/>
    <w:lvl w:ilvl="0" w:tentative="0">
      <w:start w:val="1"/>
      <w:numFmt w:val="decimal"/>
      <w:lvlText w:val="%1."/>
      <w:lvlJc w:val="left"/>
      <w:pPr>
        <w:tabs>
          <w:tab w:val="left" w:pos="567"/>
        </w:tabs>
        <w:ind w:left="567" w:hanging="113"/>
      </w:pPr>
      <w:rPr>
        <w:rFonts w:hint="eastAsia"/>
      </w:rPr>
    </w:lvl>
    <w:lvl w:ilvl="1" w:tentative="0">
      <w:start w:val="1"/>
      <w:numFmt w:val="decimal"/>
      <w:suff w:val="space"/>
      <w:lvlText w:val="%1.%2"/>
      <w:lvlJc w:val="left"/>
      <w:pPr>
        <w:ind w:left="0" w:firstLine="454"/>
      </w:pPr>
      <w:rPr>
        <w:rFonts w:hint="eastAsia"/>
      </w:rPr>
    </w:lvl>
    <w:lvl w:ilvl="2" w:tentative="0">
      <w:start w:val="1"/>
      <w:numFmt w:val="lowerLetter"/>
      <w:suff w:val="space"/>
      <w:lvlText w:val="(%3) "/>
      <w:lvlJc w:val="left"/>
      <w:pPr>
        <w:ind w:left="851" w:hanging="397"/>
      </w:pPr>
      <w:rPr>
        <w:rFonts w:hint="eastAsia"/>
      </w:rPr>
    </w:lvl>
    <w:lvl w:ilvl="3" w:tentative="0">
      <w:start w:val="1"/>
      <w:numFmt w:val="decimal"/>
      <w:suff w:val="space"/>
      <w:lvlText w:val="(%4) "/>
      <w:lvlJc w:val="left"/>
      <w:pPr>
        <w:ind w:left="851" w:hanging="397"/>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56D5F"/>
    <w:multiLevelType w:val="multilevel"/>
    <w:tmpl w:val="49656D5F"/>
    <w:lvl w:ilvl="0" w:tentative="0">
      <w:start w:val="1"/>
      <w:numFmt w:val="decimal"/>
      <w:lvlText w:val="第%1条"/>
      <w:lvlJc w:val="left"/>
      <w:pPr>
        <w:tabs>
          <w:tab w:val="left" w:pos="1041"/>
        </w:tabs>
        <w:ind w:left="1041" w:hanging="750"/>
      </w:pPr>
      <w:rPr>
        <w:b/>
        <w:lang w:val="en-US"/>
      </w:rPr>
    </w:lvl>
    <w:lvl w:ilvl="1" w:tentative="0">
      <w:start w:val="1"/>
      <w:numFmt w:val="bullet"/>
      <w:lvlText w:val=""/>
      <w:lvlJc w:val="left"/>
      <w:pPr>
        <w:tabs>
          <w:tab w:val="left" w:pos="1131"/>
        </w:tabs>
        <w:ind w:left="1131" w:hanging="420"/>
      </w:pPr>
      <w:rPr>
        <w:rFonts w:hint="default" w:ascii="Wingdings" w:hAnsi="Wingdings"/>
        <w:b/>
        <w:lang w:val="en-US"/>
      </w:rPr>
    </w:lvl>
    <w:lvl w:ilvl="2" w:tentative="0">
      <w:start w:val="1"/>
      <w:numFmt w:val="lowerRoman"/>
      <w:lvlText w:val="%3."/>
      <w:lvlJc w:val="right"/>
      <w:pPr>
        <w:tabs>
          <w:tab w:val="left" w:pos="1551"/>
        </w:tabs>
        <w:ind w:left="1551" w:hanging="420"/>
      </w:pPr>
    </w:lvl>
    <w:lvl w:ilvl="3" w:tentative="0">
      <w:start w:val="1"/>
      <w:numFmt w:val="decimal"/>
      <w:lvlText w:val="%4、"/>
      <w:lvlJc w:val="left"/>
      <w:pPr>
        <w:tabs>
          <w:tab w:val="left" w:pos="1011"/>
        </w:tabs>
        <w:ind w:left="1011" w:hanging="360"/>
      </w:pPr>
    </w:lvl>
    <w:lvl w:ilvl="4" w:tentative="0">
      <w:start w:val="1"/>
      <w:numFmt w:val="lowerLetter"/>
      <w:lvlText w:val="%5)"/>
      <w:lvlJc w:val="left"/>
      <w:pPr>
        <w:tabs>
          <w:tab w:val="left" w:pos="2391"/>
        </w:tabs>
        <w:ind w:left="2391" w:hanging="420"/>
      </w:pPr>
    </w:lvl>
    <w:lvl w:ilvl="5" w:tentative="0">
      <w:start w:val="1"/>
      <w:numFmt w:val="lowerRoman"/>
      <w:lvlText w:val="%6."/>
      <w:lvlJc w:val="right"/>
      <w:pPr>
        <w:tabs>
          <w:tab w:val="left" w:pos="2811"/>
        </w:tabs>
        <w:ind w:left="2811" w:hanging="420"/>
      </w:pPr>
    </w:lvl>
    <w:lvl w:ilvl="6" w:tentative="0">
      <w:start w:val="1"/>
      <w:numFmt w:val="decimal"/>
      <w:lvlText w:val="%7."/>
      <w:lvlJc w:val="left"/>
      <w:pPr>
        <w:tabs>
          <w:tab w:val="left" w:pos="3231"/>
        </w:tabs>
        <w:ind w:left="3231" w:hanging="420"/>
      </w:pPr>
    </w:lvl>
    <w:lvl w:ilvl="7" w:tentative="0">
      <w:start w:val="1"/>
      <w:numFmt w:val="lowerLetter"/>
      <w:lvlText w:val="%8)"/>
      <w:lvlJc w:val="left"/>
      <w:pPr>
        <w:tabs>
          <w:tab w:val="left" w:pos="3651"/>
        </w:tabs>
        <w:ind w:left="3651" w:hanging="420"/>
      </w:pPr>
    </w:lvl>
    <w:lvl w:ilvl="8" w:tentative="0">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40"/>
        <w:suff w:val="space"/>
        <w:lvlText w:val="%1."/>
        <w:lvlJc w:val="left"/>
        <w:pPr>
          <w:ind w:left="833" w:hanging="113"/>
        </w:pPr>
        <w:rPr>
          <w:rFonts w:hint="eastAsia" w:ascii="Times New Roman" w:hAnsi="Times New Roman" w:eastAsia="宋体"/>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141"/>
        <w:suff w:val="space"/>
        <w:lvlText w:val="%1.%2"/>
        <w:lvlJc w:val="left"/>
        <w:pPr>
          <w:ind w:left="653" w:hanging="113"/>
        </w:pPr>
        <w:rPr>
          <w:rFonts w:hint="default" w:ascii="Times New Roman" w:hAnsi="Times New Roman" w:cs="Times New Roman"/>
          <w:b w:val="0"/>
        </w:rPr>
      </w:lvl>
    </w:lvlOverride>
    <w:lvlOverride w:ilvl="2">
      <w:lvl w:ilvl="2" w:tentative="1">
        <w:start w:val="1"/>
        <w:numFmt w:val="lowerLetter"/>
        <w:pStyle w:val="142"/>
        <w:suff w:val="space"/>
        <w:lvlText w:val="(%3) "/>
        <w:lvlJc w:val="left"/>
        <w:pPr>
          <w:ind w:left="679" w:hanging="225"/>
        </w:pPr>
        <w:rPr>
          <w:rFonts w:hint="eastAsia"/>
        </w:rPr>
      </w:lvl>
    </w:lvlOverride>
    <w:lvlOverride w:ilvl="3">
      <w:lvl w:ilvl="3" w:tentative="1">
        <w:start w:val="1"/>
        <w:numFmt w:val="decimal"/>
        <w:pStyle w:val="143"/>
        <w:suff w:val="space"/>
        <w:lvlText w:val="(%4) "/>
        <w:lvlJc w:val="left"/>
        <w:pPr>
          <w:ind w:left="765" w:hanging="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0E86"/>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184"/>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6D43"/>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A9E"/>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A7BC7"/>
    <w:rsid w:val="003B236E"/>
    <w:rsid w:val="003B2DEF"/>
    <w:rsid w:val="003B54B7"/>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06AA"/>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05F2"/>
    <w:rsid w:val="00481E94"/>
    <w:rsid w:val="0048231B"/>
    <w:rsid w:val="004824CE"/>
    <w:rsid w:val="00482CCF"/>
    <w:rsid w:val="0048383D"/>
    <w:rsid w:val="00485E3C"/>
    <w:rsid w:val="00486B09"/>
    <w:rsid w:val="004911A5"/>
    <w:rsid w:val="004926C6"/>
    <w:rsid w:val="00492735"/>
    <w:rsid w:val="00492F32"/>
    <w:rsid w:val="00493FC2"/>
    <w:rsid w:val="00494FC9"/>
    <w:rsid w:val="004A02BC"/>
    <w:rsid w:val="004A0399"/>
    <w:rsid w:val="004A201B"/>
    <w:rsid w:val="004A4377"/>
    <w:rsid w:val="004A5519"/>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366"/>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0B2"/>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626"/>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2706"/>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2F56"/>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1E7"/>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789"/>
    <w:rsid w:val="00DA4B71"/>
    <w:rsid w:val="00DA59D2"/>
    <w:rsid w:val="00DA5D6F"/>
    <w:rsid w:val="00DB02B4"/>
    <w:rsid w:val="00DB0456"/>
    <w:rsid w:val="00DB0478"/>
    <w:rsid w:val="00DB1188"/>
    <w:rsid w:val="00DB2B7E"/>
    <w:rsid w:val="00DB323D"/>
    <w:rsid w:val="00DB36D2"/>
    <w:rsid w:val="00DB4D6B"/>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019D"/>
    <w:rsid w:val="00E20EC7"/>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0D0B"/>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2328"/>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5C8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3A9A"/>
    <w:rsid w:val="00FF47A3"/>
    <w:rsid w:val="00FF78B8"/>
    <w:rsid w:val="02D245CF"/>
    <w:rsid w:val="0D326FE2"/>
    <w:rsid w:val="116E7D8F"/>
    <w:rsid w:val="1A6148D8"/>
    <w:rsid w:val="1AAD2C9D"/>
    <w:rsid w:val="1F634ACE"/>
    <w:rsid w:val="221117D8"/>
    <w:rsid w:val="2A5E56F0"/>
    <w:rsid w:val="2A7C3AE1"/>
    <w:rsid w:val="2DD221EB"/>
    <w:rsid w:val="2DEA2F8F"/>
    <w:rsid w:val="2DF85456"/>
    <w:rsid w:val="300B5FA4"/>
    <w:rsid w:val="34F363EC"/>
    <w:rsid w:val="3EE75D21"/>
    <w:rsid w:val="42E36A21"/>
    <w:rsid w:val="594759AA"/>
    <w:rsid w:val="599433C9"/>
    <w:rsid w:val="6F3F74BB"/>
    <w:rsid w:val="7AB72B04"/>
    <w:rsid w:val="7C0C6E9C"/>
    <w:rsid w:val="7E4C659C"/>
    <w:rsid w:val="7E5B4D7C"/>
    <w:rsid w:val="7F87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8"/>
    <w:qFormat/>
    <w:uiPriority w:val="0"/>
    <w:pPr>
      <w:spacing w:before="340" w:after="330" w:line="360" w:lineRule="auto"/>
      <w:jc w:val="center"/>
      <w:outlineLvl w:val="0"/>
    </w:pPr>
    <w:rPr>
      <w:rFonts w:eastAsia="黑体"/>
      <w:b w:val="0"/>
      <w:bCs w:val="0"/>
      <w:kern w:val="44"/>
      <w:sz w:val="48"/>
      <w:szCs w:val="48"/>
    </w:rPr>
  </w:style>
  <w:style w:type="paragraph" w:styleId="5">
    <w:name w:val="heading 2"/>
    <w:basedOn w:val="3"/>
    <w:next w:val="4"/>
    <w:link w:val="97"/>
    <w:qFormat/>
    <w:uiPriority w:val="0"/>
    <w:pPr>
      <w:adjustRightInd w:val="0"/>
      <w:jc w:val="center"/>
      <w:textAlignment w:val="baseline"/>
      <w:outlineLvl w:val="1"/>
    </w:pPr>
    <w:rPr>
      <w:bCs w:val="0"/>
      <w:kern w:val="0"/>
      <w:sz w:val="24"/>
      <w:szCs w:val="20"/>
    </w:rPr>
  </w:style>
  <w:style w:type="paragraph" w:styleId="3">
    <w:name w:val="heading 3"/>
    <w:basedOn w:val="4"/>
    <w:next w:val="1"/>
    <w:link w:val="67"/>
    <w:qFormat/>
    <w:uiPriority w:val="0"/>
    <w:pPr>
      <w:spacing w:before="260" w:after="260" w:line="240" w:lineRule="auto"/>
      <w:outlineLvl w:val="2"/>
    </w:pPr>
    <w:rPr>
      <w:rFonts w:ascii="宋体" w:hAnsi="宋体" w:eastAsia="宋体"/>
      <w:szCs w:val="32"/>
    </w:rPr>
  </w:style>
  <w:style w:type="paragraph" w:styleId="4">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58">
    <w:name w:val="Default Paragraph Font"/>
    <w:semiHidden/>
    <w:unhideWhenUsed/>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184"/>
    <w:semiHidden/>
    <w:qFormat/>
    <w:uiPriority w:val="0"/>
    <w:pPr>
      <w:shd w:val="clear" w:color="auto" w:fill="000080"/>
    </w:pPr>
  </w:style>
  <w:style w:type="paragraph" w:styleId="18">
    <w:name w:val="annotation text"/>
    <w:basedOn w:val="1"/>
    <w:link w:val="84"/>
    <w:qFormat/>
    <w:uiPriority w:val="99"/>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113"/>
    <w:qFormat/>
    <w:uiPriority w:val="0"/>
    <w:pPr>
      <w:spacing w:line="360" w:lineRule="auto"/>
    </w:pPr>
    <w:rPr>
      <w:b/>
      <w:bCs/>
      <w:sz w:val="24"/>
    </w:rPr>
  </w:style>
  <w:style w:type="paragraph" w:styleId="23">
    <w:name w:val="Body Text Indent"/>
    <w:basedOn w:val="1"/>
    <w:link w:val="105"/>
    <w:qFormat/>
    <w:uiPriority w:val="0"/>
    <w:pPr>
      <w:spacing w:line="360" w:lineRule="auto"/>
      <w:ind w:firstLine="420" w:firstLineChars="200"/>
    </w:p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szCs w:val="21"/>
    </w:rPr>
  </w:style>
  <w:style w:type="paragraph" w:styleId="29">
    <w:name w:val="toc 3"/>
    <w:basedOn w:val="1"/>
    <w:next w:val="1"/>
    <w:semiHidden/>
    <w:qFormat/>
    <w:uiPriority w:val="39"/>
    <w:pPr>
      <w:ind w:left="420"/>
      <w:jc w:val="left"/>
    </w:pPr>
    <w:rPr>
      <w:i/>
      <w:iCs/>
    </w:rPr>
  </w:style>
  <w:style w:type="paragraph" w:styleId="30">
    <w:name w:val="Plain Text"/>
    <w:basedOn w:val="1"/>
    <w:link w:val="92"/>
    <w:qFormat/>
    <w:uiPriority w:val="0"/>
    <w:rPr>
      <w:rFonts w:ascii="宋体" w:hAnsi="Courier New"/>
      <w:szCs w:val="20"/>
    </w:rPr>
  </w:style>
  <w:style w:type="paragraph" w:styleId="31">
    <w:name w:val="List Bullet 5"/>
    <w:basedOn w:val="1"/>
    <w:uiPriority w:val="0"/>
    <w:pPr>
      <w:tabs>
        <w:tab w:val="left" w:pos="2040"/>
      </w:tabs>
      <w:ind w:left="2040" w:leftChars="800" w:hanging="360" w:hangingChars="200"/>
    </w:pPr>
  </w:style>
  <w:style w:type="paragraph" w:styleId="32">
    <w:name w:val="toc 8"/>
    <w:basedOn w:val="1"/>
    <w:next w:val="1"/>
    <w:semiHidden/>
    <w:uiPriority w:val="0"/>
    <w:pPr>
      <w:ind w:left="1470"/>
      <w:jc w:val="left"/>
    </w:pPr>
    <w:rPr>
      <w:szCs w:val="21"/>
    </w:rPr>
  </w:style>
  <w:style w:type="paragraph" w:styleId="33">
    <w:name w:val="Date"/>
    <w:basedOn w:val="1"/>
    <w:next w:val="1"/>
    <w:qFormat/>
    <w:uiPriority w:val="0"/>
    <w:rPr>
      <w:rFonts w:ascii="宋体" w:hAnsi="Courier New"/>
      <w:sz w:val="32"/>
      <w:szCs w:val="20"/>
    </w:rPr>
  </w:style>
  <w:style w:type="paragraph" w:styleId="34">
    <w:name w:val="Body Text Indent 2"/>
    <w:basedOn w:val="1"/>
    <w:qFormat/>
    <w:uiPriority w:val="0"/>
    <w:pPr>
      <w:spacing w:before="156" w:beforeLines="50" w:after="156" w:afterLines="50" w:line="120" w:lineRule="auto"/>
      <w:ind w:firstLine="840" w:firstLineChars="400"/>
      <w:jc w:val="left"/>
    </w:pPr>
    <w:rPr>
      <w:rFonts w:ascii="宋体" w:hAnsi="宋体"/>
    </w:rPr>
  </w:style>
  <w:style w:type="paragraph" w:styleId="35">
    <w:name w:val="Balloon Text"/>
    <w:basedOn w:val="1"/>
    <w:link w:val="98"/>
    <w:qFormat/>
    <w:uiPriority w:val="0"/>
    <w:rPr>
      <w:sz w:val="18"/>
      <w:szCs w:val="18"/>
    </w:rPr>
  </w:style>
  <w:style w:type="paragraph" w:styleId="36">
    <w:name w:val="footer"/>
    <w:basedOn w:val="1"/>
    <w:link w:val="101"/>
    <w:qFormat/>
    <w:uiPriority w:val="0"/>
    <w:pPr>
      <w:tabs>
        <w:tab w:val="center" w:pos="4153"/>
        <w:tab w:val="right" w:pos="8306"/>
      </w:tabs>
      <w:snapToGrid w:val="0"/>
      <w:jc w:val="left"/>
    </w:pPr>
    <w:rPr>
      <w:sz w:val="18"/>
      <w:szCs w:val="18"/>
    </w:rPr>
  </w:style>
  <w:style w:type="paragraph" w:styleId="37">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qFormat/>
    <w:uiPriority w:val="0"/>
    <w:pPr>
      <w:ind w:left="630"/>
      <w:jc w:val="left"/>
    </w:pPr>
    <w:rPr>
      <w:szCs w:val="21"/>
    </w:rPr>
  </w:style>
  <w:style w:type="paragraph" w:styleId="40">
    <w:name w:val="index heading"/>
    <w:basedOn w:val="1"/>
    <w:next w:val="41"/>
    <w:uiPriority w:val="0"/>
  </w:style>
  <w:style w:type="paragraph" w:styleId="41">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oc 6"/>
    <w:basedOn w:val="1"/>
    <w:next w:val="1"/>
    <w:semiHidden/>
    <w:uiPriority w:val="0"/>
    <w:pPr>
      <w:ind w:left="1050"/>
      <w:jc w:val="left"/>
    </w:pPr>
    <w:rPr>
      <w:szCs w:val="21"/>
    </w:rPr>
  </w:style>
  <w:style w:type="paragraph" w:styleId="43">
    <w:name w:val="Body Text Indent 3"/>
    <w:basedOn w:val="1"/>
    <w:uiPriority w:val="0"/>
    <w:pPr>
      <w:spacing w:line="360" w:lineRule="auto"/>
      <w:ind w:firstLine="482" w:firstLineChars="200"/>
    </w:pPr>
    <w:rPr>
      <w:rFonts w:ascii="宋体"/>
      <w:b/>
      <w:bCs/>
      <w:sz w:val="24"/>
    </w:rPr>
  </w:style>
  <w:style w:type="paragraph" w:styleId="44">
    <w:name w:val="toc 2"/>
    <w:basedOn w:val="1"/>
    <w:next w:val="1"/>
    <w:semiHidden/>
    <w:qFormat/>
    <w:uiPriority w:val="0"/>
    <w:pPr>
      <w:tabs>
        <w:tab w:val="right" w:leader="dot" w:pos="8296"/>
      </w:tabs>
      <w:ind w:left="210"/>
      <w:jc w:val="left"/>
    </w:pPr>
    <w:rPr>
      <w:smallCaps/>
    </w:rPr>
  </w:style>
  <w:style w:type="paragraph" w:styleId="45">
    <w:name w:val="toc 9"/>
    <w:basedOn w:val="1"/>
    <w:next w:val="1"/>
    <w:semiHidden/>
    <w:qFormat/>
    <w:uiPriority w:val="0"/>
    <w:pPr>
      <w:ind w:left="1680"/>
      <w:jc w:val="left"/>
    </w:pPr>
    <w:rPr>
      <w:szCs w:val="21"/>
    </w:rPr>
  </w:style>
  <w:style w:type="paragraph" w:styleId="46">
    <w:name w:val="Body Text 2"/>
    <w:basedOn w:val="1"/>
    <w:qFormat/>
    <w:uiPriority w:val="0"/>
    <w:pPr>
      <w:spacing w:line="360" w:lineRule="auto"/>
    </w:pPr>
    <w:rPr>
      <w:sz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8">
    <w:name w:val="Normal (Web)"/>
    <w:basedOn w:val="1"/>
    <w:qFormat/>
    <w:uiPriority w:val="0"/>
    <w:rPr>
      <w:sz w:val="24"/>
    </w:rPr>
  </w:style>
  <w:style w:type="paragraph" w:styleId="49">
    <w:name w:val="index 2"/>
    <w:basedOn w:val="1"/>
    <w:next w:val="1"/>
    <w:uiPriority w:val="0"/>
    <w:pPr>
      <w:adjustRightInd w:val="0"/>
      <w:spacing w:line="315" w:lineRule="atLeast"/>
      <w:ind w:left="420"/>
      <w:jc w:val="left"/>
      <w:textAlignment w:val="baseline"/>
    </w:pPr>
    <w:rPr>
      <w:rFonts w:ascii="宋体"/>
      <w:kern w:val="0"/>
    </w:rPr>
  </w:style>
  <w:style w:type="paragraph" w:styleId="50">
    <w:name w:val="Title"/>
    <w:basedOn w:val="1"/>
    <w:qFormat/>
    <w:uiPriority w:val="0"/>
    <w:pPr>
      <w:spacing w:before="240" w:after="60"/>
      <w:jc w:val="center"/>
      <w:outlineLvl w:val="0"/>
    </w:pPr>
    <w:rPr>
      <w:rFonts w:ascii="Arial" w:hAnsi="Arial" w:eastAsia="隶书" w:cs="Arial"/>
      <w:b/>
      <w:bCs/>
      <w:sz w:val="32"/>
      <w:szCs w:val="32"/>
    </w:rPr>
  </w:style>
  <w:style w:type="paragraph" w:styleId="51">
    <w:name w:val="annotation subject"/>
    <w:basedOn w:val="18"/>
    <w:next w:val="18"/>
    <w:link w:val="175"/>
    <w:qFormat/>
    <w:uiPriority w:val="0"/>
    <w:pPr>
      <w:autoSpaceDE/>
      <w:autoSpaceDN/>
      <w:adjustRightInd/>
      <w:textAlignment w:val="auto"/>
    </w:pPr>
    <w:rPr>
      <w:rFonts w:ascii="Times New Roman"/>
      <w:b/>
      <w:bCs/>
      <w:kern w:val="2"/>
      <w:sz w:val="21"/>
      <w:szCs w:val="24"/>
    </w:rPr>
  </w:style>
  <w:style w:type="paragraph" w:styleId="52">
    <w:name w:val="Body Text First Indent"/>
    <w:basedOn w:val="22"/>
    <w:link w:val="114"/>
    <w:uiPriority w:val="0"/>
    <w:pPr>
      <w:spacing w:after="120" w:line="240" w:lineRule="auto"/>
      <w:ind w:firstLine="420" w:firstLineChars="100"/>
    </w:pPr>
    <w:rPr>
      <w:b w:val="0"/>
      <w:bCs w:val="0"/>
      <w:sz w:val="21"/>
    </w:rPr>
  </w:style>
  <w:style w:type="paragraph" w:styleId="53">
    <w:name w:val="Body Text First Indent 2"/>
    <w:basedOn w:val="23"/>
    <w:link w:val="106"/>
    <w:uiPriority w:val="0"/>
    <w:pPr>
      <w:spacing w:after="120" w:line="240" w:lineRule="auto"/>
      <w:ind w:left="420" w:firstLine="210" w:firstLineChars="0"/>
    </w:pPr>
    <w:rPr>
      <w:szCs w:val="2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2"/>
    <w:basedOn w:val="54"/>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yperlink"/>
    <w:qFormat/>
    <w:uiPriority w:val="0"/>
    <w:rPr>
      <w:color w:val="0000FF"/>
      <w:u w:val="single"/>
    </w:rPr>
  </w:style>
  <w:style w:type="character" w:styleId="64">
    <w:name w:val="annotation reference"/>
    <w:unhideWhenUsed/>
    <w:qFormat/>
    <w:uiPriority w:val="0"/>
    <w:rPr>
      <w:sz w:val="21"/>
      <w:szCs w:val="21"/>
    </w:rPr>
  </w:style>
  <w:style w:type="character" w:customStyle="1" w:styleId="65">
    <w:name w:val="标题 4 Char"/>
    <w:link w:val="4"/>
    <w:qFormat/>
    <w:uiPriority w:val="0"/>
    <w:rPr>
      <w:rFonts w:ascii="Arial" w:hAnsi="Arial" w:eastAsia="黑体"/>
      <w:b/>
      <w:bCs/>
      <w:kern w:val="2"/>
      <w:sz w:val="28"/>
      <w:szCs w:val="28"/>
      <w:lang w:val="en-US" w:eastAsia="zh-CN" w:bidi="ar-SA"/>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标题 3 Char1"/>
    <w:link w:val="3"/>
    <w:qFormat/>
    <w:uiPriority w:val="0"/>
    <w:rPr>
      <w:rFonts w:ascii="宋体" w:hAnsi="宋体" w:eastAsia="宋体"/>
      <w:b/>
      <w:bCs/>
      <w:kern w:val="2"/>
      <w:sz w:val="28"/>
      <w:szCs w:val="32"/>
      <w:lang w:val="en-US" w:eastAsia="zh-CN" w:bidi="ar-SA"/>
    </w:rPr>
  </w:style>
  <w:style w:type="character" w:customStyle="1" w:styleId="68">
    <w:name w:val="标题 1 Char"/>
    <w:link w:val="2"/>
    <w:qFormat/>
    <w:uiPriority w:val="0"/>
    <w:rPr>
      <w:rFonts w:ascii="宋体" w:hAnsi="宋体" w:eastAsia="黑体"/>
      <w:kern w:val="44"/>
      <w:sz w:val="48"/>
      <w:szCs w:val="48"/>
    </w:rPr>
  </w:style>
  <w:style w:type="character" w:customStyle="1" w:styleId="69">
    <w:name w:val="正文缩进 Char"/>
    <w:link w:val="7"/>
    <w:qFormat/>
    <w:uiPriority w:val="0"/>
    <w:rPr>
      <w:rFonts w:eastAsia="宋体"/>
      <w:kern w:val="2"/>
      <w:sz w:val="21"/>
      <w:lang w:val="en-US" w:eastAsia="zh-CN" w:bidi="ar-SA"/>
    </w:rPr>
  </w:style>
  <w:style w:type="character" w:customStyle="1" w:styleId="70">
    <w:name w:val="已访问的超链接1"/>
    <w:qFormat/>
    <w:uiPriority w:val="0"/>
    <w:rPr>
      <w:color w:val="800080"/>
      <w:u w:val="single"/>
    </w:rPr>
  </w:style>
  <w:style w:type="character" w:customStyle="1" w:styleId="71">
    <w:name w:val="标题 3 Char"/>
    <w:qFormat/>
    <w:uiPriority w:val="0"/>
    <w:rPr>
      <w:rFonts w:ascii="黑体" w:eastAsia="黑体"/>
      <w:bCs/>
      <w:sz w:val="30"/>
    </w:rPr>
  </w:style>
  <w:style w:type="paragraph" w:customStyle="1" w:styleId="72">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4">
    <w:name w:val="文档正文"/>
    <w:basedOn w:val="1"/>
    <w:uiPriority w:val="0"/>
    <w:pPr>
      <w:adjustRightInd w:val="0"/>
      <w:spacing w:line="480" w:lineRule="atLeast"/>
      <w:ind w:firstLine="567" w:firstLineChars="200"/>
      <w:textAlignment w:val="baseline"/>
    </w:pPr>
    <w:rPr>
      <w:rFonts w:ascii="长城仿宋"/>
      <w:kern w:val="0"/>
      <w:szCs w:val="20"/>
    </w:rPr>
  </w:style>
  <w:style w:type="paragraph" w:customStyle="1" w:styleId="7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9">
    <w:name w:val="自定义正文"/>
    <w:basedOn w:val="1"/>
    <w:uiPriority w:val="0"/>
    <w:pPr>
      <w:spacing w:after="50" w:afterLines="50"/>
      <w:ind w:left="600" w:leftChars="600"/>
    </w:pPr>
  </w:style>
  <w:style w:type="paragraph" w:customStyle="1" w:styleId="80">
    <w:name w:val="Char Char Char Char Char"/>
    <w:basedOn w:val="1"/>
    <w:qFormat/>
    <w:uiPriority w:val="0"/>
    <w:rPr>
      <w:rFonts w:ascii="Tahoma" w:hAnsi="Tahoma"/>
      <w:sz w:val="24"/>
      <w:szCs w:val="20"/>
    </w:rPr>
  </w:style>
  <w:style w:type="paragraph" w:customStyle="1" w:styleId="8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2">
    <w:name w:val="Char Char"/>
    <w:basedOn w:val="1"/>
    <w:qFormat/>
    <w:uiPriority w:val="0"/>
    <w:rPr>
      <w:rFonts w:ascii="Tahoma" w:hAnsi="Tahoma"/>
      <w:sz w:val="24"/>
      <w:szCs w:val="20"/>
    </w:rPr>
  </w:style>
  <w:style w:type="paragraph" w:customStyle="1" w:styleId="83">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4">
    <w:name w:val="批注文字 Char"/>
    <w:link w:val="18"/>
    <w:qFormat/>
    <w:uiPriority w:val="99"/>
    <w:rPr>
      <w:rFonts w:ascii="宋体" w:eastAsia="宋体"/>
      <w:sz w:val="34"/>
      <w:lang w:val="en-US" w:eastAsia="zh-CN" w:bidi="ar-SA"/>
    </w:rPr>
  </w:style>
  <w:style w:type="paragraph" w:customStyle="1" w:styleId="85">
    <w:name w:val="_Style 64"/>
    <w:basedOn w:val="1"/>
    <w:qFormat/>
    <w:uiPriority w:val="0"/>
    <w:pPr>
      <w:widowControl/>
      <w:spacing w:after="160" w:line="240" w:lineRule="exact"/>
      <w:jc w:val="left"/>
    </w:pPr>
  </w:style>
  <w:style w:type="paragraph" w:customStyle="1" w:styleId="86">
    <w:name w:val="Char Char Char Char Char Char Char"/>
    <w:basedOn w:val="1"/>
    <w:qFormat/>
    <w:uiPriority w:val="0"/>
    <w:pPr>
      <w:widowControl/>
      <w:spacing w:after="160" w:line="240" w:lineRule="exact"/>
      <w:jc w:val="left"/>
    </w:pPr>
  </w:style>
  <w:style w:type="character" w:customStyle="1" w:styleId="87">
    <w:name w:val="页眉 Char"/>
    <w:link w:val="37"/>
    <w:qFormat/>
    <w:uiPriority w:val="99"/>
    <w:rPr>
      <w:rFonts w:eastAsia="宋体"/>
      <w:kern w:val="2"/>
      <w:sz w:val="18"/>
      <w:szCs w:val="18"/>
      <w:lang w:val="en-US" w:eastAsia="zh-CN" w:bidi="ar-SA"/>
    </w:rPr>
  </w:style>
  <w:style w:type="paragraph" w:customStyle="1" w:styleId="88">
    <w:name w:val="Char Char Char Char Char Char Char1"/>
    <w:basedOn w:val="1"/>
    <w:qFormat/>
    <w:uiPriority w:val="0"/>
    <w:pPr>
      <w:widowControl/>
      <w:spacing w:after="160" w:line="240" w:lineRule="exact"/>
      <w:jc w:val="left"/>
    </w:pPr>
  </w:style>
  <w:style w:type="paragraph" w:styleId="89">
    <w:name w:val="List Paragraph"/>
    <w:basedOn w:val="1"/>
    <w:qFormat/>
    <w:uiPriority w:val="0"/>
    <w:pPr>
      <w:ind w:firstLine="420" w:firstLineChars="200"/>
    </w:pPr>
    <w:rPr>
      <w:rFonts w:ascii="Calibri" w:hAnsi="Calibri"/>
      <w:szCs w:val="22"/>
    </w:rPr>
  </w:style>
  <w:style w:type="paragraph" w:customStyle="1" w:styleId="90">
    <w:name w:val="Char Char8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92">
    <w:name w:val="纯文本 Char"/>
    <w:link w:val="30"/>
    <w:qFormat/>
    <w:uiPriority w:val="0"/>
    <w:rPr>
      <w:rFonts w:ascii="宋体" w:hAnsi="Courier New"/>
      <w:kern w:val="2"/>
      <w:sz w:val="21"/>
    </w:rPr>
  </w:style>
  <w:style w:type="paragraph" w:customStyle="1" w:styleId="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4">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95">
    <w:name w:val="表格内文"/>
    <w:basedOn w:val="1"/>
    <w:qFormat/>
    <w:uiPriority w:val="0"/>
    <w:pPr>
      <w:spacing w:before="60" w:after="60"/>
      <w:jc w:val="center"/>
    </w:pPr>
    <w:rPr>
      <w:rFonts w:eastAsia="文鼎CS书宋二"/>
      <w:w w:val="95"/>
      <w:sz w:val="18"/>
      <w:szCs w:val="20"/>
    </w:rPr>
  </w:style>
  <w:style w:type="paragraph" w:customStyle="1" w:styleId="96">
    <w:name w:val="内正文"/>
    <w:basedOn w:val="1"/>
    <w:qFormat/>
    <w:uiPriority w:val="0"/>
    <w:pPr>
      <w:ind w:firstLine="420"/>
    </w:pPr>
    <w:rPr>
      <w:rFonts w:eastAsia="文鼎CS书宋二"/>
      <w:szCs w:val="20"/>
    </w:rPr>
  </w:style>
  <w:style w:type="character" w:customStyle="1" w:styleId="97">
    <w:name w:val="标题 2 Char"/>
    <w:link w:val="5"/>
    <w:qFormat/>
    <w:uiPriority w:val="0"/>
    <w:rPr>
      <w:rFonts w:ascii="宋体" w:hAnsi="宋体"/>
      <w:b/>
      <w:sz w:val="24"/>
    </w:rPr>
  </w:style>
  <w:style w:type="character" w:customStyle="1" w:styleId="98">
    <w:name w:val="批注框文本 Char1"/>
    <w:link w:val="35"/>
    <w:qFormat/>
    <w:uiPriority w:val="0"/>
    <w:rPr>
      <w:kern w:val="2"/>
      <w:sz w:val="18"/>
      <w:szCs w:val="18"/>
    </w:rPr>
  </w:style>
  <w:style w:type="paragraph" w:customStyle="1" w:styleId="99">
    <w:name w:val="样式1"/>
    <w:basedOn w:val="50"/>
    <w:qFormat/>
    <w:uiPriority w:val="0"/>
    <w:pPr>
      <w:spacing w:before="120" w:after="120"/>
    </w:pPr>
    <w:rPr>
      <w:rFonts w:eastAsia="黑体"/>
      <w:b w:val="0"/>
      <w:sz w:val="30"/>
      <w:szCs w:val="21"/>
    </w:rPr>
  </w:style>
  <w:style w:type="paragraph" w:customStyle="1" w:styleId="100">
    <w:name w:val="样式2"/>
    <w:basedOn w:val="50"/>
    <w:next w:val="99"/>
    <w:qFormat/>
    <w:uiPriority w:val="0"/>
    <w:pPr>
      <w:spacing w:before="120" w:after="120"/>
    </w:pPr>
    <w:rPr>
      <w:rFonts w:eastAsia="黑体"/>
      <w:b w:val="0"/>
      <w:sz w:val="30"/>
      <w:szCs w:val="30"/>
    </w:rPr>
  </w:style>
  <w:style w:type="character" w:customStyle="1" w:styleId="101">
    <w:name w:val="页脚 Char"/>
    <w:link w:val="36"/>
    <w:qFormat/>
    <w:uiPriority w:val="0"/>
    <w:rPr>
      <w:kern w:val="2"/>
      <w:sz w:val="18"/>
      <w:szCs w:val="18"/>
    </w:rPr>
  </w:style>
  <w:style w:type="paragraph" w:customStyle="1" w:styleId="102">
    <w:name w:val="内正文篇标"/>
    <w:basedOn w:val="96"/>
    <w:qFormat/>
    <w:uiPriority w:val="0"/>
    <w:pPr>
      <w:ind w:firstLine="2354" w:firstLineChars="654"/>
      <w:jc w:val="left"/>
    </w:pPr>
    <w:rPr>
      <w:rFonts w:ascii="宋体" w:hAnsi="宋体" w:eastAsia="宋体"/>
      <w:w w:val="90"/>
      <w:sz w:val="40"/>
    </w:rPr>
  </w:style>
  <w:style w:type="paragraph" w:customStyle="1" w:styleId="103">
    <w:name w:val="内正文加粗"/>
    <w:basedOn w:val="96"/>
    <w:qFormat/>
    <w:uiPriority w:val="0"/>
    <w:pPr>
      <w:spacing w:before="60" w:after="60"/>
    </w:pPr>
    <w:rPr>
      <w:b/>
    </w:rPr>
  </w:style>
  <w:style w:type="paragraph" w:customStyle="1" w:styleId="104">
    <w:name w:val="正文未缩进"/>
    <w:basedOn w:val="1"/>
    <w:qFormat/>
    <w:uiPriority w:val="0"/>
    <w:rPr>
      <w:rFonts w:eastAsia="文鼎CS书宋二"/>
      <w:szCs w:val="20"/>
    </w:rPr>
  </w:style>
  <w:style w:type="character" w:customStyle="1" w:styleId="105">
    <w:name w:val="正文文本缩进 Char"/>
    <w:basedOn w:val="58"/>
    <w:link w:val="23"/>
    <w:qFormat/>
    <w:uiPriority w:val="0"/>
    <w:rPr>
      <w:kern w:val="2"/>
      <w:sz w:val="21"/>
      <w:szCs w:val="24"/>
    </w:rPr>
  </w:style>
  <w:style w:type="character" w:customStyle="1" w:styleId="106">
    <w:name w:val="正文首行缩进 2 Char"/>
    <w:basedOn w:val="105"/>
    <w:link w:val="53"/>
    <w:qFormat/>
    <w:uiPriority w:val="0"/>
    <w:rPr>
      <w:kern w:val="2"/>
      <w:sz w:val="21"/>
      <w:szCs w:val="24"/>
    </w:rPr>
  </w:style>
  <w:style w:type="paragraph" w:customStyle="1" w:styleId="107">
    <w:name w:val="小标题"/>
    <w:basedOn w:val="1"/>
    <w:qFormat/>
    <w:uiPriority w:val="0"/>
    <w:pPr>
      <w:spacing w:before="240" w:after="240"/>
      <w:jc w:val="center"/>
    </w:pPr>
    <w:rPr>
      <w:rFonts w:eastAsia="创艺简黑体"/>
      <w:b/>
      <w:w w:val="95"/>
      <w:szCs w:val="20"/>
    </w:rPr>
  </w:style>
  <w:style w:type="paragraph" w:customStyle="1" w:styleId="108">
    <w:name w:val="表格标题"/>
    <w:basedOn w:val="107"/>
    <w:qFormat/>
    <w:uiPriority w:val="0"/>
    <w:pPr>
      <w:spacing w:before="120" w:after="60"/>
    </w:pPr>
    <w:rPr>
      <w:rFonts w:eastAsia="文鼎CS大宋"/>
      <w:b w:val="0"/>
      <w:sz w:val="28"/>
    </w:rPr>
  </w:style>
  <w:style w:type="paragraph" w:customStyle="1" w:styleId="109">
    <w:name w:val="节标题"/>
    <w:basedOn w:val="1"/>
    <w:qFormat/>
    <w:uiPriority w:val="0"/>
    <w:pPr>
      <w:spacing w:before="240" w:after="240"/>
      <w:jc w:val="center"/>
    </w:pPr>
    <w:rPr>
      <w:rFonts w:eastAsia="文鼎CS长美黑"/>
      <w:w w:val="95"/>
      <w:sz w:val="32"/>
      <w:szCs w:val="20"/>
    </w:rPr>
  </w:style>
  <w:style w:type="paragraph" w:customStyle="1" w:styleId="110">
    <w:name w:val="说明"/>
    <w:basedOn w:val="107"/>
    <w:qFormat/>
    <w:uiPriority w:val="0"/>
    <w:pPr>
      <w:spacing w:before="0" w:after="0" w:line="288" w:lineRule="auto"/>
      <w:ind w:firstLine="420"/>
      <w:jc w:val="both"/>
    </w:pPr>
    <w:rPr>
      <w:rFonts w:ascii="文鼎中楷" w:eastAsia="文鼎中楷"/>
      <w:b w:val="0"/>
    </w:rPr>
  </w:style>
  <w:style w:type="character" w:customStyle="1" w:styleId="111">
    <w:name w:val="p121"/>
    <w:qFormat/>
    <w:uiPriority w:val="0"/>
    <w:rPr>
      <w:rFonts w:hint="default"/>
      <w:sz w:val="24"/>
      <w:szCs w:val="24"/>
    </w:rPr>
  </w:style>
  <w:style w:type="paragraph" w:customStyle="1" w:styleId="112">
    <w:name w:val="Definition Term"/>
    <w:basedOn w:val="1"/>
    <w:next w:val="1"/>
    <w:qFormat/>
    <w:uiPriority w:val="0"/>
    <w:pPr>
      <w:autoSpaceDE w:val="0"/>
      <w:autoSpaceDN w:val="0"/>
      <w:adjustRightInd w:val="0"/>
      <w:jc w:val="left"/>
    </w:pPr>
    <w:rPr>
      <w:kern w:val="0"/>
      <w:sz w:val="24"/>
      <w:szCs w:val="20"/>
    </w:rPr>
  </w:style>
  <w:style w:type="character" w:customStyle="1" w:styleId="113">
    <w:name w:val="正文文本 Char"/>
    <w:basedOn w:val="58"/>
    <w:link w:val="22"/>
    <w:qFormat/>
    <w:uiPriority w:val="0"/>
    <w:rPr>
      <w:b/>
      <w:bCs/>
      <w:kern w:val="2"/>
      <w:sz w:val="24"/>
      <w:szCs w:val="24"/>
    </w:rPr>
  </w:style>
  <w:style w:type="character" w:customStyle="1" w:styleId="114">
    <w:name w:val="正文首行缩进 Char"/>
    <w:basedOn w:val="113"/>
    <w:link w:val="52"/>
    <w:qFormat/>
    <w:uiPriority w:val="0"/>
    <w:rPr>
      <w:b w:val="0"/>
      <w:bCs w:val="0"/>
      <w:kern w:val="2"/>
      <w:sz w:val="21"/>
      <w:szCs w:val="24"/>
    </w:rPr>
  </w:style>
  <w:style w:type="paragraph" w:customStyle="1" w:styleId="11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18">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119">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0">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1">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2">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3">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4">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25">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26">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7">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8">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9">
    <w:name w:val="xl36"/>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0">
    <w:name w:val="xl37"/>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1">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2">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3">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4">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5">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6">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37">
    <w:name w:val="xl44"/>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38">
    <w:name w:val="char"/>
    <w:basedOn w:val="3"/>
    <w:qFormat/>
    <w:uiPriority w:val="0"/>
    <w:pPr>
      <w:spacing w:line="360" w:lineRule="auto"/>
      <w:ind w:firstLine="2560" w:firstLineChars="800"/>
    </w:pPr>
    <w:rPr>
      <w:b w:val="0"/>
      <w:sz w:val="32"/>
      <w:szCs w:val="20"/>
    </w:rPr>
  </w:style>
  <w:style w:type="paragraph" w:customStyle="1" w:styleId="139">
    <w:name w:val="标题4 Char"/>
    <w:basedOn w:val="1"/>
    <w:qFormat/>
    <w:uiPriority w:val="0"/>
    <w:pPr>
      <w:spacing w:line="360" w:lineRule="auto"/>
      <w:ind w:firstLine="538" w:firstLineChars="192"/>
      <w:jc w:val="left"/>
    </w:pPr>
    <w:rPr>
      <w:rFonts w:ascii="宋体" w:hAnsi="宋体"/>
      <w:color w:val="000000"/>
      <w:sz w:val="28"/>
      <w:szCs w:val="28"/>
    </w:rPr>
  </w:style>
  <w:style w:type="paragraph" w:customStyle="1" w:styleId="140">
    <w:name w:val="投标人须知1"/>
    <w:basedOn w:val="1"/>
    <w:qFormat/>
    <w:uiPriority w:val="0"/>
    <w:pPr>
      <w:numPr>
        <w:ilvl w:val="0"/>
        <w:numId w:val="3"/>
      </w:numPr>
      <w:spacing w:line="480" w:lineRule="auto"/>
      <w:jc w:val="left"/>
    </w:pPr>
    <w:rPr>
      <w:b/>
      <w:sz w:val="24"/>
    </w:rPr>
  </w:style>
  <w:style w:type="paragraph" w:customStyle="1" w:styleId="141">
    <w:name w:val="投标人须知2"/>
    <w:basedOn w:val="1"/>
    <w:qFormat/>
    <w:uiPriority w:val="0"/>
    <w:pPr>
      <w:numPr>
        <w:ilvl w:val="1"/>
        <w:numId w:val="3"/>
      </w:numPr>
      <w:spacing w:line="300" w:lineRule="auto"/>
      <w:jc w:val="left"/>
    </w:pPr>
    <w:rPr>
      <w:szCs w:val="21"/>
    </w:rPr>
  </w:style>
  <w:style w:type="paragraph" w:customStyle="1" w:styleId="142">
    <w:name w:val="投标人须知3"/>
    <w:basedOn w:val="1"/>
    <w:qFormat/>
    <w:uiPriority w:val="0"/>
    <w:pPr>
      <w:numPr>
        <w:ilvl w:val="2"/>
        <w:numId w:val="3"/>
      </w:numPr>
      <w:spacing w:line="300" w:lineRule="auto"/>
      <w:jc w:val="left"/>
    </w:pPr>
  </w:style>
  <w:style w:type="paragraph" w:customStyle="1" w:styleId="143">
    <w:name w:val="投标人须知4"/>
    <w:basedOn w:val="1"/>
    <w:qFormat/>
    <w:uiPriority w:val="0"/>
    <w:pPr>
      <w:numPr>
        <w:ilvl w:val="3"/>
        <w:numId w:val="3"/>
      </w:numPr>
      <w:spacing w:line="300" w:lineRule="auto"/>
      <w:ind w:left="794" w:hanging="340"/>
      <w:jc w:val="left"/>
    </w:pPr>
  </w:style>
  <w:style w:type="paragraph" w:customStyle="1" w:styleId="144">
    <w:name w:val="样式 投标人须知1 + (符号) 宋体"/>
    <w:basedOn w:val="140"/>
    <w:qFormat/>
    <w:uiPriority w:val="0"/>
    <w:pPr>
      <w:numPr>
        <w:numId w:val="0"/>
      </w:numPr>
      <w:tabs>
        <w:tab w:val="left" w:pos="360"/>
      </w:tabs>
      <w:ind w:left="360" w:hanging="360"/>
      <w:outlineLvl w:val="1"/>
    </w:pPr>
    <w:rPr>
      <w:bCs/>
    </w:rPr>
  </w:style>
  <w:style w:type="paragraph" w:customStyle="1" w:styleId="145">
    <w:name w:val="Char Char Char Char Char1 Char Char Char Char Char Char Char Char Char Char"/>
    <w:basedOn w:val="1"/>
    <w:qFormat/>
    <w:uiPriority w:val="0"/>
    <w:rPr>
      <w:rFonts w:ascii="仿宋_GB2312" w:eastAsia="仿宋_GB2312"/>
      <w:b/>
      <w:sz w:val="32"/>
      <w:szCs w:val="32"/>
    </w:rPr>
  </w:style>
  <w:style w:type="paragraph" w:customStyle="1" w:styleId="146">
    <w:name w:val="表格内文1"/>
    <w:basedOn w:val="95"/>
    <w:qFormat/>
    <w:uiPriority w:val="0"/>
  </w:style>
  <w:style w:type="paragraph" w:customStyle="1" w:styleId="147">
    <w:name w:val="001"/>
    <w:basedOn w:val="148"/>
    <w:qFormat/>
    <w:uiPriority w:val="0"/>
  </w:style>
  <w:style w:type="paragraph" w:customStyle="1" w:styleId="148">
    <w:name w:val="05"/>
    <w:basedOn w:val="149"/>
    <w:qFormat/>
    <w:uiPriority w:val="0"/>
  </w:style>
  <w:style w:type="paragraph" w:customStyle="1" w:styleId="149">
    <w:name w:val="01"/>
    <w:basedOn w:val="150"/>
    <w:qFormat/>
    <w:uiPriority w:val="0"/>
  </w:style>
  <w:style w:type="paragraph" w:customStyle="1" w:styleId="150">
    <w:name w:val="表格内文2"/>
    <w:basedOn w:val="95"/>
    <w:qFormat/>
    <w:uiPriority w:val="0"/>
  </w:style>
  <w:style w:type="paragraph" w:customStyle="1" w:styleId="151">
    <w:name w:val="002"/>
    <w:basedOn w:val="96"/>
    <w:qFormat/>
    <w:uiPriority w:val="0"/>
    <w:pPr>
      <w:spacing w:before="62" w:after="62"/>
      <w:jc w:val="center"/>
    </w:pPr>
  </w:style>
  <w:style w:type="paragraph" w:customStyle="1" w:styleId="152">
    <w:name w:val="表格下注"/>
    <w:basedOn w:val="96"/>
    <w:qFormat/>
    <w:uiPriority w:val="0"/>
    <w:pPr>
      <w:ind w:left="798" w:hanging="378"/>
    </w:pPr>
    <w:rPr>
      <w:sz w:val="18"/>
    </w:rPr>
  </w:style>
  <w:style w:type="paragraph" w:customStyle="1" w:styleId="153">
    <w:name w:val="正文A"/>
    <w:basedOn w:val="96"/>
    <w:qFormat/>
    <w:uiPriority w:val="0"/>
    <w:pPr>
      <w:tabs>
        <w:tab w:val="center" w:pos="3780"/>
        <w:tab w:val="left" w:pos="7140"/>
      </w:tabs>
      <w:spacing w:before="120"/>
      <w:ind w:right="196"/>
      <w:jc w:val="right"/>
    </w:pPr>
    <w:rPr>
      <w:rFonts w:eastAsia="宋体"/>
      <w:b/>
      <w:bCs/>
      <w:w w:val="95"/>
    </w:rPr>
  </w:style>
  <w:style w:type="paragraph" w:customStyle="1" w:styleId="154">
    <w:name w:val="font8"/>
    <w:basedOn w:val="1"/>
    <w:qFormat/>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55">
    <w:name w:val="font9"/>
    <w:basedOn w:val="1"/>
    <w:qFormat/>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56">
    <w:name w:val="font10"/>
    <w:basedOn w:val="1"/>
    <w:qFormat/>
    <w:uiPriority w:val="0"/>
    <w:pPr>
      <w:widowControl/>
      <w:spacing w:before="100" w:beforeAutospacing="1" w:after="100" w:afterAutospacing="1"/>
      <w:jc w:val="left"/>
    </w:pPr>
    <w:rPr>
      <w:b/>
      <w:bCs/>
      <w:kern w:val="0"/>
      <w:sz w:val="20"/>
      <w:szCs w:val="20"/>
      <w:u w:val="single"/>
    </w:rPr>
  </w:style>
  <w:style w:type="paragraph" w:customStyle="1" w:styleId="157">
    <w:name w:val="font11"/>
    <w:basedOn w:val="1"/>
    <w:qFormat/>
    <w:uiPriority w:val="0"/>
    <w:pPr>
      <w:widowControl/>
      <w:spacing w:before="100" w:beforeAutospacing="1" w:after="100" w:afterAutospacing="1"/>
      <w:jc w:val="left"/>
    </w:pPr>
    <w:rPr>
      <w:kern w:val="0"/>
      <w:sz w:val="20"/>
      <w:szCs w:val="20"/>
    </w:rPr>
  </w:style>
  <w:style w:type="paragraph" w:customStyle="1" w:styleId="158">
    <w:name w:val="font12"/>
    <w:basedOn w:val="1"/>
    <w:qFormat/>
    <w:uiPriority w:val="0"/>
    <w:pPr>
      <w:widowControl/>
      <w:spacing w:before="100" w:beforeAutospacing="1" w:after="100" w:afterAutospacing="1"/>
      <w:jc w:val="left"/>
    </w:pPr>
    <w:rPr>
      <w:kern w:val="0"/>
      <w:sz w:val="20"/>
      <w:szCs w:val="20"/>
    </w:rPr>
  </w:style>
  <w:style w:type="paragraph" w:customStyle="1" w:styleId="159">
    <w:name w:val="xl22"/>
    <w:basedOn w:val="1"/>
    <w:qFormat/>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60">
    <w:name w:val="xl23"/>
    <w:basedOn w:val="1"/>
    <w:qFormat/>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6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6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3">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4">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7">
    <w:name w:val="样式 三号 加粗 居中"/>
    <w:basedOn w:val="50"/>
    <w:qFormat/>
    <w:uiPriority w:val="0"/>
    <w:rPr>
      <w:rFonts w:eastAsia="宋体" w:cs="宋体"/>
      <w:b w:val="0"/>
      <w:bCs w:val="0"/>
    </w:rPr>
  </w:style>
  <w:style w:type="paragraph" w:customStyle="1" w:styleId="168">
    <w:name w:val="样式 章标题"/>
    <w:basedOn w:val="50"/>
    <w:qFormat/>
    <w:uiPriority w:val="0"/>
    <w:pPr>
      <w:tabs>
        <w:tab w:val="left" w:pos="1590"/>
      </w:tabs>
      <w:ind w:left="1590" w:hanging="1590"/>
    </w:pPr>
    <w:rPr>
      <w:rFonts w:eastAsia="宋体"/>
      <w:b w:val="0"/>
      <w:bCs w:val="0"/>
    </w:rPr>
  </w:style>
  <w:style w:type="paragraph" w:customStyle="1" w:styleId="169">
    <w:name w:val="样式 章标题 20 加粗 居中"/>
    <w:basedOn w:val="168"/>
    <w:qFormat/>
    <w:uiPriority w:val="0"/>
    <w:rPr>
      <w:rFonts w:cs="宋体"/>
      <w:b/>
      <w:bCs/>
      <w:sz w:val="40"/>
    </w:rPr>
  </w:style>
  <w:style w:type="paragraph" w:customStyle="1" w:styleId="170">
    <w:name w:val="样式 章标题 + 宋体 加粗 倾斜 黑色"/>
    <w:basedOn w:val="5"/>
    <w:qFormat/>
    <w:uiPriority w:val="0"/>
    <w:pPr>
      <w:keepNext w:val="0"/>
      <w:keepLines w:val="0"/>
      <w:adjustRightInd/>
      <w:spacing w:before="480" w:after="120"/>
      <w:textAlignment w:val="auto"/>
      <w:outlineLvl w:val="9"/>
    </w:pPr>
    <w:rPr>
      <w:bCs/>
      <w:i/>
      <w:iCs/>
      <w:color w:val="000000"/>
      <w:w w:val="80"/>
      <w:kern w:val="2"/>
      <w:sz w:val="40"/>
    </w:rPr>
  </w:style>
  <w:style w:type="paragraph" w:customStyle="1" w:styleId="171">
    <w:name w:val="样式 小标题 + 宋体 黑色 首行缩进:  0.74 厘米"/>
    <w:basedOn w:val="22"/>
    <w:qFormat/>
    <w:uiPriority w:val="0"/>
    <w:pPr>
      <w:spacing w:after="120" w:line="240" w:lineRule="auto"/>
      <w:ind w:firstLine="420"/>
    </w:pPr>
    <w:rPr>
      <w:rFonts w:ascii="宋体" w:hAnsi="宋体" w:cs="宋体"/>
      <w:b w:val="0"/>
      <w:bCs w:val="0"/>
      <w:color w:val="000000"/>
      <w:sz w:val="21"/>
      <w:szCs w:val="20"/>
    </w:rPr>
  </w:style>
  <w:style w:type="paragraph" w:customStyle="1" w:styleId="172">
    <w:name w:val="样式 小标题 + (中文) 宋体 加粗 黑色 段前: 0 磅 段后: 0 磅 行距: 多倍行距 1.25 字行"/>
    <w:basedOn w:val="107"/>
    <w:next w:val="22"/>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3">
    <w:name w:val="样式 小标题 + (中文) 宋体 加粗 黑色 段前: 0 磅 段后: 0 磅 行距: 多倍行距 1.25 字行1"/>
    <w:basedOn w:val="107"/>
    <w:next w:val="53"/>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4">
    <w:name w:val="样式 样式 小标题 + (中文) 宋体 加粗 黑色 段前: 0 磅 段后: 0 磅 行距: 多倍行距 1.25 字行1 + 非加..."/>
    <w:basedOn w:val="173"/>
    <w:next w:val="53"/>
    <w:qFormat/>
    <w:uiPriority w:val="0"/>
    <w:pPr>
      <w:ind w:firstLine="420"/>
    </w:pPr>
    <w:rPr>
      <w:b w:val="0"/>
      <w:bCs w:val="0"/>
    </w:rPr>
  </w:style>
  <w:style w:type="character" w:customStyle="1" w:styleId="175">
    <w:name w:val="批注主题 Char"/>
    <w:link w:val="51"/>
    <w:qFormat/>
    <w:uiPriority w:val="0"/>
    <w:rPr>
      <w:b/>
      <w:bCs/>
      <w:kern w:val="2"/>
      <w:sz w:val="21"/>
      <w:szCs w:val="24"/>
    </w:rPr>
  </w:style>
  <w:style w:type="paragraph" w:customStyle="1" w:styleId="176">
    <w:name w:val="前言、引言标题"/>
    <w:next w:val="1"/>
    <w:qFormat/>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77">
    <w:name w:val="列项●（二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78">
    <w:name w:val="二级条标题"/>
    <w:basedOn w:val="1"/>
    <w:next w:val="1"/>
    <w:qFormat/>
    <w:uiPriority w:val="0"/>
    <w:pPr>
      <w:widowControl/>
      <w:tabs>
        <w:tab w:val="left" w:pos="1680"/>
      </w:tabs>
      <w:ind w:left="1680" w:hanging="420"/>
      <w:jc w:val="left"/>
      <w:outlineLvl w:val="3"/>
    </w:pPr>
    <w:rPr>
      <w:rFonts w:eastAsia="黑体"/>
      <w:kern w:val="0"/>
      <w:szCs w:val="20"/>
    </w:rPr>
  </w:style>
  <w:style w:type="character" w:customStyle="1" w:styleId="179">
    <w:name w:val="fo Char"/>
    <w:qFormat/>
    <w:uiPriority w:val="0"/>
    <w:rPr>
      <w:rFonts w:eastAsia="宋体"/>
      <w:kern w:val="2"/>
      <w:sz w:val="18"/>
      <w:szCs w:val="18"/>
      <w:lang w:val="en-US" w:eastAsia="zh-CN" w:bidi="ar-SA"/>
    </w:rPr>
  </w:style>
  <w:style w:type="paragraph" w:styleId="180">
    <w:name w:val="Intense Quote"/>
    <w:basedOn w:val="1"/>
    <w:next w:val="1"/>
    <w:link w:val="181"/>
    <w:qFormat/>
    <w:uiPriority w:val="0"/>
    <w:pPr>
      <w:pBdr>
        <w:bottom w:val="single" w:color="4F81BD" w:sz="4" w:space="4"/>
      </w:pBdr>
      <w:spacing w:before="200" w:after="280"/>
      <w:ind w:left="936" w:right="936"/>
    </w:pPr>
    <w:rPr>
      <w:b/>
      <w:bCs/>
      <w:i/>
      <w:iCs/>
      <w:color w:val="4F81BD"/>
    </w:rPr>
  </w:style>
  <w:style w:type="character" w:customStyle="1" w:styleId="181">
    <w:name w:val="明显引用 Char"/>
    <w:basedOn w:val="58"/>
    <w:link w:val="180"/>
    <w:qFormat/>
    <w:uiPriority w:val="0"/>
    <w:rPr>
      <w:b/>
      <w:bCs/>
      <w:i/>
      <w:iCs/>
      <w:color w:val="4F81BD"/>
      <w:kern w:val="2"/>
      <w:sz w:val="21"/>
      <w:szCs w:val="24"/>
    </w:rPr>
  </w:style>
  <w:style w:type="character" w:customStyle="1" w:styleId="182">
    <w:name w:val="Char Char3"/>
    <w:qFormat/>
    <w:locked/>
    <w:uiPriority w:val="0"/>
    <w:rPr>
      <w:rFonts w:ascii="Arial" w:hAnsi="Arial" w:eastAsia="黑体"/>
      <w:b/>
      <w:bCs/>
      <w:kern w:val="2"/>
      <w:sz w:val="32"/>
      <w:szCs w:val="32"/>
      <w:lang w:val="en-US" w:eastAsia="zh-CN" w:bidi="ar-SA"/>
    </w:rPr>
  </w:style>
  <w:style w:type="character" w:customStyle="1" w:styleId="183">
    <w:name w:val="Char Char1"/>
    <w:qFormat/>
    <w:locked/>
    <w:uiPriority w:val="0"/>
    <w:rPr>
      <w:rFonts w:ascii="宋体" w:hAnsi="宋体" w:eastAsia="宋体"/>
      <w:kern w:val="2"/>
      <w:sz w:val="18"/>
      <w:szCs w:val="18"/>
      <w:lang w:val="en-US" w:eastAsia="zh-CN" w:bidi="ar-SA"/>
    </w:rPr>
  </w:style>
  <w:style w:type="character" w:customStyle="1" w:styleId="184">
    <w:name w:val="文档结构图 Char"/>
    <w:link w:val="17"/>
    <w:semiHidden/>
    <w:qFormat/>
    <w:locked/>
    <w:uiPriority w:val="0"/>
    <w:rPr>
      <w:kern w:val="2"/>
      <w:sz w:val="21"/>
      <w:szCs w:val="24"/>
      <w:shd w:val="clear" w:color="auto" w:fill="000080"/>
    </w:rPr>
  </w:style>
  <w:style w:type="character" w:customStyle="1" w:styleId="185">
    <w:name w:val="Char Char2"/>
    <w:uiPriority w:val="0"/>
    <w:rPr>
      <w:rFonts w:eastAsia="宋体"/>
      <w:kern w:val="2"/>
      <w:sz w:val="18"/>
      <w:szCs w:val="18"/>
      <w:lang w:val="en-US" w:eastAsia="zh-CN" w:bidi="ar-SA"/>
    </w:rPr>
  </w:style>
  <w:style w:type="paragraph" w:customStyle="1" w:styleId="186">
    <w:name w:val="Char1 Char Char Char Char Char Char Char Char Char Char Char Char"/>
    <w:basedOn w:val="1"/>
    <w:qFormat/>
    <w:uiPriority w:val="0"/>
    <w:rPr>
      <w:rFonts w:ascii="仿宋_GB2312" w:eastAsia="仿宋_GB2312"/>
      <w:b/>
      <w:sz w:val="32"/>
      <w:szCs w:val="32"/>
    </w:rPr>
  </w:style>
  <w:style w:type="character" w:customStyle="1" w:styleId="187">
    <w:name w:val="Char Char9"/>
    <w:qFormat/>
    <w:uiPriority w:val="0"/>
    <w:rPr>
      <w:rFonts w:eastAsia="宋体"/>
      <w:b/>
      <w:bCs/>
      <w:kern w:val="2"/>
      <w:sz w:val="24"/>
      <w:szCs w:val="24"/>
      <w:lang w:val="en-US" w:eastAsia="zh-CN" w:bidi="ar-SA"/>
    </w:rPr>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rPr>
  </w:style>
  <w:style w:type="paragraph" w:customStyle="1" w:styleId="190">
    <w:name w:val="TOC 标题1"/>
    <w:basedOn w:val="2"/>
    <w:next w:val="1"/>
    <w:qFormat/>
    <w:uiPriority w:val="39"/>
    <w:pPr>
      <w:widowControl/>
      <w:spacing w:before="480" w:after="0" w:line="276" w:lineRule="auto"/>
      <w:jc w:val="left"/>
      <w:outlineLvl w:val="9"/>
    </w:pPr>
    <w:rPr>
      <w:rFonts w:ascii="Cambria" w:hAnsi="Cambria" w:eastAsia="宋体"/>
      <w:bCs/>
      <w:color w:val="365F91"/>
      <w:kern w:val="0"/>
      <w:sz w:val="44"/>
      <w:szCs w:val="28"/>
    </w:rPr>
  </w:style>
  <w:style w:type="paragraph" w:customStyle="1" w:styleId="19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92">
    <w:name w:val="H2 Char1"/>
    <w:uiPriority w:val="0"/>
    <w:rPr>
      <w:rFonts w:ascii="宋体" w:hAnsi="宋体" w:eastAsia="宋体"/>
      <w:b/>
      <w:bCs/>
      <w:sz w:val="24"/>
      <w:lang w:val="en-US" w:eastAsia="zh-CN" w:bidi="ar-SA"/>
    </w:rPr>
  </w:style>
  <w:style w:type="character" w:customStyle="1" w:styleId="193">
    <w:name w:val="EHPT Char1"/>
    <w:qFormat/>
    <w:uiPriority w:val="0"/>
    <w:rPr>
      <w:rFonts w:eastAsia="宋体"/>
      <w:b/>
      <w:bCs/>
      <w:kern w:val="2"/>
      <w:sz w:val="24"/>
      <w:szCs w:val="24"/>
      <w:lang w:val="en-US" w:eastAsia="zh-CN" w:bidi="ar-SA"/>
    </w:rPr>
  </w:style>
  <w:style w:type="character" w:customStyle="1" w:styleId="194">
    <w:name w:val="批注框文本 Char"/>
    <w:semiHidden/>
    <w:qFormat/>
    <w:uiPriority w:val="0"/>
    <w:rPr>
      <w:rFonts w:ascii="Times New Roman" w:hAnsi="Times New Roman"/>
      <w:kern w:val="2"/>
      <w:sz w:val="18"/>
      <w:szCs w:val="18"/>
    </w:rPr>
  </w:style>
  <w:style w:type="character" w:customStyle="1" w:styleId="195">
    <w:name w:val="正文1"/>
    <w:qFormat/>
    <w:uiPriority w:val="0"/>
    <w:rPr>
      <w:rFonts w:hint="eastAsia" w:ascii="宋体" w:hAnsi="宋体" w:eastAsia="宋体"/>
      <w:color w:val="000000"/>
      <w:sz w:val="24"/>
      <w:szCs w:val="24"/>
    </w:rPr>
  </w:style>
  <w:style w:type="paragraph" w:customStyle="1" w:styleId="196">
    <w:name w:val="默认段落字体 Para Char Char Char Char Char Char Char Char Char"/>
    <w:basedOn w:val="1"/>
    <w:qFormat/>
    <w:uiPriority w:val="0"/>
    <w:rPr>
      <w:rFonts w:ascii="Tahoma" w:hAnsi="Tahoma"/>
      <w:sz w:val="24"/>
      <w:szCs w:val="20"/>
    </w:rPr>
  </w:style>
  <w:style w:type="paragraph" w:customStyle="1" w:styleId="1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9">
    <w:name w:val="批注文字 Char1"/>
    <w:qFormat/>
    <w:uiPriority w:val="99"/>
    <w:rPr>
      <w:rFonts w:ascii="Times New Roman" w:hAnsi="Times New Roman" w:eastAsia="宋体" w:cs="Times New Roman"/>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FBABD-E026-4A7C-B8B1-B4BACCE768B0}">
  <ds:schemaRefs/>
</ds:datastoreItem>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47</Pages>
  <Words>31137</Words>
  <Characters>6208</Characters>
  <Lines>51</Lines>
  <Paragraphs>74</Paragraphs>
  <TotalTime>1</TotalTime>
  <ScaleCrop>false</ScaleCrop>
  <LinksUpToDate>false</LinksUpToDate>
  <CharactersWithSpaces>37271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2020-06-30T01:56:00Z</dcterms:created>
  <dc:creator>thsware</dc:creator>
  <cp:lastModifiedBy>41747</cp:lastModifiedBy>
  <cp:lastPrinted>2015-02-16T02:37:00Z</cp:lastPrinted>
  <dcterms:modified xsi:type="dcterms:W3CDTF">2021-07-30T07:38:36Z</dcterms:modified>
  <dc:title>招  标　文　件</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9B8A67A14C464DE9A982A41EA9F2AEDE</vt:lpwstr>
  </property>
</Properties>
</file>