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color w:val="0000FF"/>
          <w:sz w:val="56"/>
        </w:rPr>
      </w:pPr>
    </w:p>
    <w:p>
      <w:pPr>
        <w:jc w:val="center"/>
        <w:rPr>
          <w:rFonts w:ascii="宋体" w:hAnsi="宋体"/>
          <w:color w:val="0000FF"/>
          <w:sz w:val="56"/>
        </w:rPr>
      </w:pPr>
    </w:p>
    <w:p>
      <w:pPr>
        <w:jc w:val="center"/>
        <w:rPr>
          <w:rFonts w:ascii="宋体" w:hAnsi="宋体"/>
          <w:color w:val="0000FF"/>
          <w:sz w:val="56"/>
        </w:rPr>
      </w:pPr>
      <w:r>
        <w:rPr>
          <w:rFonts w:hint="eastAsia" w:ascii="宋体" w:hAnsi="宋体"/>
          <w:color w:val="0000FF"/>
          <w:sz w:val="56"/>
        </w:rPr>
        <w:t>深圳大学</w:t>
      </w:r>
    </w:p>
    <w:p>
      <w:pPr>
        <w:jc w:val="center"/>
        <w:rPr>
          <w:rFonts w:ascii="宋体" w:hAnsi="宋体"/>
          <w:color w:val="0000FF"/>
          <w:sz w:val="56"/>
        </w:rPr>
      </w:pPr>
    </w:p>
    <w:p>
      <w:pPr>
        <w:jc w:val="center"/>
        <w:rPr>
          <w:rFonts w:ascii="宋体" w:hAnsi="宋体"/>
          <w:color w:val="FF0000"/>
          <w:sz w:val="52"/>
          <w:szCs w:val="52"/>
        </w:rPr>
      </w:pPr>
      <w:r>
        <w:rPr>
          <w:rFonts w:hint="eastAsia" w:ascii="宋体" w:hAnsi="宋体"/>
          <w:color w:val="FF0000"/>
          <w:sz w:val="52"/>
          <w:szCs w:val="52"/>
        </w:rPr>
        <w:t>宿舍楼宇内部粉刷工程</w:t>
      </w:r>
    </w:p>
    <w:p>
      <w:pPr>
        <w:jc w:val="center"/>
        <w:rPr>
          <w:rFonts w:ascii="宋体" w:hAnsi="宋体"/>
          <w:color w:val="0000FF"/>
          <w:sz w:val="52"/>
          <w:szCs w:val="52"/>
        </w:rPr>
      </w:pPr>
      <w:r>
        <w:rPr>
          <w:rFonts w:hint="eastAsia" w:ascii="宋体" w:hAnsi="宋体"/>
          <w:color w:val="0000FF"/>
          <w:sz w:val="52"/>
          <w:szCs w:val="52"/>
        </w:rPr>
        <w:t>项目</w:t>
      </w:r>
    </w:p>
    <w:p>
      <w:pPr>
        <w:jc w:val="center"/>
        <w:rPr>
          <w:rFonts w:ascii="宋体" w:hAnsi="宋体"/>
          <w:color w:val="0000FF"/>
          <w:sz w:val="52"/>
          <w:szCs w:val="52"/>
        </w:rPr>
      </w:pPr>
    </w:p>
    <w:p>
      <w:pPr>
        <w:jc w:val="center"/>
        <w:rPr>
          <w:rFonts w:ascii="宋体" w:hAnsi="宋体"/>
          <w:color w:val="0000FF"/>
          <w:sz w:val="52"/>
          <w:szCs w:val="52"/>
        </w:rPr>
      </w:pPr>
    </w:p>
    <w:p>
      <w:pPr>
        <w:jc w:val="center"/>
        <w:rPr>
          <w:rFonts w:ascii="宋体" w:hAnsi="宋体"/>
          <w:b/>
          <w:color w:val="000000"/>
          <w:sz w:val="90"/>
        </w:rPr>
      </w:pPr>
      <w:r>
        <w:rPr>
          <w:rFonts w:hint="eastAsia" w:ascii="宋体" w:hAnsi="宋体"/>
          <w:b/>
          <w:color w:val="000000"/>
          <w:sz w:val="90"/>
        </w:rPr>
        <w:t>采 购 文 件</w:t>
      </w:r>
    </w:p>
    <w:p>
      <w:pPr>
        <w:jc w:val="center"/>
        <w:rPr>
          <w:rFonts w:ascii="宋体" w:hAnsi="宋体"/>
          <w:color w:val="000000"/>
          <w:sz w:val="30"/>
        </w:rPr>
      </w:pPr>
      <w:r>
        <w:rPr>
          <w:rFonts w:hint="eastAsia" w:ascii="宋体" w:hAnsi="宋体"/>
          <w:color w:val="000000"/>
          <w:sz w:val="30"/>
        </w:rPr>
        <w:t>（项目编号：</w:t>
      </w:r>
      <w:r>
        <w:rPr>
          <w:rFonts w:hint="eastAsia" w:ascii="宋体" w:hAnsi="宋体"/>
          <w:color w:val="FF0000"/>
          <w:sz w:val="30"/>
        </w:rPr>
        <w:t>SZUCG20200330GC</w:t>
      </w:r>
      <w:r>
        <w:rPr>
          <w:rFonts w:hint="eastAsia" w:ascii="宋体" w:hAnsi="宋体"/>
          <w:color w:val="000000"/>
          <w:sz w:val="30"/>
        </w:rPr>
        <w:t>）</w:t>
      </w:r>
    </w:p>
    <w:p/>
    <w:p/>
    <w:p/>
    <w:p/>
    <w:p/>
    <w:p/>
    <w:p/>
    <w:p/>
    <w:p/>
    <w:p/>
    <w:p/>
    <w:p/>
    <w:p/>
    <w:p/>
    <w:p/>
    <w:p/>
    <w:p/>
    <w:p/>
    <w:p>
      <w:pPr>
        <w:jc w:val="center"/>
        <w:rPr>
          <w:rFonts w:ascii="宋体" w:hAnsi="宋体"/>
          <w:color w:val="000000"/>
          <w:sz w:val="30"/>
        </w:rPr>
      </w:pPr>
      <w:r>
        <w:rPr>
          <w:rFonts w:hint="eastAsia" w:ascii="宋体" w:hAnsi="宋体"/>
          <w:color w:val="000000"/>
          <w:sz w:val="30"/>
        </w:rPr>
        <w:t>深圳大学招投标管理中心</w:t>
      </w:r>
    </w:p>
    <w:p>
      <w:pPr>
        <w:jc w:val="center"/>
        <w:rPr>
          <w:rFonts w:ascii="宋体" w:hAnsi="宋体"/>
          <w:color w:val="000000"/>
          <w:sz w:val="30"/>
        </w:rPr>
      </w:pPr>
      <w:r>
        <w:rPr>
          <w:rFonts w:hint="eastAsia" w:ascii="宋体" w:hAnsi="宋体"/>
          <w:color w:val="FF0000"/>
          <w:sz w:val="30"/>
        </w:rPr>
        <w:t>二零二</w:t>
      </w:r>
      <w:r>
        <w:rPr>
          <w:rFonts w:ascii="宋体" w:hAnsi="宋体"/>
          <w:color w:val="FF0000"/>
          <w:sz w:val="30"/>
        </w:rPr>
        <w:t>零</w:t>
      </w:r>
      <w:r>
        <w:rPr>
          <w:rFonts w:hint="eastAsia" w:ascii="宋体" w:hAnsi="宋体"/>
          <w:color w:val="FF0000"/>
          <w:sz w:val="30"/>
        </w:rPr>
        <w:t>年七月</w:t>
      </w:r>
    </w:p>
    <w:p>
      <w:pPr>
        <w:jc w:val="center"/>
        <w:rPr>
          <w:sz w:val="80"/>
          <w:szCs w:val="80"/>
        </w:rPr>
      </w:pPr>
    </w:p>
    <w:p>
      <w:r>
        <w:br w:type="page"/>
      </w:r>
    </w:p>
    <w:p>
      <w:pPr>
        <w:pStyle w:val="2"/>
      </w:pPr>
      <w:r>
        <w:rPr>
          <w:rFonts w:hint="eastAsia"/>
        </w:rPr>
        <w:t>关键信息</w:t>
      </w:r>
    </w:p>
    <w:p/>
    <w:p>
      <w:pPr>
        <w:pStyle w:val="5"/>
        <w:rPr>
          <w:color w:val="0000FF"/>
          <w:sz w:val="36"/>
          <w:szCs w:val="36"/>
        </w:rPr>
      </w:pPr>
      <w:r>
        <w:rPr>
          <w:rFonts w:hint="eastAsia"/>
          <w:color w:val="0000FF"/>
          <w:sz w:val="36"/>
          <w:szCs w:val="36"/>
        </w:rPr>
        <w:t>项目信息</w:t>
      </w:r>
    </w:p>
    <w:p>
      <w:pPr>
        <w:rPr>
          <w:rFonts w:ascii="宋体" w:hAnsi="宋体"/>
          <w:color w:val="000000"/>
          <w:sz w:val="32"/>
        </w:rPr>
      </w:pPr>
      <w:r>
        <w:rPr>
          <w:rFonts w:ascii="宋体" w:hAnsi="宋体"/>
          <w:color w:val="000000"/>
          <w:sz w:val="32"/>
        </w:rPr>
        <w:t xml:space="preserve">      项目编号： </w:t>
      </w:r>
      <w:r>
        <w:rPr>
          <w:rFonts w:hint="eastAsia" w:ascii="宋体" w:hAnsi="宋体"/>
          <w:color w:val="FF0000"/>
          <w:sz w:val="30"/>
        </w:rPr>
        <w:t>SZUCG20200330GC</w:t>
      </w:r>
    </w:p>
    <w:p>
      <w:pPr>
        <w:ind w:left="2880" w:hanging="2880" w:hangingChars="900"/>
        <w:rPr>
          <w:rFonts w:ascii="宋体" w:hAnsi="宋体"/>
          <w:color w:val="FF0000"/>
          <w:sz w:val="32"/>
        </w:rPr>
      </w:pPr>
      <w:r>
        <w:rPr>
          <w:rFonts w:ascii="宋体" w:hAnsi="宋体"/>
          <w:color w:val="000000"/>
          <w:sz w:val="32"/>
        </w:rPr>
        <w:t xml:space="preserve">      项目名称：</w:t>
      </w:r>
      <w:r>
        <w:rPr>
          <w:rFonts w:hint="eastAsia" w:ascii="宋体" w:hAnsi="宋体"/>
          <w:color w:val="000000"/>
          <w:sz w:val="32"/>
        </w:rPr>
        <w:t xml:space="preserve"> </w:t>
      </w:r>
      <w:r>
        <w:rPr>
          <w:rFonts w:hint="eastAsia" w:ascii="宋体" w:hAnsi="宋体"/>
          <w:color w:val="FF0000"/>
          <w:sz w:val="32"/>
        </w:rPr>
        <w:t>宿舍楼宇内部粉刷工程</w:t>
      </w:r>
    </w:p>
    <w:p>
      <w:pPr>
        <w:rPr>
          <w:rFonts w:ascii="宋体" w:hAnsi="宋体"/>
          <w:color w:val="000000"/>
          <w:sz w:val="32"/>
        </w:rPr>
      </w:pPr>
      <w:r>
        <w:rPr>
          <w:rFonts w:ascii="宋体" w:hAnsi="宋体"/>
          <w:color w:val="000000"/>
          <w:sz w:val="32"/>
        </w:rPr>
        <w:t xml:space="preserve">      包   号：   </w:t>
      </w:r>
      <w:r>
        <w:rPr>
          <w:rFonts w:hint="eastAsia" w:ascii="宋体" w:hAnsi="宋体"/>
          <w:color w:val="000000"/>
          <w:sz w:val="32"/>
        </w:rPr>
        <w:t>A</w:t>
      </w:r>
    </w:p>
    <w:p>
      <w:pPr>
        <w:rPr>
          <w:rFonts w:ascii="宋体" w:hAnsi="宋体"/>
          <w:color w:val="000000"/>
          <w:sz w:val="32"/>
        </w:rPr>
      </w:pPr>
      <w:r>
        <w:rPr>
          <w:rFonts w:ascii="宋体" w:hAnsi="宋体"/>
          <w:color w:val="000000"/>
          <w:sz w:val="32"/>
        </w:rPr>
        <w:t xml:space="preserve">      项目类型：  </w:t>
      </w:r>
      <w:r>
        <w:rPr>
          <w:rFonts w:hint="eastAsia" w:ascii="宋体" w:hAnsi="宋体"/>
          <w:color w:val="000000"/>
          <w:sz w:val="32"/>
        </w:rPr>
        <w:t>工程</w:t>
      </w:r>
      <w:r>
        <w:rPr>
          <w:rFonts w:ascii="宋体" w:hAnsi="宋体"/>
          <w:color w:val="000000"/>
          <w:sz w:val="32"/>
        </w:rPr>
        <w:t>类</w:t>
      </w:r>
    </w:p>
    <w:p>
      <w:pPr>
        <w:rPr>
          <w:rFonts w:ascii="宋体" w:hAnsi="宋体"/>
          <w:color w:val="000000"/>
          <w:sz w:val="32"/>
        </w:rPr>
      </w:pPr>
      <w:r>
        <w:rPr>
          <w:rFonts w:ascii="宋体" w:hAnsi="宋体"/>
          <w:color w:val="000000"/>
          <w:sz w:val="32"/>
        </w:rPr>
        <w:t xml:space="preserve">      采购方式：  公开招标</w:t>
      </w:r>
    </w:p>
    <w:p>
      <w:pPr>
        <w:rPr>
          <w:rFonts w:ascii="宋体" w:hAnsi="宋体"/>
          <w:color w:val="000000"/>
          <w:sz w:val="32"/>
        </w:rPr>
      </w:pPr>
      <w:r>
        <w:rPr>
          <w:rFonts w:ascii="宋体" w:hAnsi="宋体"/>
          <w:color w:val="000000"/>
          <w:sz w:val="32"/>
        </w:rPr>
        <w:t xml:space="preserve">      货币类型：  人民币</w:t>
      </w:r>
    </w:p>
    <w:p>
      <w:pPr>
        <w:rPr>
          <w:rFonts w:ascii="宋体" w:hAnsi="宋体"/>
          <w:sz w:val="28"/>
          <w:szCs w:val="28"/>
        </w:rPr>
      </w:pPr>
    </w:p>
    <w:p>
      <w:pPr>
        <w:pStyle w:val="5"/>
        <w:rPr>
          <w:color w:val="0000FF"/>
          <w:sz w:val="36"/>
        </w:rPr>
      </w:pPr>
      <w:r>
        <w:rPr>
          <w:rFonts w:hint="eastAsia"/>
          <w:color w:val="0000FF"/>
          <w:sz w:val="36"/>
        </w:rPr>
        <w:t>资格性检查表</w:t>
      </w:r>
    </w:p>
    <w:tbl>
      <w:tblPr>
        <w:tblStyle w:val="54"/>
        <w:tblW w:w="8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74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04" w:type="dxa"/>
          </w:tcPr>
          <w:p>
            <w:pPr>
              <w:jc w:val="center"/>
              <w:rPr>
                <w:color w:val="000000"/>
              </w:rPr>
            </w:pPr>
            <w:r>
              <w:rPr>
                <w:rFonts w:hint="eastAsia"/>
                <w:color w:val="000000"/>
              </w:rPr>
              <w:t>序号</w:t>
            </w:r>
          </w:p>
        </w:tc>
        <w:tc>
          <w:tcPr>
            <w:tcW w:w="7416" w:type="dxa"/>
          </w:tcPr>
          <w:p>
            <w:pPr>
              <w:jc w:val="center"/>
              <w:rPr>
                <w:color w:val="000000"/>
              </w:rPr>
            </w:pPr>
            <w:r>
              <w:rPr>
                <w:rFonts w:hint="eastAsia"/>
                <w:color w:val="000000"/>
              </w:rPr>
              <w:t>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tcPr>
          <w:p>
            <w:pPr>
              <w:rPr>
                <w:color w:val="000000"/>
              </w:rPr>
            </w:pPr>
            <w:r>
              <w:rPr>
                <w:color w:val="000000"/>
              </w:rPr>
              <w:t>1</w:t>
            </w:r>
          </w:p>
        </w:tc>
        <w:tc>
          <w:tcPr>
            <w:tcW w:w="7416" w:type="dxa"/>
          </w:tcPr>
          <w:p>
            <w:pPr>
              <w:rPr>
                <w:color w:val="000000"/>
              </w:rPr>
            </w:pPr>
            <w:r>
              <w:rPr>
                <w:rFonts w:hint="eastAsia"/>
                <w:color w:val="000000"/>
              </w:rPr>
              <w:t>投标人不具备招标文件所列的资格要求，或未提交相应的资格证明资料（详见招标公告 投标人资格要求，其中未列示的资格要求不得导致投标无效）；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tcPr>
          <w:p>
            <w:pPr>
              <w:rPr>
                <w:color w:val="FF0000"/>
              </w:rPr>
            </w:pPr>
            <w:r>
              <w:rPr>
                <w:color w:val="000000"/>
              </w:rPr>
              <w:t>2</w:t>
            </w:r>
          </w:p>
        </w:tc>
        <w:tc>
          <w:tcPr>
            <w:tcW w:w="7416" w:type="dxa"/>
          </w:tcPr>
          <w:p>
            <w:pPr>
              <w:rPr>
                <w:color w:val="000000"/>
              </w:rPr>
            </w:pPr>
            <w:r>
              <w:rPr>
                <w:rFonts w:hint="eastAsia"/>
                <w:color w:val="000000"/>
              </w:rPr>
              <w:t>投标人不具备国家有关法律规定的有关资质；</w:t>
            </w:r>
          </w:p>
        </w:tc>
      </w:tr>
    </w:tbl>
    <w:p>
      <w:pPr>
        <w:rPr>
          <w:color w:val="000000"/>
        </w:rPr>
      </w:pPr>
    </w:p>
    <w:p>
      <w:pPr>
        <w:rPr>
          <w:color w:val="000000"/>
        </w:rPr>
      </w:pPr>
    </w:p>
    <w:p>
      <w:pPr>
        <w:pStyle w:val="5"/>
        <w:rPr>
          <w:color w:val="0000FF"/>
          <w:sz w:val="36"/>
        </w:rPr>
      </w:pPr>
      <w:r>
        <w:rPr>
          <w:rFonts w:hint="eastAsia"/>
          <w:color w:val="0000FF"/>
          <w:sz w:val="36"/>
        </w:rPr>
        <w:t>符合性检查表</w:t>
      </w:r>
    </w:p>
    <w:p>
      <w:pPr>
        <w:rPr>
          <w:color w:val="000000"/>
        </w:rPr>
      </w:pPr>
    </w:p>
    <w:tbl>
      <w:tblPr>
        <w:tblStyle w:val="54"/>
        <w:tblW w:w="8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74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tcPr>
          <w:p>
            <w:pPr>
              <w:rPr>
                <w:color w:val="000000"/>
              </w:rPr>
            </w:pPr>
            <w:r>
              <w:rPr>
                <w:rFonts w:hint="eastAsia"/>
                <w:color w:val="000000"/>
              </w:rPr>
              <w:t>序号</w:t>
            </w:r>
          </w:p>
        </w:tc>
        <w:tc>
          <w:tcPr>
            <w:tcW w:w="7416" w:type="dxa"/>
          </w:tcPr>
          <w:p>
            <w:pPr>
              <w:jc w:val="center"/>
              <w:rPr>
                <w:color w:val="000000"/>
              </w:rPr>
            </w:pPr>
            <w:r>
              <w:rPr>
                <w:rFonts w:hint="eastAsia"/>
                <w:color w:val="000000"/>
              </w:rPr>
              <w:t>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tcPr>
          <w:p>
            <w:pPr>
              <w:rPr>
                <w:color w:val="000000"/>
              </w:rPr>
            </w:pPr>
            <w:r>
              <w:rPr>
                <w:color w:val="000000"/>
              </w:rPr>
              <w:t>1</w:t>
            </w:r>
          </w:p>
        </w:tc>
        <w:tc>
          <w:tcPr>
            <w:tcW w:w="7416" w:type="dxa"/>
          </w:tcPr>
          <w:p>
            <w:pPr>
              <w:rPr>
                <w:color w:val="000000"/>
              </w:rPr>
            </w:pPr>
            <w:r>
              <w:rPr>
                <w:rFonts w:hint="eastAsia"/>
                <w:color w:val="000000"/>
              </w:rPr>
              <w:t>将一个包或一个标段中的内容拆开投标；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tcPr>
          <w:p>
            <w:pPr>
              <w:rPr>
                <w:color w:val="000000"/>
              </w:rPr>
            </w:pPr>
            <w:r>
              <w:rPr>
                <w:color w:val="000000"/>
              </w:rPr>
              <w:t>2</w:t>
            </w:r>
          </w:p>
        </w:tc>
        <w:tc>
          <w:tcPr>
            <w:tcW w:w="7416" w:type="dxa"/>
          </w:tcPr>
          <w:p>
            <w:pPr>
              <w:rPr>
                <w:color w:val="000000"/>
              </w:rPr>
            </w:pPr>
            <w:r>
              <w:rPr>
                <w:rFonts w:hint="eastAsia"/>
                <w:color w:val="000000"/>
              </w:rPr>
              <w:t>招标文件未规定允许有替代方案时，对同一工程或服务投标时，同时提供两套或两套以上的投标方案；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tcPr>
          <w:p>
            <w:pPr>
              <w:rPr>
                <w:color w:val="000000"/>
              </w:rPr>
            </w:pPr>
            <w:r>
              <w:rPr>
                <w:color w:val="000000"/>
              </w:rPr>
              <w:t>3</w:t>
            </w:r>
          </w:p>
        </w:tc>
        <w:tc>
          <w:tcPr>
            <w:tcW w:w="7416" w:type="dxa"/>
          </w:tcPr>
          <w:p>
            <w:pPr>
              <w:rPr>
                <w:color w:val="000000"/>
              </w:rPr>
            </w:pPr>
            <w:r>
              <w:rPr>
                <w:rFonts w:hint="eastAsia"/>
                <w:color w:val="000000"/>
              </w:rPr>
              <w:t>投标总价高于财政预算限额（招标</w:t>
            </w:r>
            <w:r>
              <w:rPr>
                <w:color w:val="000000"/>
              </w:rPr>
              <w:t>最高限额）</w:t>
            </w:r>
            <w:r>
              <w:rPr>
                <w:rFonts w:hint="eastAsia"/>
                <w:color w:val="000000"/>
              </w:rPr>
              <w:t>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tcPr>
          <w:p>
            <w:pPr>
              <w:rPr>
                <w:color w:val="000000"/>
              </w:rPr>
            </w:pPr>
            <w:r>
              <w:rPr>
                <w:rFonts w:hint="eastAsia"/>
                <w:color w:val="000000"/>
              </w:rPr>
              <w:t>4</w:t>
            </w:r>
          </w:p>
        </w:tc>
        <w:tc>
          <w:tcPr>
            <w:tcW w:w="7416" w:type="dxa"/>
          </w:tcPr>
          <w:p>
            <w:pPr>
              <w:rPr>
                <w:color w:val="000000"/>
              </w:rPr>
            </w:pPr>
            <w:r>
              <w:rPr>
                <w:rFonts w:hint="eastAsia"/>
                <w:color w:val="000000"/>
              </w:rPr>
              <w:t>同一项目出现两个及以上报价，按规定又无法确定哪个是有效报价；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tcPr>
          <w:p>
            <w:pPr>
              <w:rPr>
                <w:color w:val="000000"/>
              </w:rPr>
            </w:pPr>
            <w:r>
              <w:rPr>
                <w:rFonts w:hint="eastAsia"/>
                <w:color w:val="000000"/>
              </w:rPr>
              <w:t>5</w:t>
            </w:r>
          </w:p>
        </w:tc>
        <w:tc>
          <w:tcPr>
            <w:tcW w:w="7416" w:type="dxa"/>
          </w:tcPr>
          <w:p>
            <w:pPr>
              <w:rPr>
                <w:color w:val="000000"/>
              </w:rPr>
            </w:pPr>
            <w:r>
              <w:rPr>
                <w:rFonts w:hint="eastAsia" w:ascii="宋体" w:hAnsi="宋体"/>
                <w:szCs w:val="21"/>
              </w:rPr>
              <w:t>评审委员会认为投标人的报价明显低于其他通过符合性审查投标人的报价，有可能影响产品质量或者不能诚信履约的，投标人不能在合理的时间内提供书面说明，或无法提交相关证明材料，投标人不能证明其报价合理性的（若评审委员会成员对是否须由投标人作出报价合理性说明，以及书面说明是否采纳等判断不一致的，按照“少数服从多数”的原则确定评审委员会的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tcPr>
          <w:p>
            <w:pPr>
              <w:rPr>
                <w:color w:val="000000"/>
              </w:rPr>
            </w:pPr>
            <w:r>
              <w:rPr>
                <w:rFonts w:hint="eastAsia"/>
                <w:color w:val="000000"/>
              </w:rPr>
              <w:t>6</w:t>
            </w:r>
          </w:p>
        </w:tc>
        <w:tc>
          <w:tcPr>
            <w:tcW w:w="7416" w:type="dxa"/>
          </w:tcPr>
          <w:p>
            <w:pPr>
              <w:rPr>
                <w:color w:val="000000"/>
              </w:rPr>
            </w:pPr>
            <w:r>
              <w:rPr>
                <w:rFonts w:hint="eastAsia"/>
                <w:color w:val="000000"/>
              </w:rPr>
              <w:t>投标文件载明的招标项目完工期不满足招标文件要求；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tcPr>
          <w:p>
            <w:pPr>
              <w:rPr>
                <w:color w:val="000000"/>
              </w:rPr>
            </w:pPr>
            <w:r>
              <w:rPr>
                <w:rFonts w:hint="eastAsia"/>
                <w:color w:val="000000"/>
              </w:rPr>
              <w:t>7</w:t>
            </w:r>
          </w:p>
        </w:tc>
        <w:tc>
          <w:tcPr>
            <w:tcW w:w="7416" w:type="dxa"/>
          </w:tcPr>
          <w:p>
            <w:pPr>
              <w:rPr>
                <w:color w:val="000000"/>
              </w:rPr>
            </w:pPr>
            <w:r>
              <w:rPr>
                <w:rFonts w:hint="eastAsia"/>
                <w:color w:val="000000"/>
              </w:rPr>
              <w:t>所投产品、工程、服务在质量、技术、方案等方面没有实质性满足招标文件要求的；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tcPr>
          <w:p>
            <w:pPr>
              <w:rPr>
                <w:color w:val="000000"/>
              </w:rPr>
            </w:pPr>
            <w:r>
              <w:rPr>
                <w:rFonts w:hint="eastAsia"/>
                <w:color w:val="000000"/>
              </w:rPr>
              <w:t>8</w:t>
            </w:r>
          </w:p>
        </w:tc>
        <w:tc>
          <w:tcPr>
            <w:tcW w:w="7416" w:type="dxa"/>
          </w:tcPr>
          <w:p>
            <w:pPr>
              <w:rPr>
                <w:color w:val="000000"/>
              </w:rPr>
            </w:pPr>
            <w:r>
              <w:rPr>
                <w:rFonts w:hint="eastAsia"/>
                <w:color w:val="000000"/>
              </w:rPr>
              <w:t>未按招标文件所提供的样式填写投标函，或未按招标文件对投标文件组成的要求提供投标文件的（投标文件组成不完整）；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tcPr>
          <w:p>
            <w:pPr>
              <w:rPr>
                <w:color w:val="000000"/>
              </w:rPr>
            </w:pPr>
            <w:r>
              <w:rPr>
                <w:rFonts w:hint="eastAsia"/>
                <w:color w:val="000000"/>
              </w:rPr>
              <w:t>9</w:t>
            </w:r>
          </w:p>
        </w:tc>
        <w:tc>
          <w:tcPr>
            <w:tcW w:w="7416" w:type="dxa"/>
          </w:tcPr>
          <w:p>
            <w:pPr>
              <w:rPr>
                <w:color w:val="000000"/>
              </w:rPr>
            </w:pPr>
            <w:r>
              <w:rPr>
                <w:rFonts w:hint="eastAsia"/>
                <w:color w:val="000000"/>
              </w:rPr>
              <w:t>对于拒绝进口的项目采用进口产品投标的；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tcPr>
          <w:p>
            <w:pPr>
              <w:rPr>
                <w:color w:val="000000"/>
              </w:rPr>
            </w:pPr>
            <w:r>
              <w:rPr>
                <w:rFonts w:hint="eastAsia"/>
                <w:color w:val="000000"/>
              </w:rPr>
              <w:t>10</w:t>
            </w:r>
          </w:p>
        </w:tc>
        <w:tc>
          <w:tcPr>
            <w:tcW w:w="7416" w:type="dxa"/>
          </w:tcPr>
          <w:p>
            <w:pPr>
              <w:rPr>
                <w:color w:val="000000"/>
              </w:rPr>
            </w:pPr>
            <w:r>
              <w:rPr>
                <w:rFonts w:hint="eastAsia"/>
                <w:color w:val="000000"/>
              </w:rPr>
              <w:t>投标报价有严重缺漏项目，或对工程量清单项目（或数量）进行修改；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tcPr>
          <w:p>
            <w:pPr>
              <w:rPr>
                <w:color w:val="000000"/>
              </w:rPr>
            </w:pPr>
            <w:r>
              <w:rPr>
                <w:color w:val="000000"/>
              </w:rPr>
              <w:t>1</w:t>
            </w:r>
            <w:r>
              <w:rPr>
                <w:rFonts w:hint="eastAsia"/>
                <w:color w:val="000000"/>
              </w:rPr>
              <w:t>1</w:t>
            </w:r>
          </w:p>
        </w:tc>
        <w:tc>
          <w:tcPr>
            <w:tcW w:w="7416" w:type="dxa"/>
          </w:tcPr>
          <w:p>
            <w:pPr>
              <w:rPr>
                <w:color w:val="000000"/>
              </w:rPr>
            </w:pPr>
            <w:r>
              <w:rPr>
                <w:rFonts w:hint="eastAsia"/>
                <w:color w:val="000000"/>
              </w:rPr>
              <w:t>法律、法规规定的其他情形。</w:t>
            </w:r>
          </w:p>
        </w:tc>
      </w:tr>
    </w:tbl>
    <w:p>
      <w:pPr>
        <w:rPr>
          <w:color w:val="000000"/>
        </w:rPr>
      </w:pPr>
    </w:p>
    <w:p>
      <w:pPr>
        <w:pStyle w:val="5"/>
        <w:rPr>
          <w:color w:val="0000FF"/>
          <w:sz w:val="36"/>
        </w:rPr>
      </w:pPr>
      <w:r>
        <w:rPr>
          <w:color w:val="0000FF"/>
          <w:sz w:val="36"/>
        </w:rPr>
        <w:t>评标信息</w:t>
      </w:r>
    </w:p>
    <w:p>
      <w:pPr>
        <w:adjustRightInd w:val="0"/>
        <w:snapToGrid w:val="0"/>
        <w:spacing w:line="276" w:lineRule="auto"/>
        <w:rPr>
          <w:b/>
        </w:rPr>
      </w:pPr>
      <w:r>
        <w:rPr>
          <w:b/>
        </w:rPr>
        <w:t xml:space="preserve">评标方法： 综合评分法 </w:t>
      </w:r>
    </w:p>
    <w:p>
      <w:pPr>
        <w:adjustRightInd w:val="0"/>
        <w:snapToGrid w:val="0"/>
        <w:spacing w:line="360" w:lineRule="auto"/>
        <w:jc w:val="left"/>
      </w:pPr>
      <w:r>
        <w:rPr>
          <w:rFonts w:hint="eastAsia"/>
        </w:rPr>
        <w:t>综合评分法，是指投标文件满足招标文件全部实质性要求，且按照评审因素的量化指标评审得分最高的投标人为中标候选人的评标方法。</w:t>
      </w:r>
      <w:r>
        <w:t xml:space="preserve"> </w:t>
      </w:r>
    </w:p>
    <w:p>
      <w:pPr>
        <w:adjustRightInd w:val="0"/>
        <w:snapToGrid w:val="0"/>
        <w:spacing w:line="360" w:lineRule="auto"/>
        <w:jc w:val="left"/>
      </w:pPr>
    </w:p>
    <w:p>
      <w:pPr>
        <w:adjustRightInd w:val="0"/>
        <w:snapToGrid w:val="0"/>
        <w:spacing w:line="360" w:lineRule="auto"/>
        <w:jc w:val="left"/>
      </w:pPr>
      <w:r>
        <w:rPr>
          <w:rFonts w:hint="eastAsia"/>
        </w:rPr>
        <w:t>价格分计算方法：</w:t>
      </w:r>
    </w:p>
    <w:p>
      <w:pPr>
        <w:adjustRightInd w:val="0"/>
        <w:snapToGrid w:val="0"/>
        <w:spacing w:line="360" w:lineRule="auto"/>
        <w:jc w:val="left"/>
      </w:pPr>
      <w:r>
        <w:rPr>
          <w:rFonts w:hint="eastAsia"/>
        </w:rPr>
        <w:t>采用低价优先法计算，即满足招标文件要求且投标价格最低的投标报价为评标基准价，其价格分为满分。其他投标人的价格分统一按照下列公式计算：</w:t>
      </w:r>
      <w:r>
        <w:t xml:space="preserve"> </w:t>
      </w:r>
    </w:p>
    <w:p>
      <w:pPr>
        <w:adjustRightInd w:val="0"/>
        <w:snapToGrid w:val="0"/>
        <w:spacing w:line="360" w:lineRule="auto"/>
        <w:jc w:val="left"/>
      </w:pPr>
      <w:r>
        <w:rPr>
          <w:rFonts w:hint="eastAsia"/>
        </w:rPr>
        <w:t>投标报价得分</w:t>
      </w:r>
      <w:r>
        <w:t xml:space="preserve">=(评标基准价／投标报价)×100 </w:t>
      </w:r>
    </w:p>
    <w:p>
      <w:pPr>
        <w:adjustRightInd w:val="0"/>
        <w:snapToGrid w:val="0"/>
        <w:spacing w:line="360" w:lineRule="auto"/>
        <w:jc w:val="left"/>
      </w:pPr>
      <w:r>
        <w:rPr>
          <w:rFonts w:hint="eastAsia"/>
        </w:rPr>
        <w:t>评标总得分＝</w:t>
      </w:r>
      <w:r>
        <w:t xml:space="preserve">F1×A1＋F2×A2＋……＋Fn×An </w:t>
      </w:r>
    </w:p>
    <w:p>
      <w:pPr>
        <w:adjustRightInd w:val="0"/>
        <w:snapToGrid w:val="0"/>
        <w:spacing w:line="360" w:lineRule="auto"/>
        <w:jc w:val="left"/>
      </w:pPr>
      <w:r>
        <w:t xml:space="preserve">F1、F2……Fn分别为各项评审因素的得分； </w:t>
      </w:r>
    </w:p>
    <w:p>
      <w:pPr>
        <w:adjustRightInd w:val="0"/>
        <w:snapToGrid w:val="0"/>
        <w:spacing w:line="360" w:lineRule="auto"/>
        <w:jc w:val="left"/>
      </w:pPr>
      <w:r>
        <w:t xml:space="preserve">A1、A2、……An 分别为各项评审因素所占的权重(A1＋A2＋……＋An＝1)。 </w:t>
      </w:r>
    </w:p>
    <w:p>
      <w:pPr>
        <w:adjustRightInd w:val="0"/>
        <w:snapToGrid w:val="0"/>
        <w:spacing w:line="360" w:lineRule="auto"/>
        <w:jc w:val="left"/>
      </w:pPr>
      <w:r>
        <w:rPr>
          <w:rFonts w:hint="eastAsia"/>
        </w:rPr>
        <w:t>评标过程中，不得去掉报价中的最高报价和最低报价。</w:t>
      </w:r>
      <w:r>
        <w:t xml:space="preserve"> </w:t>
      </w:r>
    </w:p>
    <w:p>
      <w:pPr>
        <w:adjustRightInd w:val="0"/>
        <w:snapToGrid w:val="0"/>
        <w:spacing w:line="360" w:lineRule="auto"/>
        <w:jc w:val="left"/>
      </w:pPr>
      <w:r>
        <w:rPr>
          <w:rFonts w:hint="eastAsia"/>
        </w:rPr>
        <w:t>此方法适用于货物类、服务类、工程类项目。</w:t>
      </w:r>
    </w:p>
    <w:tbl>
      <w:tblPr>
        <w:tblStyle w:val="54"/>
        <w:tblW w:w="8541" w:type="dxa"/>
        <w:jc w:val="center"/>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autofit"/>
        <w:tblCellMar>
          <w:top w:w="0" w:type="dxa"/>
          <w:left w:w="0" w:type="dxa"/>
          <w:bottom w:w="0" w:type="dxa"/>
          <w:right w:w="0" w:type="dxa"/>
        </w:tblCellMar>
      </w:tblPr>
      <w:tblGrid>
        <w:gridCol w:w="557"/>
        <w:gridCol w:w="567"/>
        <w:gridCol w:w="1702"/>
        <w:gridCol w:w="709"/>
        <w:gridCol w:w="709"/>
        <w:gridCol w:w="4297"/>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90" w:hRule="atLeast"/>
          <w:jc w:val="center"/>
        </w:trPr>
        <w:tc>
          <w:tcPr>
            <w:tcW w:w="557" w:type="dxa"/>
            <w:tcBorders>
              <w:top w:val="single" w:color="auto" w:sz="8" w:space="0"/>
              <w:left w:val="single" w:color="auto" w:sz="8" w:space="0"/>
              <w:bottom w:val="single" w:color="auto" w:sz="8" w:space="0"/>
              <w:right w:val="single" w:color="auto" w:sz="8" w:space="0"/>
            </w:tcBorders>
            <w:tcMar>
              <w:left w:w="108" w:type="dxa"/>
              <w:right w:w="108" w:type="dxa"/>
            </w:tcMar>
            <w:vAlign w:val="center"/>
          </w:tcPr>
          <w:p>
            <w:pPr>
              <w:widowControl/>
              <w:spacing w:before="100" w:beforeAutospacing="1" w:after="160" w:line="20" w:lineRule="atLeast"/>
              <w:jc w:val="center"/>
              <w:rPr>
                <w:rFonts w:ascii="宋体" w:hAnsi="宋体" w:cs="宋体"/>
                <w:color w:val="555555"/>
                <w:kern w:val="0"/>
                <w:sz w:val="24"/>
              </w:rPr>
            </w:pPr>
            <w:r>
              <w:rPr>
                <w:rFonts w:hint="eastAsia" w:ascii="宋体" w:hAnsi="宋体" w:cs="Arial"/>
                <w:color w:val="555555"/>
                <w:kern w:val="0"/>
                <w:sz w:val="18"/>
                <w:szCs w:val="18"/>
                <w:lang w:bidi="ar"/>
              </w:rPr>
              <w:t>序号</w:t>
            </w:r>
          </w:p>
        </w:tc>
        <w:tc>
          <w:tcPr>
            <w:tcW w:w="3686" w:type="dxa"/>
            <w:gridSpan w:val="4"/>
            <w:tcBorders>
              <w:top w:val="single" w:color="auto" w:sz="8" w:space="0"/>
              <w:left w:val="nil"/>
              <w:bottom w:val="single" w:color="auto" w:sz="8" w:space="0"/>
              <w:right w:val="single" w:color="auto" w:sz="8" w:space="0"/>
            </w:tcBorders>
            <w:tcMar>
              <w:left w:w="108" w:type="dxa"/>
              <w:right w:w="108" w:type="dxa"/>
            </w:tcMar>
            <w:vAlign w:val="center"/>
          </w:tcPr>
          <w:p>
            <w:pPr>
              <w:widowControl/>
              <w:spacing w:before="100" w:beforeAutospacing="1" w:after="160" w:line="20" w:lineRule="atLeast"/>
              <w:jc w:val="center"/>
              <w:rPr>
                <w:rFonts w:ascii="宋体" w:hAnsi="宋体" w:cs="宋体"/>
                <w:color w:val="555555"/>
                <w:kern w:val="0"/>
                <w:sz w:val="24"/>
              </w:rPr>
            </w:pPr>
            <w:r>
              <w:rPr>
                <w:rFonts w:hint="eastAsia" w:ascii="宋体" w:hAnsi="宋体" w:cs="Arial"/>
                <w:color w:val="555555"/>
                <w:kern w:val="0"/>
                <w:sz w:val="18"/>
                <w:szCs w:val="18"/>
                <w:lang w:bidi="ar"/>
              </w:rPr>
              <w:t>评分项</w:t>
            </w:r>
          </w:p>
        </w:tc>
        <w:tc>
          <w:tcPr>
            <w:tcW w:w="4298" w:type="dxa"/>
            <w:tcBorders>
              <w:top w:val="single" w:color="auto" w:sz="8" w:space="0"/>
              <w:left w:val="nil"/>
              <w:bottom w:val="single" w:color="auto" w:sz="8" w:space="0"/>
              <w:right w:val="single" w:color="auto" w:sz="8" w:space="0"/>
            </w:tcBorders>
            <w:tcMar>
              <w:left w:w="108" w:type="dxa"/>
              <w:right w:w="108" w:type="dxa"/>
            </w:tcMar>
            <w:vAlign w:val="center"/>
          </w:tcPr>
          <w:p>
            <w:pPr>
              <w:widowControl/>
              <w:spacing w:before="100" w:beforeAutospacing="1" w:after="160" w:line="20" w:lineRule="atLeast"/>
              <w:jc w:val="center"/>
              <w:rPr>
                <w:rFonts w:ascii="宋体" w:hAnsi="宋体" w:cs="宋体"/>
                <w:color w:val="555555"/>
                <w:kern w:val="0"/>
                <w:sz w:val="24"/>
              </w:rPr>
            </w:pPr>
            <w:r>
              <w:rPr>
                <w:rFonts w:hint="eastAsia" w:ascii="宋体" w:hAnsi="宋体" w:cs="Arial"/>
                <w:color w:val="555555"/>
                <w:kern w:val="0"/>
                <w:sz w:val="18"/>
                <w:szCs w:val="18"/>
              </w:rPr>
              <w:t>权重（%）</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20" w:hRule="atLeast"/>
          <w:jc w:val="center"/>
        </w:trPr>
        <w:tc>
          <w:tcPr>
            <w:tcW w:w="557" w:type="dxa"/>
            <w:tcBorders>
              <w:top w:val="single" w:color="auto" w:sz="8" w:space="0"/>
              <w:left w:val="single" w:color="auto" w:sz="8" w:space="0"/>
              <w:bottom w:val="single" w:color="auto" w:sz="8" w:space="0"/>
              <w:right w:val="single" w:color="auto" w:sz="8" w:space="0"/>
            </w:tcBorders>
            <w:tcMar>
              <w:left w:w="108" w:type="dxa"/>
              <w:right w:w="108" w:type="dxa"/>
            </w:tcMar>
            <w:vAlign w:val="center"/>
          </w:tcPr>
          <w:p>
            <w:pPr>
              <w:widowControl/>
              <w:spacing w:before="100" w:beforeAutospacing="1" w:after="160" w:line="20" w:lineRule="atLeast"/>
              <w:jc w:val="center"/>
              <w:rPr>
                <w:rFonts w:ascii="宋体" w:hAnsi="宋体" w:cs="宋体"/>
                <w:color w:val="555555"/>
                <w:kern w:val="0"/>
                <w:sz w:val="24"/>
              </w:rPr>
            </w:pPr>
            <w:r>
              <w:rPr>
                <w:rFonts w:hint="eastAsia" w:ascii="宋体" w:hAnsi="宋体" w:cs="Arial"/>
                <w:color w:val="555555"/>
                <w:kern w:val="0"/>
                <w:sz w:val="18"/>
                <w:szCs w:val="18"/>
                <w:lang w:bidi="ar"/>
              </w:rPr>
              <w:t>1</w:t>
            </w:r>
          </w:p>
        </w:tc>
        <w:tc>
          <w:tcPr>
            <w:tcW w:w="3686" w:type="dxa"/>
            <w:gridSpan w:val="4"/>
            <w:tcBorders>
              <w:top w:val="single" w:color="auto" w:sz="8" w:space="0"/>
              <w:left w:val="nil"/>
              <w:bottom w:val="single" w:color="auto" w:sz="8" w:space="0"/>
              <w:right w:val="single" w:color="auto" w:sz="8" w:space="0"/>
            </w:tcBorders>
            <w:tcMar>
              <w:left w:w="108" w:type="dxa"/>
              <w:right w:w="108" w:type="dxa"/>
            </w:tcMar>
            <w:vAlign w:val="center"/>
          </w:tcPr>
          <w:p>
            <w:pPr>
              <w:widowControl/>
              <w:spacing w:before="100" w:beforeAutospacing="1" w:after="160" w:line="20" w:lineRule="atLeast"/>
              <w:jc w:val="center"/>
              <w:rPr>
                <w:rFonts w:ascii="宋体" w:hAnsi="宋体" w:cs="宋体"/>
                <w:color w:val="555555"/>
                <w:kern w:val="0"/>
                <w:sz w:val="24"/>
              </w:rPr>
            </w:pPr>
            <w:r>
              <w:rPr>
                <w:rFonts w:hint="eastAsia" w:ascii="宋体" w:hAnsi="宋体" w:cs="Arial"/>
                <w:color w:val="555555"/>
                <w:kern w:val="0"/>
                <w:sz w:val="18"/>
                <w:szCs w:val="18"/>
                <w:lang w:bidi="ar"/>
              </w:rPr>
              <w:t>价格</w:t>
            </w:r>
          </w:p>
        </w:tc>
        <w:tc>
          <w:tcPr>
            <w:tcW w:w="4298" w:type="dxa"/>
            <w:tcBorders>
              <w:top w:val="single" w:color="auto" w:sz="8" w:space="0"/>
              <w:left w:val="nil"/>
              <w:bottom w:val="single" w:color="auto" w:sz="8" w:space="0"/>
              <w:right w:val="single" w:color="auto" w:sz="8" w:space="0"/>
            </w:tcBorders>
            <w:tcMar>
              <w:left w:w="108" w:type="dxa"/>
              <w:right w:w="108" w:type="dxa"/>
            </w:tcMar>
            <w:vAlign w:val="center"/>
          </w:tcPr>
          <w:p>
            <w:pPr>
              <w:widowControl/>
              <w:spacing w:before="100" w:beforeAutospacing="1" w:after="160" w:line="20" w:lineRule="atLeast"/>
              <w:jc w:val="center"/>
              <w:rPr>
                <w:rFonts w:ascii="宋体" w:hAnsi="宋体" w:cs="宋体"/>
                <w:color w:val="555555"/>
                <w:kern w:val="0"/>
                <w:sz w:val="24"/>
              </w:rPr>
            </w:pPr>
            <w:r>
              <w:rPr>
                <w:rFonts w:hint="eastAsia" w:ascii="宋体" w:cs="宋体"/>
                <w:kern w:val="0"/>
                <w:szCs w:val="21"/>
              </w:rPr>
              <w:t>40</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20" w:hRule="atLeast"/>
          <w:jc w:val="center"/>
        </w:trPr>
        <w:tc>
          <w:tcPr>
            <w:tcW w:w="557" w:type="dxa"/>
            <w:tcBorders>
              <w:top w:val="single" w:color="auto" w:sz="8" w:space="0"/>
              <w:left w:val="single" w:color="auto" w:sz="8" w:space="0"/>
              <w:bottom w:val="single" w:color="auto" w:sz="8" w:space="0"/>
              <w:right w:val="single" w:color="auto" w:sz="8" w:space="0"/>
            </w:tcBorders>
            <w:tcMar>
              <w:left w:w="108" w:type="dxa"/>
              <w:right w:w="108" w:type="dxa"/>
            </w:tcMar>
            <w:vAlign w:val="center"/>
          </w:tcPr>
          <w:p>
            <w:pPr>
              <w:widowControl/>
              <w:spacing w:before="100" w:beforeAutospacing="1" w:after="160" w:line="20" w:lineRule="atLeast"/>
              <w:jc w:val="center"/>
              <w:rPr>
                <w:rFonts w:ascii="宋体" w:hAnsi="宋体" w:cs="宋体"/>
                <w:color w:val="555555"/>
                <w:kern w:val="0"/>
                <w:sz w:val="24"/>
              </w:rPr>
            </w:pPr>
            <w:r>
              <w:rPr>
                <w:rFonts w:hint="eastAsia" w:ascii="宋体" w:hAnsi="宋体" w:cs="Arial"/>
                <w:color w:val="555555"/>
                <w:kern w:val="0"/>
                <w:sz w:val="18"/>
                <w:szCs w:val="18"/>
                <w:lang w:bidi="ar"/>
              </w:rPr>
              <w:t>2</w:t>
            </w:r>
          </w:p>
        </w:tc>
        <w:tc>
          <w:tcPr>
            <w:tcW w:w="3686" w:type="dxa"/>
            <w:gridSpan w:val="4"/>
            <w:tcBorders>
              <w:top w:val="single" w:color="auto" w:sz="8" w:space="0"/>
              <w:left w:val="nil"/>
              <w:bottom w:val="single" w:color="auto" w:sz="8" w:space="0"/>
              <w:right w:val="single" w:color="auto" w:sz="8" w:space="0"/>
            </w:tcBorders>
            <w:tcMar>
              <w:left w:w="108" w:type="dxa"/>
              <w:right w:w="108" w:type="dxa"/>
            </w:tcMar>
            <w:vAlign w:val="center"/>
          </w:tcPr>
          <w:p>
            <w:pPr>
              <w:widowControl/>
              <w:spacing w:before="100" w:beforeAutospacing="1" w:after="160" w:line="20" w:lineRule="atLeast"/>
              <w:jc w:val="center"/>
              <w:rPr>
                <w:rFonts w:ascii="宋体" w:hAnsi="宋体" w:cs="宋体"/>
                <w:color w:val="555555"/>
                <w:kern w:val="0"/>
                <w:sz w:val="24"/>
              </w:rPr>
            </w:pPr>
            <w:r>
              <w:rPr>
                <w:rFonts w:hint="eastAsia" w:ascii="宋体" w:hAnsi="宋体" w:cs="Arial"/>
                <w:color w:val="555555"/>
                <w:kern w:val="0"/>
                <w:sz w:val="18"/>
                <w:szCs w:val="18"/>
                <w:lang w:bidi="ar"/>
              </w:rPr>
              <w:t>技术部分</w:t>
            </w:r>
          </w:p>
        </w:tc>
        <w:tc>
          <w:tcPr>
            <w:tcW w:w="4298" w:type="dxa"/>
            <w:tcBorders>
              <w:top w:val="single" w:color="auto" w:sz="8" w:space="0"/>
              <w:left w:val="nil"/>
              <w:bottom w:val="single" w:color="auto" w:sz="8" w:space="0"/>
              <w:right w:val="single" w:color="auto" w:sz="8" w:space="0"/>
            </w:tcBorders>
            <w:tcMar>
              <w:left w:w="108" w:type="dxa"/>
              <w:right w:w="108" w:type="dxa"/>
            </w:tcMar>
            <w:vAlign w:val="center"/>
          </w:tcPr>
          <w:p>
            <w:pPr>
              <w:widowControl/>
              <w:spacing w:before="100" w:beforeAutospacing="1" w:after="160" w:line="20" w:lineRule="atLeast"/>
              <w:jc w:val="center"/>
              <w:rPr>
                <w:rFonts w:ascii="宋体" w:hAnsi="宋体" w:cs="宋体"/>
                <w:color w:val="555555"/>
                <w:kern w:val="0"/>
                <w:sz w:val="24"/>
              </w:rPr>
            </w:pPr>
            <w:r>
              <w:rPr>
                <w:rFonts w:hint="eastAsia" w:ascii="Arial" w:hAnsi="Arial" w:cs="Arial"/>
                <w:color w:val="555555"/>
                <w:kern w:val="0"/>
                <w:sz w:val="18"/>
                <w:szCs w:val="18"/>
                <w:lang w:bidi="ar"/>
              </w:rPr>
              <w:t>48</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20" w:hRule="atLeast"/>
          <w:jc w:val="center"/>
        </w:trPr>
        <w:tc>
          <w:tcPr>
            <w:tcW w:w="557" w:type="dxa"/>
            <w:vMerge w:val="restart"/>
            <w:tcBorders>
              <w:top w:val="nil"/>
              <w:left w:val="single" w:color="auto" w:sz="8" w:space="0"/>
              <w:bottom w:val="single" w:color="auto" w:sz="8" w:space="0"/>
              <w:right w:val="single" w:color="auto" w:sz="8" w:space="0"/>
            </w:tcBorders>
            <w:tcMar>
              <w:left w:w="108" w:type="dxa"/>
              <w:right w:w="108" w:type="dxa"/>
            </w:tcMar>
            <w:vAlign w:val="center"/>
          </w:tcPr>
          <w:p>
            <w:pPr>
              <w:widowControl/>
              <w:jc w:val="left"/>
              <w:rPr>
                <w:rFonts w:ascii="Arial" w:hAnsi="Arial" w:cs="Arial"/>
                <w:color w:val="555555"/>
                <w:kern w:val="0"/>
                <w:sz w:val="2"/>
                <w:szCs w:val="18"/>
              </w:rPr>
            </w:pPr>
          </w:p>
        </w:tc>
        <w:tc>
          <w:tcPr>
            <w:tcW w:w="567" w:type="dxa"/>
            <w:tcBorders>
              <w:top w:val="nil"/>
              <w:left w:val="nil"/>
              <w:bottom w:val="single" w:color="auto" w:sz="8" w:space="0"/>
              <w:right w:val="single" w:color="auto" w:sz="8" w:space="0"/>
            </w:tcBorders>
            <w:tcMar>
              <w:left w:w="108" w:type="dxa"/>
              <w:right w:w="108" w:type="dxa"/>
            </w:tcMar>
            <w:vAlign w:val="center"/>
          </w:tcPr>
          <w:p>
            <w:pPr>
              <w:widowControl/>
              <w:spacing w:before="100" w:beforeAutospacing="1" w:after="160" w:line="20" w:lineRule="atLeast"/>
              <w:jc w:val="center"/>
              <w:rPr>
                <w:rFonts w:ascii="宋体" w:hAnsi="宋体" w:cs="宋体"/>
                <w:color w:val="555555"/>
                <w:kern w:val="0"/>
                <w:sz w:val="24"/>
              </w:rPr>
            </w:pPr>
            <w:r>
              <w:rPr>
                <w:rFonts w:hint="eastAsia" w:ascii="宋体" w:hAnsi="宋体" w:cs="Arial"/>
                <w:color w:val="555555"/>
                <w:kern w:val="0"/>
                <w:sz w:val="18"/>
                <w:szCs w:val="18"/>
                <w:lang w:bidi="ar"/>
              </w:rPr>
              <w:t>序号</w:t>
            </w:r>
          </w:p>
        </w:tc>
        <w:tc>
          <w:tcPr>
            <w:tcW w:w="1702" w:type="dxa"/>
            <w:tcBorders>
              <w:top w:val="nil"/>
              <w:left w:val="nil"/>
              <w:bottom w:val="single" w:color="auto" w:sz="8" w:space="0"/>
              <w:right w:val="single" w:color="auto" w:sz="8" w:space="0"/>
            </w:tcBorders>
            <w:tcMar>
              <w:left w:w="108" w:type="dxa"/>
              <w:right w:w="108" w:type="dxa"/>
            </w:tcMar>
            <w:vAlign w:val="center"/>
          </w:tcPr>
          <w:p>
            <w:pPr>
              <w:widowControl/>
              <w:spacing w:before="100" w:beforeAutospacing="1" w:after="160" w:line="20" w:lineRule="atLeast"/>
              <w:jc w:val="center"/>
              <w:rPr>
                <w:rFonts w:ascii="宋体" w:hAnsi="宋体" w:cs="宋体"/>
                <w:color w:val="555555"/>
                <w:kern w:val="0"/>
                <w:sz w:val="24"/>
              </w:rPr>
            </w:pPr>
            <w:r>
              <w:rPr>
                <w:rFonts w:hint="eastAsia" w:ascii="宋体" w:hAnsi="宋体" w:cs="Arial"/>
                <w:color w:val="555555"/>
                <w:kern w:val="0"/>
                <w:sz w:val="18"/>
                <w:szCs w:val="18"/>
                <w:lang w:bidi="ar"/>
              </w:rPr>
              <w:t>评审因素</w:t>
            </w:r>
          </w:p>
        </w:tc>
        <w:tc>
          <w:tcPr>
            <w:tcW w:w="709" w:type="dxa"/>
            <w:tcBorders>
              <w:top w:val="nil"/>
              <w:left w:val="nil"/>
              <w:bottom w:val="single" w:color="auto" w:sz="8" w:space="0"/>
              <w:right w:val="single" w:color="auto" w:sz="8" w:space="0"/>
            </w:tcBorders>
            <w:tcMar>
              <w:left w:w="108" w:type="dxa"/>
              <w:right w:w="108" w:type="dxa"/>
            </w:tcMar>
            <w:vAlign w:val="center"/>
          </w:tcPr>
          <w:p>
            <w:pPr>
              <w:widowControl/>
              <w:spacing w:before="100" w:beforeAutospacing="1" w:after="160" w:line="20" w:lineRule="atLeast"/>
              <w:jc w:val="center"/>
              <w:rPr>
                <w:rFonts w:ascii="宋体" w:hAnsi="宋体" w:cs="宋体"/>
                <w:color w:val="555555"/>
                <w:kern w:val="0"/>
                <w:sz w:val="24"/>
              </w:rPr>
            </w:pPr>
            <w:r>
              <w:rPr>
                <w:rFonts w:hint="eastAsia" w:ascii="宋体" w:hAnsi="宋体" w:cs="Arial"/>
                <w:color w:val="555555"/>
                <w:kern w:val="0"/>
                <w:sz w:val="18"/>
                <w:szCs w:val="18"/>
                <w:lang w:bidi="ar"/>
              </w:rPr>
              <w:t>权重（%）</w:t>
            </w:r>
          </w:p>
        </w:tc>
        <w:tc>
          <w:tcPr>
            <w:tcW w:w="709" w:type="dxa"/>
            <w:tcBorders>
              <w:top w:val="nil"/>
              <w:left w:val="nil"/>
              <w:bottom w:val="single" w:color="auto" w:sz="8" w:space="0"/>
              <w:right w:val="single" w:color="auto" w:sz="8" w:space="0"/>
            </w:tcBorders>
            <w:tcMar>
              <w:left w:w="108" w:type="dxa"/>
              <w:right w:w="108" w:type="dxa"/>
            </w:tcMar>
            <w:vAlign w:val="center"/>
          </w:tcPr>
          <w:p>
            <w:pPr>
              <w:widowControl/>
              <w:spacing w:before="100" w:beforeAutospacing="1" w:after="160" w:line="20" w:lineRule="atLeast"/>
              <w:jc w:val="center"/>
              <w:rPr>
                <w:rFonts w:ascii="宋体" w:hAnsi="宋体" w:cs="宋体"/>
                <w:color w:val="555555"/>
                <w:kern w:val="0"/>
                <w:sz w:val="24"/>
              </w:rPr>
            </w:pPr>
            <w:r>
              <w:rPr>
                <w:rFonts w:hint="eastAsia" w:ascii="宋体" w:hAnsi="宋体" w:cs="Arial"/>
                <w:color w:val="555555"/>
                <w:kern w:val="0"/>
                <w:sz w:val="18"/>
                <w:szCs w:val="18"/>
                <w:lang w:bidi="ar"/>
              </w:rPr>
              <w:t>评分方式</w:t>
            </w:r>
          </w:p>
        </w:tc>
        <w:tc>
          <w:tcPr>
            <w:tcW w:w="4298" w:type="dxa"/>
            <w:tcBorders>
              <w:top w:val="nil"/>
              <w:left w:val="nil"/>
              <w:bottom w:val="single" w:color="auto" w:sz="8" w:space="0"/>
              <w:right w:val="single" w:color="auto" w:sz="8" w:space="0"/>
            </w:tcBorders>
            <w:tcMar>
              <w:left w:w="108" w:type="dxa"/>
              <w:right w:w="108" w:type="dxa"/>
            </w:tcMar>
            <w:vAlign w:val="center"/>
          </w:tcPr>
          <w:p>
            <w:pPr>
              <w:widowControl/>
              <w:spacing w:before="100" w:beforeAutospacing="1" w:after="160" w:line="20" w:lineRule="atLeast"/>
              <w:jc w:val="center"/>
              <w:rPr>
                <w:rFonts w:ascii="宋体" w:hAnsi="宋体" w:cs="宋体"/>
                <w:color w:val="555555"/>
                <w:kern w:val="0"/>
                <w:sz w:val="24"/>
              </w:rPr>
            </w:pPr>
            <w:r>
              <w:rPr>
                <w:rFonts w:hint="eastAsia" w:ascii="宋体" w:hAnsi="宋体" w:cs="Arial"/>
                <w:color w:val="555555"/>
                <w:kern w:val="0"/>
                <w:sz w:val="18"/>
                <w:szCs w:val="18"/>
              </w:rPr>
              <w:t>评分准则</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20" w:hRule="atLeast"/>
          <w:jc w:val="center"/>
        </w:trPr>
        <w:tc>
          <w:tcPr>
            <w:tcW w:w="557" w:type="dxa"/>
            <w:vMerge w:val="continue"/>
            <w:tcBorders>
              <w:top w:val="nil"/>
              <w:left w:val="single" w:color="auto" w:sz="8" w:space="0"/>
              <w:bottom w:val="single" w:color="auto" w:sz="8" w:space="0"/>
              <w:right w:val="single" w:color="auto" w:sz="8" w:space="0"/>
            </w:tcBorders>
            <w:tcMar>
              <w:left w:w="108" w:type="dxa"/>
              <w:right w:w="108" w:type="dxa"/>
            </w:tcMar>
            <w:vAlign w:val="center"/>
          </w:tcPr>
          <w:p>
            <w:pPr>
              <w:rPr>
                <w:sz w:val="20"/>
                <w:szCs w:val="20"/>
              </w:rPr>
            </w:pPr>
          </w:p>
        </w:tc>
        <w:tc>
          <w:tcPr>
            <w:tcW w:w="567" w:type="dxa"/>
            <w:tcBorders>
              <w:top w:val="nil"/>
              <w:left w:val="nil"/>
              <w:bottom w:val="single" w:color="auto" w:sz="8" w:space="0"/>
              <w:right w:val="single" w:color="auto" w:sz="8" w:space="0"/>
            </w:tcBorders>
            <w:tcMar>
              <w:left w:w="108" w:type="dxa"/>
              <w:right w:w="108" w:type="dxa"/>
            </w:tcMar>
            <w:vAlign w:val="center"/>
          </w:tcPr>
          <w:p>
            <w:pPr>
              <w:widowControl/>
              <w:spacing w:before="100" w:beforeAutospacing="1" w:after="160" w:line="20" w:lineRule="atLeast"/>
              <w:jc w:val="center"/>
              <w:rPr>
                <w:rFonts w:ascii="宋体" w:hAnsi="宋体" w:cs="宋体"/>
                <w:color w:val="555555"/>
                <w:kern w:val="0"/>
                <w:sz w:val="24"/>
              </w:rPr>
            </w:pPr>
            <w:r>
              <w:rPr>
                <w:rFonts w:hint="eastAsia" w:ascii="宋体" w:hAnsi="宋体" w:cs="Arial"/>
                <w:color w:val="555555"/>
                <w:kern w:val="0"/>
                <w:sz w:val="18"/>
                <w:szCs w:val="18"/>
                <w:lang w:bidi="ar"/>
              </w:rPr>
              <w:t>1</w:t>
            </w:r>
          </w:p>
        </w:tc>
        <w:tc>
          <w:tcPr>
            <w:tcW w:w="1702" w:type="dxa"/>
            <w:tcBorders>
              <w:top w:val="nil"/>
              <w:left w:val="nil"/>
              <w:bottom w:val="single" w:color="auto" w:sz="8" w:space="0"/>
              <w:right w:val="single" w:color="auto" w:sz="8" w:space="0"/>
            </w:tcBorders>
            <w:tcMar>
              <w:left w:w="108" w:type="dxa"/>
              <w:right w:w="108" w:type="dxa"/>
            </w:tcMar>
            <w:vAlign w:val="center"/>
          </w:tcPr>
          <w:p>
            <w:pPr>
              <w:widowControl/>
              <w:spacing w:before="100" w:beforeAutospacing="1" w:after="160" w:line="20" w:lineRule="atLeast"/>
              <w:jc w:val="center"/>
              <w:rPr>
                <w:rFonts w:ascii="宋体" w:hAnsi="宋体" w:cs="宋体"/>
                <w:color w:val="555555"/>
                <w:kern w:val="0"/>
                <w:sz w:val="24"/>
              </w:rPr>
            </w:pPr>
            <w:r>
              <w:rPr>
                <w:rFonts w:hint="eastAsia" w:ascii="宋体" w:hAnsi="宋体" w:cs="Arial"/>
                <w:color w:val="555555"/>
                <w:kern w:val="0"/>
                <w:sz w:val="18"/>
                <w:szCs w:val="18"/>
                <w:lang w:bidi="ar"/>
              </w:rPr>
              <w:t>项目总体概述及理解</w:t>
            </w:r>
          </w:p>
        </w:tc>
        <w:tc>
          <w:tcPr>
            <w:tcW w:w="709" w:type="dxa"/>
            <w:tcBorders>
              <w:top w:val="nil"/>
              <w:left w:val="nil"/>
              <w:bottom w:val="single" w:color="auto" w:sz="8" w:space="0"/>
              <w:right w:val="single" w:color="auto" w:sz="8" w:space="0"/>
            </w:tcBorders>
            <w:tcMar>
              <w:left w:w="108" w:type="dxa"/>
              <w:right w:w="108" w:type="dxa"/>
            </w:tcMar>
            <w:vAlign w:val="center"/>
          </w:tcPr>
          <w:p>
            <w:pPr>
              <w:widowControl/>
              <w:spacing w:before="100" w:beforeAutospacing="1" w:after="160" w:line="20" w:lineRule="atLeast"/>
              <w:jc w:val="center"/>
              <w:rPr>
                <w:rFonts w:ascii="宋体" w:hAnsi="宋体" w:cs="宋体"/>
                <w:color w:val="555555"/>
                <w:kern w:val="0"/>
                <w:sz w:val="24"/>
              </w:rPr>
            </w:pPr>
            <w:r>
              <w:rPr>
                <w:rFonts w:ascii="Arial" w:hAnsi="Arial" w:cs="Arial"/>
                <w:color w:val="555555"/>
                <w:kern w:val="0"/>
                <w:sz w:val="18"/>
                <w:szCs w:val="18"/>
                <w:lang w:bidi="ar"/>
              </w:rPr>
              <w:t>5</w:t>
            </w:r>
          </w:p>
        </w:tc>
        <w:tc>
          <w:tcPr>
            <w:tcW w:w="709" w:type="dxa"/>
            <w:tcBorders>
              <w:top w:val="nil"/>
              <w:left w:val="nil"/>
              <w:bottom w:val="single" w:color="auto" w:sz="8" w:space="0"/>
              <w:right w:val="single" w:color="auto" w:sz="8" w:space="0"/>
            </w:tcBorders>
            <w:tcMar>
              <w:left w:w="108" w:type="dxa"/>
              <w:right w:w="108" w:type="dxa"/>
            </w:tcMar>
            <w:vAlign w:val="center"/>
          </w:tcPr>
          <w:p>
            <w:pPr>
              <w:widowControl/>
              <w:spacing w:before="100" w:beforeAutospacing="1" w:after="160" w:line="20" w:lineRule="atLeast"/>
              <w:jc w:val="center"/>
              <w:rPr>
                <w:rFonts w:ascii="宋体" w:hAnsi="宋体" w:cs="宋体"/>
                <w:color w:val="555555"/>
                <w:kern w:val="0"/>
                <w:sz w:val="24"/>
              </w:rPr>
            </w:pPr>
            <w:r>
              <w:rPr>
                <w:rFonts w:hint="eastAsia" w:ascii="宋体" w:hAnsi="宋体" w:cs="Arial"/>
                <w:color w:val="555555"/>
                <w:kern w:val="0"/>
                <w:sz w:val="18"/>
                <w:szCs w:val="18"/>
                <w:lang w:bidi="ar"/>
              </w:rPr>
              <w:t>专家打分</w:t>
            </w:r>
          </w:p>
        </w:tc>
        <w:tc>
          <w:tcPr>
            <w:tcW w:w="4298" w:type="dxa"/>
            <w:tcBorders>
              <w:top w:val="nil"/>
              <w:left w:val="nil"/>
              <w:bottom w:val="single" w:color="auto" w:sz="8" w:space="0"/>
              <w:right w:val="single" w:color="auto" w:sz="8" w:space="0"/>
            </w:tcBorders>
            <w:tcMar>
              <w:left w:w="108" w:type="dxa"/>
              <w:right w:w="108" w:type="dxa"/>
            </w:tcMar>
            <w:vAlign w:val="center"/>
          </w:tcPr>
          <w:p>
            <w:pPr>
              <w:jc w:val="left"/>
              <w:rPr>
                <w:rFonts w:ascii="宋体" w:hAnsi="宋体" w:cs="宋体"/>
                <w:szCs w:val="21"/>
              </w:rPr>
            </w:pPr>
            <w:r>
              <w:rPr>
                <w:rFonts w:hint="eastAsia" w:ascii="宋体" w:hAnsi="宋体" w:cs="宋体"/>
                <w:szCs w:val="21"/>
                <w:lang w:bidi="ar"/>
              </w:rPr>
              <w:t>评审内容：要求详细说明投标人对本项目总体要求的理解情况，评审委员会根据响应情况评分，优良中差评分标准：</w:t>
            </w:r>
          </w:p>
          <w:p>
            <w:pPr>
              <w:jc w:val="left"/>
              <w:rPr>
                <w:rFonts w:ascii="宋体" w:hAnsi="宋体" w:cs="宋体"/>
                <w:b/>
                <w:i/>
                <w:szCs w:val="21"/>
                <w:u w:val="single"/>
              </w:rPr>
            </w:pPr>
          </w:p>
          <w:p>
            <w:pPr>
              <w:spacing w:after="160" w:line="240" w:lineRule="exact"/>
              <w:jc w:val="left"/>
              <w:rPr>
                <w:rFonts w:ascii="宋体" w:hAnsi="宋体" w:cs="宋体"/>
                <w:szCs w:val="21"/>
              </w:rPr>
            </w:pPr>
            <w:r>
              <w:rPr>
                <w:rFonts w:hint="eastAsia" w:ascii="宋体" w:hAnsi="宋体" w:cs="宋体"/>
                <w:szCs w:val="21"/>
                <w:lang w:bidi="ar"/>
              </w:rPr>
              <w:t>（1）项目实施方案内容全面；</w:t>
            </w:r>
          </w:p>
          <w:p>
            <w:pPr>
              <w:spacing w:after="160" w:line="240" w:lineRule="exact"/>
              <w:jc w:val="left"/>
              <w:rPr>
                <w:rFonts w:ascii="宋体" w:hAnsi="宋体" w:cs="宋体"/>
                <w:szCs w:val="21"/>
              </w:rPr>
            </w:pPr>
            <w:r>
              <w:rPr>
                <w:rFonts w:hint="eastAsia" w:ascii="宋体" w:hAnsi="宋体" w:cs="宋体"/>
                <w:szCs w:val="21"/>
                <w:lang w:bidi="ar"/>
              </w:rPr>
              <w:t>（2）项目实施方案内容具体；</w:t>
            </w:r>
          </w:p>
          <w:p>
            <w:pPr>
              <w:spacing w:after="160" w:line="240" w:lineRule="exact"/>
              <w:jc w:val="left"/>
              <w:rPr>
                <w:rFonts w:ascii="宋体" w:hAnsi="宋体" w:cs="宋体"/>
                <w:szCs w:val="21"/>
              </w:rPr>
            </w:pPr>
            <w:r>
              <w:rPr>
                <w:rFonts w:hint="eastAsia" w:ascii="宋体" w:hAnsi="宋体" w:cs="宋体"/>
                <w:szCs w:val="21"/>
                <w:lang w:bidi="ar"/>
              </w:rPr>
              <w:t>（3）项目实施方案内容针对性强；</w:t>
            </w:r>
          </w:p>
          <w:p>
            <w:pPr>
              <w:spacing w:after="160" w:line="240" w:lineRule="exact"/>
              <w:jc w:val="left"/>
              <w:rPr>
                <w:rFonts w:ascii="宋体" w:hAnsi="宋体" w:cs="宋体"/>
                <w:szCs w:val="21"/>
              </w:rPr>
            </w:pPr>
            <w:r>
              <w:rPr>
                <w:rFonts w:hint="eastAsia" w:ascii="宋体" w:hAnsi="宋体" w:cs="宋体"/>
                <w:szCs w:val="21"/>
                <w:lang w:bidi="ar"/>
              </w:rPr>
              <w:t>（4）项目实施方案内容科学合理；</w:t>
            </w:r>
          </w:p>
          <w:p>
            <w:pPr>
              <w:spacing w:after="160" w:line="240" w:lineRule="exact"/>
              <w:jc w:val="left"/>
              <w:rPr>
                <w:rFonts w:ascii="宋体" w:hAnsi="宋体" w:cs="宋体"/>
                <w:szCs w:val="21"/>
              </w:rPr>
            </w:pPr>
            <w:r>
              <w:rPr>
                <w:rFonts w:hint="eastAsia" w:ascii="宋体" w:hAnsi="宋体" w:cs="宋体"/>
                <w:szCs w:val="21"/>
                <w:lang w:bidi="ar"/>
              </w:rPr>
              <w:t>（5）项目实施方案内容可操作性强</w:t>
            </w:r>
          </w:p>
          <w:p>
            <w:pPr>
              <w:spacing w:after="160" w:line="240" w:lineRule="exact"/>
              <w:jc w:val="left"/>
              <w:rPr>
                <w:rFonts w:ascii="宋体" w:hAnsi="宋体" w:cs="宋体"/>
                <w:szCs w:val="21"/>
              </w:rPr>
            </w:pPr>
            <w:r>
              <w:rPr>
                <w:rFonts w:hint="eastAsia" w:ascii="宋体" w:hAnsi="宋体" w:cs="宋体"/>
                <w:szCs w:val="21"/>
                <w:lang w:bidi="ar"/>
              </w:rPr>
              <w:t>满足以上五项要求得100分，满足以上四项要求得80分，满足以上三项要求得60分，其它情况不得分。</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20" w:hRule="atLeast"/>
          <w:jc w:val="center"/>
        </w:trPr>
        <w:tc>
          <w:tcPr>
            <w:tcW w:w="557" w:type="dxa"/>
            <w:vMerge w:val="continue"/>
            <w:tcBorders>
              <w:top w:val="nil"/>
              <w:left w:val="single" w:color="auto" w:sz="8" w:space="0"/>
              <w:bottom w:val="single" w:color="auto" w:sz="8" w:space="0"/>
              <w:right w:val="single" w:color="auto" w:sz="8" w:space="0"/>
            </w:tcBorders>
            <w:tcMar>
              <w:left w:w="108" w:type="dxa"/>
              <w:right w:w="108" w:type="dxa"/>
            </w:tcMar>
            <w:vAlign w:val="center"/>
          </w:tcPr>
          <w:p>
            <w:pPr>
              <w:rPr>
                <w:sz w:val="20"/>
                <w:szCs w:val="20"/>
              </w:rPr>
            </w:pPr>
          </w:p>
        </w:tc>
        <w:tc>
          <w:tcPr>
            <w:tcW w:w="567" w:type="dxa"/>
            <w:tcBorders>
              <w:top w:val="nil"/>
              <w:left w:val="nil"/>
              <w:bottom w:val="single" w:color="auto" w:sz="8" w:space="0"/>
              <w:right w:val="single" w:color="auto" w:sz="8" w:space="0"/>
            </w:tcBorders>
            <w:tcMar>
              <w:left w:w="108" w:type="dxa"/>
              <w:right w:w="108" w:type="dxa"/>
            </w:tcMar>
            <w:vAlign w:val="center"/>
          </w:tcPr>
          <w:p>
            <w:pPr>
              <w:widowControl/>
              <w:spacing w:before="100" w:beforeAutospacing="1" w:after="160" w:line="20" w:lineRule="atLeast"/>
              <w:jc w:val="center"/>
              <w:rPr>
                <w:rFonts w:ascii="宋体" w:hAnsi="宋体" w:cs="宋体"/>
                <w:color w:val="555555"/>
                <w:kern w:val="0"/>
                <w:sz w:val="24"/>
              </w:rPr>
            </w:pPr>
            <w:r>
              <w:rPr>
                <w:rFonts w:hint="eastAsia" w:ascii="宋体" w:hAnsi="宋体" w:cs="Arial"/>
                <w:color w:val="555555"/>
                <w:kern w:val="0"/>
                <w:sz w:val="18"/>
                <w:szCs w:val="18"/>
                <w:lang w:bidi="ar"/>
              </w:rPr>
              <w:t>2</w:t>
            </w:r>
          </w:p>
        </w:tc>
        <w:tc>
          <w:tcPr>
            <w:tcW w:w="1702" w:type="dxa"/>
            <w:tcBorders>
              <w:top w:val="nil"/>
              <w:left w:val="nil"/>
              <w:bottom w:val="single" w:color="auto" w:sz="8" w:space="0"/>
              <w:right w:val="single" w:color="auto" w:sz="8" w:space="0"/>
            </w:tcBorders>
            <w:tcMar>
              <w:left w:w="108" w:type="dxa"/>
              <w:right w:w="108" w:type="dxa"/>
            </w:tcMar>
            <w:vAlign w:val="center"/>
          </w:tcPr>
          <w:p>
            <w:pPr>
              <w:widowControl/>
              <w:spacing w:before="100" w:beforeAutospacing="1" w:after="160" w:line="20" w:lineRule="atLeast"/>
              <w:jc w:val="center"/>
              <w:rPr>
                <w:rFonts w:ascii="宋体" w:hAnsi="宋体" w:cs="宋体"/>
                <w:color w:val="555555"/>
                <w:kern w:val="0"/>
                <w:sz w:val="24"/>
              </w:rPr>
            </w:pPr>
            <w:r>
              <w:rPr>
                <w:rFonts w:hint="eastAsia" w:ascii="宋体" w:hAnsi="宋体" w:cs="Arial"/>
                <w:color w:val="555555"/>
                <w:kern w:val="0"/>
                <w:sz w:val="18"/>
                <w:szCs w:val="18"/>
                <w:lang w:bidi="ar"/>
              </w:rPr>
              <w:t>施工组织计划、施工技术、施工工艺及相关的合理化建议</w:t>
            </w:r>
          </w:p>
        </w:tc>
        <w:tc>
          <w:tcPr>
            <w:tcW w:w="709" w:type="dxa"/>
            <w:tcBorders>
              <w:top w:val="nil"/>
              <w:left w:val="nil"/>
              <w:bottom w:val="single" w:color="auto" w:sz="8" w:space="0"/>
              <w:right w:val="single" w:color="auto" w:sz="8" w:space="0"/>
            </w:tcBorders>
            <w:tcMar>
              <w:left w:w="108" w:type="dxa"/>
              <w:right w:w="108" w:type="dxa"/>
            </w:tcMar>
            <w:vAlign w:val="center"/>
          </w:tcPr>
          <w:p>
            <w:pPr>
              <w:widowControl/>
              <w:spacing w:before="100" w:beforeAutospacing="1" w:after="160" w:line="20" w:lineRule="atLeast"/>
              <w:jc w:val="center"/>
              <w:rPr>
                <w:rFonts w:ascii="宋体" w:hAnsi="宋体" w:cs="宋体"/>
                <w:color w:val="555555"/>
                <w:kern w:val="0"/>
                <w:sz w:val="24"/>
              </w:rPr>
            </w:pPr>
            <w:r>
              <w:rPr>
                <w:rFonts w:hint="eastAsia" w:ascii="Arial" w:hAnsi="Arial" w:cs="Arial"/>
                <w:color w:val="555555"/>
                <w:kern w:val="0"/>
                <w:sz w:val="18"/>
                <w:szCs w:val="18"/>
                <w:lang w:bidi="ar"/>
              </w:rPr>
              <w:t>12</w:t>
            </w:r>
          </w:p>
        </w:tc>
        <w:tc>
          <w:tcPr>
            <w:tcW w:w="709" w:type="dxa"/>
            <w:tcBorders>
              <w:top w:val="nil"/>
              <w:left w:val="nil"/>
              <w:bottom w:val="single" w:color="auto" w:sz="8" w:space="0"/>
              <w:right w:val="single" w:color="auto" w:sz="8" w:space="0"/>
            </w:tcBorders>
            <w:tcMar>
              <w:left w:w="108" w:type="dxa"/>
              <w:right w:w="108" w:type="dxa"/>
            </w:tcMar>
            <w:vAlign w:val="center"/>
          </w:tcPr>
          <w:p>
            <w:pPr>
              <w:widowControl/>
              <w:spacing w:before="100" w:beforeAutospacing="1" w:after="160" w:line="20" w:lineRule="atLeast"/>
              <w:jc w:val="center"/>
              <w:rPr>
                <w:rFonts w:ascii="宋体" w:hAnsi="宋体" w:cs="宋体"/>
                <w:color w:val="555555"/>
                <w:kern w:val="0"/>
                <w:sz w:val="24"/>
              </w:rPr>
            </w:pPr>
            <w:r>
              <w:rPr>
                <w:rFonts w:hint="eastAsia" w:ascii="宋体" w:hAnsi="宋体" w:cs="Arial"/>
                <w:color w:val="555555"/>
                <w:kern w:val="0"/>
                <w:sz w:val="18"/>
                <w:szCs w:val="18"/>
                <w:lang w:bidi="ar"/>
              </w:rPr>
              <w:t>专家打分</w:t>
            </w:r>
          </w:p>
        </w:tc>
        <w:tc>
          <w:tcPr>
            <w:tcW w:w="4298" w:type="dxa"/>
            <w:tcBorders>
              <w:top w:val="nil"/>
              <w:left w:val="nil"/>
              <w:bottom w:val="single" w:color="auto" w:sz="8" w:space="0"/>
              <w:right w:val="single" w:color="auto" w:sz="8" w:space="0"/>
            </w:tcBorders>
            <w:tcMar>
              <w:left w:w="108" w:type="dxa"/>
              <w:right w:w="108" w:type="dxa"/>
            </w:tcMar>
            <w:vAlign w:val="center"/>
          </w:tcPr>
          <w:p>
            <w:pPr>
              <w:spacing w:after="160" w:line="240" w:lineRule="exact"/>
              <w:jc w:val="left"/>
              <w:rPr>
                <w:rFonts w:ascii="宋体" w:hAnsi="宋体" w:cs="宋体"/>
                <w:szCs w:val="21"/>
              </w:rPr>
            </w:pPr>
            <w:r>
              <w:rPr>
                <w:rFonts w:hint="eastAsia" w:ascii="宋体" w:hAnsi="宋体" w:cs="宋体"/>
                <w:szCs w:val="21"/>
                <w:lang w:bidi="ar"/>
              </w:rPr>
              <w:t>评审内容：要求关键线路清晰、准确、完整、计划编制合理、可行，劳动力及材料的投入计划与进度计划呼应，满足施工需要：</w:t>
            </w:r>
          </w:p>
          <w:p>
            <w:pPr>
              <w:spacing w:after="160" w:line="240" w:lineRule="exact"/>
              <w:jc w:val="left"/>
              <w:rPr>
                <w:rFonts w:ascii="宋体" w:hAnsi="宋体" w:cs="宋体"/>
                <w:szCs w:val="21"/>
              </w:rPr>
            </w:pPr>
            <w:r>
              <w:rPr>
                <w:rFonts w:hint="eastAsia" w:ascii="宋体" w:hAnsi="宋体" w:cs="宋体"/>
                <w:szCs w:val="21"/>
                <w:lang w:bidi="ar"/>
              </w:rPr>
              <w:t>（1）施工组织计划非常完整清晰；</w:t>
            </w:r>
          </w:p>
          <w:p>
            <w:pPr>
              <w:spacing w:after="160" w:line="240" w:lineRule="exact"/>
              <w:jc w:val="left"/>
              <w:rPr>
                <w:rFonts w:ascii="宋体" w:hAnsi="宋体" w:cs="宋体"/>
                <w:szCs w:val="21"/>
              </w:rPr>
            </w:pPr>
            <w:r>
              <w:rPr>
                <w:rFonts w:hint="eastAsia" w:ascii="宋体" w:hAnsi="宋体" w:cs="宋体"/>
                <w:szCs w:val="21"/>
                <w:lang w:bidi="ar"/>
              </w:rPr>
              <w:t>（2）列明主要施工技术要求；</w:t>
            </w:r>
          </w:p>
          <w:p>
            <w:pPr>
              <w:spacing w:after="160" w:line="240" w:lineRule="exact"/>
              <w:jc w:val="left"/>
              <w:rPr>
                <w:rFonts w:ascii="宋体" w:hAnsi="宋体" w:cs="宋体"/>
                <w:szCs w:val="21"/>
              </w:rPr>
            </w:pPr>
            <w:r>
              <w:rPr>
                <w:rFonts w:hint="eastAsia" w:ascii="宋体" w:hAnsi="宋体" w:cs="宋体"/>
                <w:szCs w:val="21"/>
                <w:lang w:bidi="ar"/>
              </w:rPr>
              <w:t>（3）工期横道图规范完整；</w:t>
            </w:r>
          </w:p>
          <w:p>
            <w:pPr>
              <w:spacing w:after="160" w:line="240" w:lineRule="exact"/>
              <w:jc w:val="left"/>
              <w:rPr>
                <w:rFonts w:ascii="宋体" w:hAnsi="宋体" w:cs="宋体"/>
                <w:szCs w:val="21"/>
              </w:rPr>
            </w:pPr>
            <w:r>
              <w:rPr>
                <w:rFonts w:hint="eastAsia" w:ascii="宋体" w:hAnsi="宋体" w:cs="宋体"/>
                <w:szCs w:val="21"/>
                <w:lang w:bidi="ar"/>
              </w:rPr>
              <w:t>（4）能对项目提出非常有建设性的建议。</w:t>
            </w:r>
          </w:p>
          <w:p>
            <w:pPr>
              <w:spacing w:after="160" w:line="240" w:lineRule="exact"/>
              <w:jc w:val="left"/>
              <w:rPr>
                <w:rFonts w:ascii="宋体" w:hAnsi="宋体" w:cs="宋体"/>
                <w:szCs w:val="21"/>
              </w:rPr>
            </w:pPr>
            <w:r>
              <w:rPr>
                <w:rFonts w:hint="eastAsia" w:ascii="宋体" w:hAnsi="宋体" w:cs="宋体"/>
                <w:szCs w:val="21"/>
                <w:lang w:bidi="ar"/>
              </w:rPr>
              <w:t>满足以上四项要求为优，满足以上三项要求为良，满足以上两项要求为中，其它情况不得分。</w:t>
            </w:r>
          </w:p>
          <w:p>
            <w:pPr>
              <w:spacing w:after="160" w:line="240" w:lineRule="exact"/>
              <w:jc w:val="left"/>
              <w:rPr>
                <w:rFonts w:ascii="宋体" w:hAnsi="宋体" w:cs="宋体"/>
                <w:szCs w:val="21"/>
              </w:rPr>
            </w:pPr>
            <w:r>
              <w:rPr>
                <w:rFonts w:hint="eastAsia" w:ascii="宋体" w:hAnsi="宋体" w:cs="宋体"/>
                <w:szCs w:val="21"/>
                <w:lang w:bidi="ar"/>
              </w:rPr>
              <w:t>评价为优得100分；评价为良得80分；评价为中得60分；评价为差不得分。专家按百分制打分。</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20" w:hRule="atLeast"/>
          <w:jc w:val="center"/>
        </w:trPr>
        <w:tc>
          <w:tcPr>
            <w:tcW w:w="557" w:type="dxa"/>
            <w:vMerge w:val="continue"/>
            <w:tcBorders>
              <w:top w:val="nil"/>
              <w:left w:val="single" w:color="auto" w:sz="8" w:space="0"/>
              <w:bottom w:val="single" w:color="auto" w:sz="8" w:space="0"/>
              <w:right w:val="single" w:color="auto" w:sz="8" w:space="0"/>
            </w:tcBorders>
            <w:tcMar>
              <w:left w:w="108" w:type="dxa"/>
              <w:right w:w="108" w:type="dxa"/>
            </w:tcMar>
            <w:vAlign w:val="center"/>
          </w:tcPr>
          <w:p>
            <w:pPr>
              <w:rPr>
                <w:sz w:val="20"/>
                <w:szCs w:val="20"/>
              </w:rPr>
            </w:pPr>
          </w:p>
        </w:tc>
        <w:tc>
          <w:tcPr>
            <w:tcW w:w="567" w:type="dxa"/>
            <w:tcBorders>
              <w:top w:val="nil"/>
              <w:left w:val="nil"/>
              <w:bottom w:val="single" w:color="auto" w:sz="8" w:space="0"/>
              <w:right w:val="single" w:color="auto" w:sz="8" w:space="0"/>
            </w:tcBorders>
            <w:tcMar>
              <w:left w:w="108" w:type="dxa"/>
              <w:right w:w="108" w:type="dxa"/>
            </w:tcMar>
            <w:vAlign w:val="center"/>
          </w:tcPr>
          <w:p>
            <w:pPr>
              <w:widowControl/>
              <w:spacing w:before="100" w:beforeAutospacing="1" w:after="160" w:line="20" w:lineRule="atLeast"/>
              <w:jc w:val="center"/>
              <w:rPr>
                <w:rFonts w:ascii="宋体" w:hAnsi="宋体" w:cs="宋体"/>
                <w:color w:val="555555"/>
                <w:kern w:val="0"/>
                <w:sz w:val="24"/>
              </w:rPr>
            </w:pPr>
            <w:r>
              <w:rPr>
                <w:rFonts w:hint="eastAsia" w:ascii="宋体" w:hAnsi="宋体" w:cs="Arial"/>
                <w:color w:val="555555"/>
                <w:kern w:val="0"/>
                <w:sz w:val="18"/>
                <w:szCs w:val="18"/>
                <w:lang w:bidi="ar"/>
              </w:rPr>
              <w:t>3</w:t>
            </w:r>
          </w:p>
        </w:tc>
        <w:tc>
          <w:tcPr>
            <w:tcW w:w="1702" w:type="dxa"/>
            <w:tcBorders>
              <w:top w:val="nil"/>
              <w:left w:val="nil"/>
              <w:bottom w:val="single" w:color="auto" w:sz="8" w:space="0"/>
              <w:right w:val="single" w:color="auto" w:sz="8" w:space="0"/>
            </w:tcBorders>
            <w:tcMar>
              <w:left w:w="108" w:type="dxa"/>
              <w:right w:w="108" w:type="dxa"/>
            </w:tcMar>
            <w:vAlign w:val="center"/>
          </w:tcPr>
          <w:p>
            <w:pPr>
              <w:widowControl/>
              <w:spacing w:before="100" w:beforeAutospacing="1" w:after="160" w:line="20" w:lineRule="atLeast"/>
              <w:jc w:val="center"/>
              <w:rPr>
                <w:rFonts w:ascii="宋体" w:hAnsi="宋体" w:cs="宋体"/>
                <w:color w:val="555555"/>
                <w:kern w:val="0"/>
                <w:sz w:val="24"/>
              </w:rPr>
            </w:pPr>
            <w:r>
              <w:rPr>
                <w:rFonts w:hint="eastAsia" w:ascii="宋体" w:hAnsi="宋体" w:cs="Arial"/>
                <w:color w:val="555555"/>
                <w:kern w:val="0"/>
                <w:sz w:val="18"/>
                <w:szCs w:val="18"/>
                <w:lang w:bidi="ar"/>
              </w:rPr>
              <w:t>项目实施关键施工技术（重点难点）分析及解决方案</w:t>
            </w:r>
          </w:p>
        </w:tc>
        <w:tc>
          <w:tcPr>
            <w:tcW w:w="709" w:type="dxa"/>
            <w:tcBorders>
              <w:top w:val="nil"/>
              <w:left w:val="nil"/>
              <w:bottom w:val="single" w:color="auto" w:sz="8" w:space="0"/>
              <w:right w:val="single" w:color="auto" w:sz="8" w:space="0"/>
            </w:tcBorders>
            <w:tcMar>
              <w:left w:w="108" w:type="dxa"/>
              <w:right w:w="108" w:type="dxa"/>
            </w:tcMar>
            <w:vAlign w:val="center"/>
          </w:tcPr>
          <w:p>
            <w:pPr>
              <w:widowControl/>
              <w:spacing w:before="100" w:beforeAutospacing="1" w:after="160" w:line="20" w:lineRule="atLeast"/>
              <w:jc w:val="center"/>
              <w:rPr>
                <w:rFonts w:ascii="宋体" w:hAnsi="宋体" w:cs="宋体"/>
                <w:color w:val="555555"/>
                <w:kern w:val="0"/>
                <w:sz w:val="24"/>
              </w:rPr>
            </w:pPr>
            <w:r>
              <w:rPr>
                <w:rFonts w:hint="eastAsia" w:ascii="Arial" w:hAnsi="Arial" w:cs="Arial"/>
                <w:color w:val="555555"/>
                <w:kern w:val="0"/>
                <w:sz w:val="18"/>
                <w:szCs w:val="18"/>
                <w:lang w:bidi="ar"/>
              </w:rPr>
              <w:t>10</w:t>
            </w:r>
          </w:p>
        </w:tc>
        <w:tc>
          <w:tcPr>
            <w:tcW w:w="709" w:type="dxa"/>
            <w:tcBorders>
              <w:top w:val="nil"/>
              <w:left w:val="nil"/>
              <w:bottom w:val="single" w:color="auto" w:sz="8" w:space="0"/>
              <w:right w:val="single" w:color="auto" w:sz="8" w:space="0"/>
            </w:tcBorders>
            <w:tcMar>
              <w:left w:w="108" w:type="dxa"/>
              <w:right w:w="108" w:type="dxa"/>
            </w:tcMar>
            <w:vAlign w:val="center"/>
          </w:tcPr>
          <w:p>
            <w:pPr>
              <w:widowControl/>
              <w:spacing w:before="100" w:beforeAutospacing="1" w:after="160" w:line="20" w:lineRule="atLeast"/>
              <w:jc w:val="center"/>
              <w:rPr>
                <w:rFonts w:ascii="宋体" w:hAnsi="宋体" w:cs="宋体"/>
                <w:color w:val="555555"/>
                <w:kern w:val="0"/>
                <w:sz w:val="24"/>
              </w:rPr>
            </w:pPr>
            <w:r>
              <w:rPr>
                <w:rFonts w:hint="eastAsia" w:ascii="宋体" w:hAnsi="宋体" w:cs="Arial"/>
                <w:color w:val="555555"/>
                <w:kern w:val="0"/>
                <w:sz w:val="18"/>
                <w:szCs w:val="18"/>
                <w:lang w:bidi="ar"/>
              </w:rPr>
              <w:t>专家打分</w:t>
            </w:r>
          </w:p>
        </w:tc>
        <w:tc>
          <w:tcPr>
            <w:tcW w:w="4298" w:type="dxa"/>
            <w:tcBorders>
              <w:top w:val="nil"/>
              <w:left w:val="nil"/>
              <w:bottom w:val="single" w:color="auto" w:sz="8" w:space="0"/>
              <w:right w:val="single" w:color="auto" w:sz="8" w:space="0"/>
            </w:tcBorders>
            <w:tcMar>
              <w:left w:w="108" w:type="dxa"/>
              <w:right w:w="108" w:type="dxa"/>
            </w:tcMar>
            <w:vAlign w:val="center"/>
          </w:tcPr>
          <w:p>
            <w:pPr>
              <w:spacing w:after="160" w:line="240" w:lineRule="exact"/>
              <w:jc w:val="left"/>
              <w:rPr>
                <w:rFonts w:ascii="宋体" w:hAnsi="宋体" w:cs="宋体"/>
                <w:szCs w:val="21"/>
              </w:rPr>
            </w:pPr>
            <w:r>
              <w:rPr>
                <w:rFonts w:hint="eastAsia" w:ascii="宋体" w:hAnsi="宋体" w:cs="宋体"/>
                <w:szCs w:val="21"/>
                <w:lang w:bidi="ar"/>
              </w:rPr>
              <w:t>评审内容：项目实施关键点（重点难点）分析及解决方案包括但不限于：</w:t>
            </w:r>
          </w:p>
          <w:p>
            <w:pPr>
              <w:spacing w:after="160" w:line="240" w:lineRule="exact"/>
              <w:jc w:val="left"/>
              <w:rPr>
                <w:rFonts w:ascii="宋体" w:hAnsi="宋体" w:cs="宋体"/>
                <w:szCs w:val="21"/>
              </w:rPr>
            </w:pPr>
            <w:r>
              <w:rPr>
                <w:rFonts w:hint="eastAsia" w:ascii="宋体" w:hAnsi="宋体" w:cs="宋体"/>
                <w:szCs w:val="21"/>
                <w:lang w:bidi="ar"/>
              </w:rPr>
              <w:t>（1）整体施工方案完整清晰；</w:t>
            </w:r>
          </w:p>
          <w:p>
            <w:pPr>
              <w:spacing w:after="160" w:line="240" w:lineRule="exact"/>
              <w:jc w:val="left"/>
              <w:rPr>
                <w:rFonts w:ascii="宋体" w:hAnsi="宋体" w:cs="宋体"/>
                <w:szCs w:val="21"/>
              </w:rPr>
            </w:pPr>
            <w:r>
              <w:rPr>
                <w:rFonts w:hint="eastAsia" w:ascii="宋体" w:hAnsi="宋体" w:cs="宋体"/>
                <w:szCs w:val="21"/>
                <w:lang w:bidi="ar"/>
              </w:rPr>
              <w:t>（2）成品保护措施解决方案完整清晰；</w:t>
            </w:r>
          </w:p>
          <w:p>
            <w:pPr>
              <w:spacing w:after="160" w:line="240" w:lineRule="exact"/>
              <w:jc w:val="left"/>
              <w:rPr>
                <w:rFonts w:ascii="宋体" w:hAnsi="宋体" w:cs="宋体"/>
                <w:szCs w:val="21"/>
              </w:rPr>
            </w:pPr>
            <w:r>
              <w:rPr>
                <w:rFonts w:hint="eastAsia" w:ascii="宋体" w:hAnsi="宋体" w:cs="宋体"/>
                <w:szCs w:val="21"/>
                <w:lang w:bidi="ar"/>
              </w:rPr>
              <w:t>（3）油漆粉刷技术完整清晰；</w:t>
            </w:r>
          </w:p>
          <w:p>
            <w:pPr>
              <w:spacing w:after="160" w:line="240" w:lineRule="exact"/>
              <w:jc w:val="left"/>
              <w:rPr>
                <w:rFonts w:ascii="宋体" w:hAnsi="宋体" w:cs="宋体"/>
                <w:szCs w:val="21"/>
              </w:rPr>
            </w:pPr>
            <w:r>
              <w:rPr>
                <w:rFonts w:hint="eastAsia" w:ascii="宋体" w:hAnsi="宋体" w:cs="宋体"/>
                <w:szCs w:val="21"/>
                <w:lang w:bidi="ar"/>
              </w:rPr>
              <w:t>（4）施工工期重点难点分析。</w:t>
            </w:r>
          </w:p>
          <w:p>
            <w:pPr>
              <w:spacing w:after="160" w:line="240" w:lineRule="exact"/>
              <w:jc w:val="left"/>
              <w:rPr>
                <w:rFonts w:ascii="宋体" w:hAnsi="宋体" w:cs="宋体"/>
                <w:szCs w:val="21"/>
              </w:rPr>
            </w:pPr>
            <w:r>
              <w:rPr>
                <w:rFonts w:hint="eastAsia" w:ascii="宋体" w:hAnsi="宋体" w:cs="宋体"/>
                <w:szCs w:val="21"/>
                <w:lang w:bidi="ar"/>
              </w:rPr>
              <w:t>满足以上四项要求得优，满足以上三项要求得良，满足以上两项要求得中，其它情况不得分。</w:t>
            </w:r>
          </w:p>
          <w:p>
            <w:pPr>
              <w:spacing w:after="160" w:line="240" w:lineRule="exact"/>
              <w:jc w:val="left"/>
              <w:rPr>
                <w:rFonts w:ascii="宋体" w:hAnsi="宋体" w:cs="宋体"/>
                <w:szCs w:val="21"/>
              </w:rPr>
            </w:pPr>
            <w:r>
              <w:rPr>
                <w:rFonts w:hint="eastAsia" w:ascii="宋体" w:hAnsi="宋体" w:cs="宋体"/>
                <w:szCs w:val="21"/>
                <w:lang w:bidi="ar"/>
              </w:rPr>
              <w:t>评价为优得100分；评价为良得80分；评价为中得60分；评价为差不得分。专家按百分制打分。</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20" w:hRule="atLeast"/>
          <w:jc w:val="center"/>
        </w:trPr>
        <w:tc>
          <w:tcPr>
            <w:tcW w:w="557" w:type="dxa"/>
            <w:vMerge w:val="continue"/>
            <w:tcBorders>
              <w:top w:val="nil"/>
              <w:left w:val="single" w:color="auto" w:sz="8" w:space="0"/>
              <w:bottom w:val="single" w:color="auto" w:sz="8" w:space="0"/>
              <w:right w:val="single" w:color="auto" w:sz="8" w:space="0"/>
            </w:tcBorders>
            <w:tcMar>
              <w:left w:w="108" w:type="dxa"/>
              <w:right w:w="108" w:type="dxa"/>
            </w:tcMar>
            <w:vAlign w:val="center"/>
          </w:tcPr>
          <w:p>
            <w:pPr>
              <w:rPr>
                <w:sz w:val="20"/>
                <w:szCs w:val="20"/>
              </w:rPr>
            </w:pPr>
          </w:p>
        </w:tc>
        <w:tc>
          <w:tcPr>
            <w:tcW w:w="567" w:type="dxa"/>
            <w:tcBorders>
              <w:top w:val="nil"/>
              <w:left w:val="nil"/>
              <w:bottom w:val="single" w:color="auto" w:sz="8" w:space="0"/>
              <w:right w:val="single" w:color="auto" w:sz="8" w:space="0"/>
            </w:tcBorders>
            <w:tcMar>
              <w:left w:w="108" w:type="dxa"/>
              <w:right w:w="108" w:type="dxa"/>
            </w:tcMar>
            <w:vAlign w:val="center"/>
          </w:tcPr>
          <w:p>
            <w:pPr>
              <w:widowControl/>
              <w:spacing w:before="100" w:beforeAutospacing="1" w:after="160" w:line="20" w:lineRule="atLeast"/>
              <w:jc w:val="center"/>
              <w:rPr>
                <w:rFonts w:ascii="宋体" w:hAnsi="宋体" w:cs="宋体"/>
                <w:color w:val="555555"/>
                <w:kern w:val="0"/>
                <w:sz w:val="24"/>
              </w:rPr>
            </w:pPr>
            <w:r>
              <w:rPr>
                <w:rFonts w:hint="eastAsia" w:ascii="宋体" w:hAnsi="宋体" w:cs="Arial"/>
                <w:color w:val="555555"/>
                <w:kern w:val="0"/>
                <w:sz w:val="18"/>
                <w:szCs w:val="18"/>
                <w:lang w:bidi="ar"/>
              </w:rPr>
              <w:t>4</w:t>
            </w:r>
          </w:p>
        </w:tc>
        <w:tc>
          <w:tcPr>
            <w:tcW w:w="1702" w:type="dxa"/>
            <w:tcBorders>
              <w:top w:val="nil"/>
              <w:left w:val="nil"/>
              <w:bottom w:val="single" w:color="auto" w:sz="8" w:space="0"/>
              <w:right w:val="single" w:color="auto" w:sz="8" w:space="0"/>
            </w:tcBorders>
            <w:tcMar>
              <w:left w:w="108" w:type="dxa"/>
              <w:right w:w="108" w:type="dxa"/>
            </w:tcMar>
            <w:vAlign w:val="center"/>
          </w:tcPr>
          <w:p>
            <w:pPr>
              <w:widowControl/>
              <w:spacing w:before="100" w:beforeAutospacing="1" w:after="160" w:line="20" w:lineRule="atLeast"/>
              <w:jc w:val="center"/>
              <w:rPr>
                <w:rFonts w:ascii="宋体" w:hAnsi="宋体" w:cs="宋体"/>
                <w:color w:val="555555"/>
                <w:kern w:val="0"/>
                <w:sz w:val="24"/>
              </w:rPr>
            </w:pPr>
            <w:r>
              <w:rPr>
                <w:rFonts w:hint="eastAsia" w:ascii="宋体" w:hAnsi="宋体" w:cs="Arial"/>
                <w:color w:val="555555"/>
                <w:kern w:val="0"/>
                <w:sz w:val="18"/>
                <w:szCs w:val="18"/>
                <w:lang w:bidi="ar"/>
              </w:rPr>
              <w:t>拟采用设备（材料）的性能（节能环保情况）、档次及质量可靠性</w:t>
            </w:r>
          </w:p>
        </w:tc>
        <w:tc>
          <w:tcPr>
            <w:tcW w:w="709" w:type="dxa"/>
            <w:tcBorders>
              <w:top w:val="nil"/>
              <w:left w:val="nil"/>
              <w:bottom w:val="single" w:color="auto" w:sz="8" w:space="0"/>
              <w:right w:val="single" w:color="auto" w:sz="8" w:space="0"/>
            </w:tcBorders>
            <w:tcMar>
              <w:left w:w="108" w:type="dxa"/>
              <w:right w:w="108" w:type="dxa"/>
            </w:tcMar>
            <w:vAlign w:val="center"/>
          </w:tcPr>
          <w:p>
            <w:pPr>
              <w:widowControl/>
              <w:spacing w:before="100" w:beforeAutospacing="1" w:after="160" w:line="20" w:lineRule="atLeast"/>
              <w:jc w:val="center"/>
              <w:rPr>
                <w:rFonts w:ascii="宋体" w:hAnsi="宋体" w:cs="宋体"/>
                <w:color w:val="555555"/>
                <w:kern w:val="0"/>
                <w:sz w:val="24"/>
              </w:rPr>
            </w:pPr>
            <w:r>
              <w:rPr>
                <w:rFonts w:ascii="Arial" w:hAnsi="Arial" w:cs="Arial"/>
                <w:color w:val="555555"/>
                <w:kern w:val="0"/>
                <w:sz w:val="20"/>
                <w:szCs w:val="20"/>
                <w:lang w:bidi="ar"/>
              </w:rPr>
              <w:t>8</w:t>
            </w:r>
          </w:p>
        </w:tc>
        <w:tc>
          <w:tcPr>
            <w:tcW w:w="709" w:type="dxa"/>
            <w:tcBorders>
              <w:top w:val="nil"/>
              <w:left w:val="nil"/>
              <w:bottom w:val="single" w:color="auto" w:sz="8" w:space="0"/>
              <w:right w:val="single" w:color="auto" w:sz="8" w:space="0"/>
            </w:tcBorders>
            <w:tcMar>
              <w:left w:w="108" w:type="dxa"/>
              <w:right w:w="108" w:type="dxa"/>
            </w:tcMar>
            <w:vAlign w:val="center"/>
          </w:tcPr>
          <w:p>
            <w:pPr>
              <w:widowControl/>
              <w:spacing w:before="100" w:beforeAutospacing="1" w:after="160" w:line="20" w:lineRule="atLeast"/>
              <w:jc w:val="center"/>
              <w:rPr>
                <w:rFonts w:ascii="宋体" w:hAnsi="宋体" w:cs="宋体"/>
                <w:color w:val="555555"/>
                <w:kern w:val="0"/>
                <w:sz w:val="24"/>
              </w:rPr>
            </w:pPr>
            <w:r>
              <w:rPr>
                <w:rFonts w:hint="eastAsia" w:ascii="宋体" w:hAnsi="宋体" w:cs="Arial"/>
                <w:color w:val="555555"/>
                <w:kern w:val="0"/>
                <w:sz w:val="18"/>
                <w:szCs w:val="18"/>
                <w:lang w:bidi="ar"/>
              </w:rPr>
              <w:t>专家打分</w:t>
            </w:r>
          </w:p>
        </w:tc>
        <w:tc>
          <w:tcPr>
            <w:tcW w:w="4298" w:type="dxa"/>
            <w:tcBorders>
              <w:top w:val="nil"/>
              <w:left w:val="nil"/>
              <w:bottom w:val="single" w:color="auto" w:sz="8" w:space="0"/>
              <w:right w:val="single" w:color="auto" w:sz="8" w:space="0"/>
            </w:tcBorders>
            <w:tcMar>
              <w:left w:w="108" w:type="dxa"/>
              <w:right w:w="108" w:type="dxa"/>
            </w:tcMar>
            <w:vAlign w:val="center"/>
          </w:tcPr>
          <w:p>
            <w:pPr>
              <w:spacing w:after="160" w:line="240" w:lineRule="exact"/>
              <w:jc w:val="left"/>
              <w:rPr>
                <w:rFonts w:ascii="宋体" w:hAnsi="宋体" w:cs="宋体"/>
                <w:szCs w:val="21"/>
              </w:rPr>
            </w:pPr>
            <w:r>
              <w:rPr>
                <w:rFonts w:hint="eastAsia" w:ascii="宋体" w:hAnsi="宋体" w:cs="宋体"/>
                <w:szCs w:val="21"/>
                <w:lang w:bidi="ar"/>
              </w:rPr>
              <w:t>评审内容：拟采用设备（材料）的性能（节能环保情况）、档次及质量可靠性：</w:t>
            </w:r>
          </w:p>
          <w:p>
            <w:pPr>
              <w:numPr>
                <w:ilvl w:val="0"/>
                <w:numId w:val="4"/>
              </w:numPr>
              <w:spacing w:after="160" w:line="240" w:lineRule="exact"/>
              <w:jc w:val="left"/>
              <w:rPr>
                <w:rFonts w:ascii="宋体" w:hAnsi="宋体" w:cs="宋体"/>
                <w:szCs w:val="21"/>
                <w:lang w:bidi="ar"/>
              </w:rPr>
            </w:pPr>
            <w:r>
              <w:rPr>
                <w:rFonts w:hint="eastAsia" w:ascii="宋体" w:hAnsi="宋体" w:cs="宋体"/>
                <w:szCs w:val="21"/>
                <w:lang w:bidi="ar"/>
              </w:rPr>
              <w:t>投标人承诺使用的主要设备/材料（包括内墙涂料、外墙涂料、水泥）的性能、品牌、质量满足或优于有关技术标准的得60分；基本满足的得48分；部分满足得36分；不符合要求或未提供的不得分；</w:t>
            </w:r>
          </w:p>
          <w:p>
            <w:pPr>
              <w:numPr>
                <w:ilvl w:val="0"/>
                <w:numId w:val="4"/>
              </w:numPr>
              <w:spacing w:after="160" w:line="240" w:lineRule="exact"/>
              <w:jc w:val="left"/>
              <w:rPr>
                <w:rFonts w:ascii="宋体" w:hAnsi="宋体" w:cs="宋体"/>
                <w:szCs w:val="21"/>
                <w:lang w:bidi="ar"/>
              </w:rPr>
            </w:pPr>
            <w:r>
              <w:rPr>
                <w:rFonts w:ascii="宋体" w:hAnsi="宋体"/>
              </w:rPr>
              <w:t>提供内墙涂料检测报告并且检验结果合格得</w:t>
            </w:r>
            <w:r>
              <w:rPr>
                <w:rFonts w:hint="eastAsia" w:ascii="宋体" w:hAnsi="宋体"/>
              </w:rPr>
              <w:t>40</w:t>
            </w:r>
            <w:r>
              <w:rPr>
                <w:rFonts w:ascii="宋体" w:hAnsi="宋体"/>
              </w:rPr>
              <w:t>分</w:t>
            </w:r>
            <w:r>
              <w:rPr>
                <w:rFonts w:hint="eastAsia" w:ascii="宋体" w:hAnsi="宋体"/>
              </w:rPr>
              <w:t>,未提供则</w:t>
            </w:r>
            <w:r>
              <w:rPr>
                <w:rFonts w:ascii="宋体" w:hAnsi="宋体"/>
              </w:rPr>
              <w:t>不得分</w:t>
            </w:r>
            <w:r>
              <w:rPr>
                <w:rFonts w:hint="eastAsia" w:ascii="宋体" w:hAnsi="宋体"/>
              </w:rPr>
              <w:t>。</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20" w:hRule="atLeast"/>
          <w:jc w:val="center"/>
        </w:trPr>
        <w:tc>
          <w:tcPr>
            <w:tcW w:w="557" w:type="dxa"/>
            <w:vMerge w:val="continue"/>
            <w:tcBorders>
              <w:top w:val="nil"/>
              <w:left w:val="single" w:color="auto" w:sz="8" w:space="0"/>
              <w:bottom w:val="single" w:color="auto" w:sz="8" w:space="0"/>
              <w:right w:val="single" w:color="auto" w:sz="8" w:space="0"/>
            </w:tcBorders>
            <w:tcMar>
              <w:left w:w="108" w:type="dxa"/>
              <w:right w:w="108" w:type="dxa"/>
            </w:tcMar>
            <w:vAlign w:val="center"/>
          </w:tcPr>
          <w:p>
            <w:pPr>
              <w:rPr>
                <w:sz w:val="20"/>
                <w:szCs w:val="20"/>
              </w:rPr>
            </w:pPr>
          </w:p>
        </w:tc>
        <w:tc>
          <w:tcPr>
            <w:tcW w:w="567" w:type="dxa"/>
            <w:tcBorders>
              <w:top w:val="nil"/>
              <w:left w:val="nil"/>
              <w:bottom w:val="single" w:color="auto" w:sz="8" w:space="0"/>
              <w:right w:val="single" w:color="auto" w:sz="8" w:space="0"/>
            </w:tcBorders>
            <w:tcMar>
              <w:left w:w="108" w:type="dxa"/>
              <w:right w:w="108" w:type="dxa"/>
            </w:tcMar>
            <w:vAlign w:val="center"/>
          </w:tcPr>
          <w:p>
            <w:pPr>
              <w:widowControl/>
              <w:spacing w:before="100" w:beforeAutospacing="1" w:after="160" w:line="20" w:lineRule="atLeast"/>
              <w:jc w:val="center"/>
              <w:rPr>
                <w:rFonts w:ascii="宋体" w:hAnsi="宋体" w:cs="宋体"/>
                <w:color w:val="555555"/>
                <w:kern w:val="0"/>
                <w:sz w:val="24"/>
              </w:rPr>
            </w:pPr>
            <w:r>
              <w:rPr>
                <w:rFonts w:hint="eastAsia" w:ascii="宋体" w:hAnsi="宋体" w:cs="Arial"/>
                <w:color w:val="555555"/>
                <w:kern w:val="0"/>
                <w:sz w:val="18"/>
                <w:szCs w:val="18"/>
                <w:lang w:bidi="ar"/>
              </w:rPr>
              <w:t>5</w:t>
            </w:r>
          </w:p>
        </w:tc>
        <w:tc>
          <w:tcPr>
            <w:tcW w:w="1702" w:type="dxa"/>
            <w:tcBorders>
              <w:top w:val="nil"/>
              <w:left w:val="nil"/>
              <w:bottom w:val="single" w:color="auto" w:sz="8" w:space="0"/>
              <w:right w:val="single" w:color="auto" w:sz="8" w:space="0"/>
            </w:tcBorders>
            <w:tcMar>
              <w:left w:w="108" w:type="dxa"/>
              <w:right w:w="108" w:type="dxa"/>
            </w:tcMar>
            <w:vAlign w:val="center"/>
          </w:tcPr>
          <w:p>
            <w:pPr>
              <w:widowControl/>
              <w:spacing w:before="100" w:beforeAutospacing="1" w:after="160" w:line="20" w:lineRule="atLeast"/>
              <w:jc w:val="center"/>
              <w:rPr>
                <w:rFonts w:ascii="宋体" w:hAnsi="宋体" w:cs="宋体"/>
                <w:color w:val="555555"/>
                <w:kern w:val="0"/>
                <w:sz w:val="24"/>
              </w:rPr>
            </w:pPr>
            <w:r>
              <w:rPr>
                <w:rFonts w:hint="eastAsia" w:ascii="宋体" w:hAnsi="宋体" w:cs="Arial"/>
                <w:color w:val="555555"/>
                <w:kern w:val="0"/>
                <w:sz w:val="18"/>
                <w:szCs w:val="18"/>
                <w:lang w:bidi="ar"/>
              </w:rPr>
              <w:t>拟投入劳动力（项目经理、技术人员、管理班子、机械设备、场地）情况</w:t>
            </w:r>
          </w:p>
        </w:tc>
        <w:tc>
          <w:tcPr>
            <w:tcW w:w="709" w:type="dxa"/>
            <w:tcBorders>
              <w:top w:val="nil"/>
              <w:left w:val="nil"/>
              <w:bottom w:val="single" w:color="auto" w:sz="8" w:space="0"/>
              <w:right w:val="single" w:color="auto" w:sz="8" w:space="0"/>
            </w:tcBorders>
            <w:tcMar>
              <w:left w:w="108" w:type="dxa"/>
              <w:right w:w="108" w:type="dxa"/>
            </w:tcMar>
            <w:vAlign w:val="center"/>
          </w:tcPr>
          <w:p>
            <w:pPr>
              <w:widowControl/>
              <w:spacing w:before="100" w:beforeAutospacing="1" w:after="160" w:line="20" w:lineRule="atLeast"/>
              <w:jc w:val="center"/>
              <w:rPr>
                <w:rFonts w:ascii="宋体" w:hAnsi="宋体" w:cs="宋体"/>
                <w:color w:val="555555"/>
                <w:kern w:val="0"/>
                <w:sz w:val="24"/>
              </w:rPr>
            </w:pPr>
            <w:r>
              <w:rPr>
                <w:rFonts w:ascii="Arial" w:hAnsi="Arial" w:cs="Arial"/>
                <w:color w:val="555555"/>
                <w:kern w:val="0"/>
                <w:sz w:val="20"/>
                <w:szCs w:val="20"/>
                <w:lang w:bidi="ar"/>
              </w:rPr>
              <w:t>5</w:t>
            </w:r>
          </w:p>
        </w:tc>
        <w:tc>
          <w:tcPr>
            <w:tcW w:w="709" w:type="dxa"/>
            <w:tcBorders>
              <w:top w:val="nil"/>
              <w:left w:val="nil"/>
              <w:bottom w:val="single" w:color="auto" w:sz="8" w:space="0"/>
              <w:right w:val="single" w:color="auto" w:sz="8" w:space="0"/>
            </w:tcBorders>
            <w:tcMar>
              <w:left w:w="108" w:type="dxa"/>
              <w:right w:w="108" w:type="dxa"/>
            </w:tcMar>
            <w:vAlign w:val="center"/>
          </w:tcPr>
          <w:p>
            <w:pPr>
              <w:widowControl/>
              <w:spacing w:before="100" w:beforeAutospacing="1" w:after="160" w:line="20" w:lineRule="atLeast"/>
              <w:jc w:val="center"/>
              <w:rPr>
                <w:rFonts w:ascii="宋体" w:hAnsi="宋体" w:cs="宋体"/>
                <w:color w:val="555555"/>
                <w:kern w:val="0"/>
                <w:sz w:val="24"/>
              </w:rPr>
            </w:pPr>
            <w:r>
              <w:rPr>
                <w:rFonts w:hint="eastAsia" w:ascii="宋体" w:hAnsi="宋体" w:cs="Arial"/>
                <w:color w:val="555555"/>
                <w:kern w:val="0"/>
                <w:sz w:val="18"/>
                <w:szCs w:val="18"/>
                <w:lang w:bidi="ar"/>
              </w:rPr>
              <w:t>专家打分</w:t>
            </w:r>
          </w:p>
        </w:tc>
        <w:tc>
          <w:tcPr>
            <w:tcW w:w="4298" w:type="dxa"/>
            <w:tcBorders>
              <w:top w:val="nil"/>
              <w:left w:val="nil"/>
              <w:bottom w:val="single" w:color="auto" w:sz="8" w:space="0"/>
              <w:right w:val="single" w:color="auto" w:sz="8" w:space="0"/>
            </w:tcBorders>
            <w:tcMar>
              <w:left w:w="108" w:type="dxa"/>
              <w:right w:w="108" w:type="dxa"/>
            </w:tcMar>
            <w:vAlign w:val="center"/>
          </w:tcPr>
          <w:p>
            <w:pPr>
              <w:snapToGrid w:val="0"/>
              <w:spacing w:line="360" w:lineRule="auto"/>
              <w:jc w:val="left"/>
              <w:rPr>
                <w:color w:val="000000"/>
                <w:szCs w:val="21"/>
              </w:rPr>
            </w:pPr>
            <w:r>
              <w:rPr>
                <w:color w:val="000000"/>
                <w:szCs w:val="21"/>
                <w:lang w:bidi="ar"/>
              </w:rPr>
              <w:t>1</w:t>
            </w:r>
            <w:r>
              <w:rPr>
                <w:rFonts w:hint="eastAsia" w:cs="宋体"/>
                <w:color w:val="000000"/>
                <w:szCs w:val="21"/>
                <w:lang w:bidi="ar"/>
              </w:rPr>
              <w:t>、项目经理具有一级建造师执业资格（建筑工程专业）得</w:t>
            </w:r>
            <w:r>
              <w:rPr>
                <w:color w:val="000000"/>
                <w:szCs w:val="21"/>
                <w:lang w:bidi="ar"/>
              </w:rPr>
              <w:t>60</w:t>
            </w:r>
            <w:r>
              <w:rPr>
                <w:rFonts w:hint="eastAsia" w:cs="宋体"/>
                <w:color w:val="000000"/>
                <w:szCs w:val="21"/>
                <w:lang w:bidi="ar"/>
              </w:rPr>
              <w:t>分数；</w:t>
            </w:r>
          </w:p>
          <w:p>
            <w:pPr>
              <w:snapToGrid w:val="0"/>
              <w:spacing w:line="360" w:lineRule="auto"/>
              <w:jc w:val="left"/>
              <w:rPr>
                <w:color w:val="000000"/>
                <w:szCs w:val="21"/>
              </w:rPr>
            </w:pPr>
            <w:r>
              <w:rPr>
                <w:color w:val="000000"/>
                <w:szCs w:val="21"/>
                <w:lang w:bidi="ar"/>
              </w:rPr>
              <w:t>2</w:t>
            </w:r>
            <w:r>
              <w:rPr>
                <w:rFonts w:hint="eastAsia" w:cs="宋体"/>
                <w:color w:val="000000"/>
                <w:szCs w:val="21"/>
                <w:lang w:bidi="ar"/>
              </w:rPr>
              <w:t>、拟安排项目团队（项目经理除外）：工程师（房建专业）</w:t>
            </w:r>
            <w:r>
              <w:rPr>
                <w:color w:val="000000"/>
                <w:szCs w:val="21"/>
                <w:lang w:bidi="ar"/>
              </w:rPr>
              <w:t>5</w:t>
            </w:r>
            <w:r>
              <w:rPr>
                <w:rFonts w:hint="eastAsia" w:cs="宋体"/>
                <w:color w:val="000000"/>
                <w:szCs w:val="21"/>
                <w:lang w:bidi="ar"/>
              </w:rPr>
              <w:t>分</w:t>
            </w:r>
            <w:r>
              <w:rPr>
                <w:color w:val="000000"/>
                <w:szCs w:val="21"/>
                <w:lang w:bidi="ar"/>
              </w:rPr>
              <w:t>/</w:t>
            </w:r>
            <w:r>
              <w:rPr>
                <w:rFonts w:hint="eastAsia" w:cs="宋体"/>
                <w:color w:val="000000"/>
                <w:szCs w:val="21"/>
                <w:lang w:bidi="ar"/>
              </w:rPr>
              <w:t>人，安全员</w:t>
            </w:r>
            <w:r>
              <w:rPr>
                <w:color w:val="000000"/>
                <w:szCs w:val="21"/>
                <w:lang w:bidi="ar"/>
              </w:rPr>
              <w:t>5</w:t>
            </w:r>
            <w:r>
              <w:rPr>
                <w:rFonts w:hint="eastAsia" w:cs="宋体"/>
                <w:color w:val="000000"/>
                <w:szCs w:val="21"/>
                <w:lang w:bidi="ar"/>
              </w:rPr>
              <w:t>分</w:t>
            </w:r>
            <w:r>
              <w:rPr>
                <w:color w:val="000000"/>
                <w:szCs w:val="21"/>
                <w:lang w:bidi="ar"/>
              </w:rPr>
              <w:t>/</w:t>
            </w:r>
            <w:r>
              <w:rPr>
                <w:rFonts w:hint="eastAsia" w:cs="宋体"/>
                <w:color w:val="000000"/>
                <w:szCs w:val="21"/>
                <w:lang w:bidi="ar"/>
              </w:rPr>
              <w:t>人，建造师执业资格</w:t>
            </w:r>
            <w:r>
              <w:rPr>
                <w:color w:val="000000"/>
                <w:szCs w:val="21"/>
                <w:lang w:bidi="ar"/>
              </w:rPr>
              <w:t>5</w:t>
            </w:r>
            <w:r>
              <w:rPr>
                <w:rFonts w:hint="eastAsia" w:cs="宋体"/>
                <w:color w:val="000000"/>
                <w:szCs w:val="21"/>
                <w:lang w:bidi="ar"/>
              </w:rPr>
              <w:t>分</w:t>
            </w:r>
            <w:r>
              <w:rPr>
                <w:color w:val="000000"/>
                <w:szCs w:val="21"/>
                <w:lang w:bidi="ar"/>
              </w:rPr>
              <w:t>/</w:t>
            </w:r>
            <w:r>
              <w:rPr>
                <w:rFonts w:hint="eastAsia" w:cs="宋体"/>
                <w:color w:val="000000"/>
                <w:szCs w:val="21"/>
                <w:lang w:bidi="ar"/>
              </w:rPr>
              <w:t>人，造价员</w:t>
            </w:r>
            <w:r>
              <w:rPr>
                <w:color w:val="000000"/>
                <w:szCs w:val="21"/>
                <w:lang w:bidi="ar"/>
              </w:rPr>
              <w:t>5</w:t>
            </w:r>
            <w:r>
              <w:rPr>
                <w:rFonts w:hint="eastAsia" w:cs="宋体"/>
                <w:color w:val="000000"/>
                <w:szCs w:val="21"/>
                <w:lang w:bidi="ar"/>
              </w:rPr>
              <w:t>分</w:t>
            </w:r>
            <w:r>
              <w:rPr>
                <w:color w:val="000000"/>
                <w:szCs w:val="21"/>
                <w:lang w:bidi="ar"/>
              </w:rPr>
              <w:t>/</w:t>
            </w:r>
            <w:r>
              <w:rPr>
                <w:rFonts w:hint="eastAsia" w:cs="宋体"/>
                <w:color w:val="000000"/>
                <w:szCs w:val="21"/>
                <w:lang w:bidi="ar"/>
              </w:rPr>
              <w:t>人，最高</w:t>
            </w:r>
            <w:r>
              <w:rPr>
                <w:color w:val="000000"/>
                <w:szCs w:val="21"/>
                <w:lang w:bidi="ar"/>
              </w:rPr>
              <w:t>40</w:t>
            </w:r>
            <w:r>
              <w:rPr>
                <w:rFonts w:hint="eastAsia" w:cs="宋体"/>
                <w:color w:val="000000"/>
                <w:szCs w:val="21"/>
                <w:lang w:bidi="ar"/>
              </w:rPr>
              <w:t>分。一人员满足不同条件只计一次分。</w:t>
            </w:r>
          </w:p>
          <w:p>
            <w:pPr>
              <w:snapToGrid w:val="0"/>
              <w:spacing w:line="360" w:lineRule="auto"/>
              <w:jc w:val="left"/>
              <w:rPr>
                <w:color w:val="000000"/>
                <w:szCs w:val="21"/>
              </w:rPr>
            </w:pPr>
            <w:r>
              <w:rPr>
                <w:rFonts w:hint="eastAsia" w:cs="宋体"/>
                <w:color w:val="000000"/>
                <w:szCs w:val="21"/>
                <w:lang w:bidi="ar"/>
              </w:rPr>
              <w:t>注：</w:t>
            </w:r>
          </w:p>
          <w:p>
            <w:pPr>
              <w:snapToGrid w:val="0"/>
              <w:spacing w:line="360" w:lineRule="auto"/>
              <w:jc w:val="left"/>
              <w:rPr>
                <w:color w:val="000000"/>
                <w:szCs w:val="21"/>
              </w:rPr>
            </w:pPr>
            <w:r>
              <w:rPr>
                <w:color w:val="000000"/>
                <w:szCs w:val="21"/>
                <w:lang w:bidi="ar"/>
              </w:rPr>
              <w:t>1..</w:t>
            </w:r>
            <w:r>
              <w:rPr>
                <w:rFonts w:hint="eastAsia" w:cs="宋体"/>
                <w:color w:val="000000"/>
                <w:szCs w:val="21"/>
                <w:lang w:bidi="ar"/>
              </w:rPr>
              <w:t>要求提供</w:t>
            </w:r>
            <w:r>
              <w:rPr>
                <w:rFonts w:hint="eastAsia" w:cs="宋体"/>
                <w:lang w:bidi="ar"/>
              </w:rPr>
              <w:t>聘任</w:t>
            </w:r>
            <w:r>
              <w:rPr>
                <w:rFonts w:hint="eastAsia" w:cs="宋体"/>
                <w:color w:val="000000"/>
                <w:szCs w:val="21"/>
                <w:lang w:bidi="ar"/>
              </w:rPr>
              <w:t>合同关键页、资格（职称）证书扫描件等证明材料并加盖投标人公章。</w:t>
            </w:r>
          </w:p>
          <w:p>
            <w:pPr>
              <w:widowControl/>
              <w:jc w:val="left"/>
            </w:pPr>
            <w:r>
              <w:rPr>
                <w:color w:val="000000"/>
                <w:szCs w:val="21"/>
                <w:lang w:bidi="ar"/>
              </w:rPr>
              <w:t>2.</w:t>
            </w:r>
            <w:r>
              <w:rPr>
                <w:rFonts w:hint="eastAsia" w:cs="宋体"/>
                <w:color w:val="000000"/>
                <w:szCs w:val="21"/>
                <w:lang w:bidi="ar"/>
              </w:rPr>
              <w:t>评分中出现无证明资料或专家无法凭所提供资料判断是否得分的情况，一律作不得分处理。</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20" w:hRule="atLeast"/>
          <w:jc w:val="center"/>
        </w:trPr>
        <w:tc>
          <w:tcPr>
            <w:tcW w:w="557" w:type="dxa"/>
            <w:vMerge w:val="continue"/>
            <w:tcBorders>
              <w:top w:val="nil"/>
              <w:left w:val="single" w:color="auto" w:sz="8" w:space="0"/>
              <w:bottom w:val="single" w:color="auto" w:sz="8" w:space="0"/>
              <w:right w:val="single" w:color="auto" w:sz="8" w:space="0"/>
            </w:tcBorders>
            <w:tcMar>
              <w:left w:w="108" w:type="dxa"/>
              <w:right w:w="108" w:type="dxa"/>
            </w:tcMar>
            <w:vAlign w:val="center"/>
          </w:tcPr>
          <w:p>
            <w:pPr>
              <w:rPr>
                <w:sz w:val="20"/>
                <w:szCs w:val="20"/>
              </w:rPr>
            </w:pPr>
          </w:p>
        </w:tc>
        <w:tc>
          <w:tcPr>
            <w:tcW w:w="567" w:type="dxa"/>
            <w:tcBorders>
              <w:top w:val="nil"/>
              <w:left w:val="nil"/>
              <w:bottom w:val="single" w:color="auto" w:sz="8" w:space="0"/>
              <w:right w:val="single" w:color="auto" w:sz="8" w:space="0"/>
            </w:tcBorders>
            <w:tcMar>
              <w:left w:w="108" w:type="dxa"/>
              <w:right w:w="108" w:type="dxa"/>
            </w:tcMar>
            <w:vAlign w:val="center"/>
          </w:tcPr>
          <w:p>
            <w:pPr>
              <w:widowControl/>
              <w:spacing w:before="100" w:beforeAutospacing="1" w:after="160" w:line="20" w:lineRule="atLeast"/>
              <w:jc w:val="center"/>
              <w:rPr>
                <w:rFonts w:ascii="宋体" w:hAnsi="宋体" w:cs="宋体"/>
                <w:color w:val="555555"/>
                <w:kern w:val="0"/>
                <w:sz w:val="24"/>
              </w:rPr>
            </w:pPr>
            <w:r>
              <w:rPr>
                <w:rFonts w:hint="eastAsia" w:ascii="宋体" w:hAnsi="宋体" w:cs="Arial"/>
                <w:color w:val="555555"/>
                <w:kern w:val="0"/>
                <w:sz w:val="18"/>
                <w:szCs w:val="18"/>
                <w:lang w:bidi="ar"/>
              </w:rPr>
              <w:t>6</w:t>
            </w:r>
          </w:p>
        </w:tc>
        <w:tc>
          <w:tcPr>
            <w:tcW w:w="1702" w:type="dxa"/>
            <w:tcBorders>
              <w:top w:val="nil"/>
              <w:left w:val="nil"/>
              <w:bottom w:val="single" w:color="auto" w:sz="8" w:space="0"/>
              <w:right w:val="single" w:color="auto" w:sz="8" w:space="0"/>
            </w:tcBorders>
            <w:tcMar>
              <w:left w:w="108" w:type="dxa"/>
              <w:right w:w="108" w:type="dxa"/>
            </w:tcMar>
            <w:vAlign w:val="center"/>
          </w:tcPr>
          <w:p>
            <w:pPr>
              <w:widowControl/>
              <w:spacing w:before="100" w:beforeAutospacing="1" w:after="160" w:line="20" w:lineRule="atLeast"/>
              <w:jc w:val="center"/>
              <w:rPr>
                <w:rFonts w:ascii="宋体" w:hAnsi="宋体" w:cs="宋体"/>
                <w:color w:val="555555"/>
                <w:kern w:val="0"/>
                <w:sz w:val="24"/>
              </w:rPr>
            </w:pPr>
            <w:r>
              <w:rPr>
                <w:rFonts w:hint="eastAsia" w:ascii="宋体" w:hAnsi="宋体" w:cs="Arial"/>
                <w:color w:val="555555"/>
                <w:kern w:val="0"/>
                <w:sz w:val="18"/>
                <w:szCs w:val="18"/>
                <w:lang w:bidi="ar"/>
              </w:rPr>
              <w:t>施工质量（安全、环保、工期、售后服务）保障措施及相关的违约承诺</w:t>
            </w:r>
          </w:p>
        </w:tc>
        <w:tc>
          <w:tcPr>
            <w:tcW w:w="709" w:type="dxa"/>
            <w:tcBorders>
              <w:top w:val="nil"/>
              <w:left w:val="nil"/>
              <w:bottom w:val="single" w:color="auto" w:sz="8" w:space="0"/>
              <w:right w:val="single" w:color="auto" w:sz="8" w:space="0"/>
            </w:tcBorders>
            <w:tcMar>
              <w:left w:w="108" w:type="dxa"/>
              <w:right w:w="108" w:type="dxa"/>
            </w:tcMar>
            <w:vAlign w:val="center"/>
          </w:tcPr>
          <w:p>
            <w:pPr>
              <w:widowControl/>
              <w:spacing w:before="100" w:beforeAutospacing="1" w:after="160" w:line="20" w:lineRule="atLeast"/>
              <w:jc w:val="center"/>
              <w:rPr>
                <w:rFonts w:ascii="宋体" w:hAnsi="宋体" w:cs="宋体"/>
                <w:color w:val="555555"/>
                <w:kern w:val="0"/>
                <w:sz w:val="24"/>
              </w:rPr>
            </w:pPr>
            <w:r>
              <w:rPr>
                <w:rFonts w:hint="eastAsia" w:ascii="Arial" w:hAnsi="Arial" w:cs="Arial"/>
                <w:color w:val="555555"/>
                <w:kern w:val="0"/>
                <w:sz w:val="18"/>
                <w:szCs w:val="18"/>
                <w:lang w:bidi="ar"/>
              </w:rPr>
              <w:t>8</w:t>
            </w:r>
          </w:p>
        </w:tc>
        <w:tc>
          <w:tcPr>
            <w:tcW w:w="709" w:type="dxa"/>
            <w:tcBorders>
              <w:top w:val="nil"/>
              <w:left w:val="nil"/>
              <w:bottom w:val="single" w:color="auto" w:sz="8" w:space="0"/>
              <w:right w:val="single" w:color="auto" w:sz="8" w:space="0"/>
            </w:tcBorders>
            <w:tcMar>
              <w:left w:w="108" w:type="dxa"/>
              <w:right w:w="108" w:type="dxa"/>
            </w:tcMar>
            <w:vAlign w:val="center"/>
          </w:tcPr>
          <w:p>
            <w:pPr>
              <w:widowControl/>
              <w:spacing w:before="100" w:beforeAutospacing="1" w:after="160" w:line="20" w:lineRule="atLeast"/>
              <w:jc w:val="center"/>
              <w:rPr>
                <w:rFonts w:ascii="宋体" w:hAnsi="宋体" w:cs="宋体"/>
                <w:color w:val="555555"/>
                <w:kern w:val="0"/>
                <w:sz w:val="24"/>
              </w:rPr>
            </w:pPr>
            <w:r>
              <w:rPr>
                <w:rFonts w:hint="eastAsia" w:ascii="宋体" w:hAnsi="宋体" w:cs="Arial"/>
                <w:color w:val="555555"/>
                <w:kern w:val="0"/>
                <w:sz w:val="18"/>
                <w:szCs w:val="18"/>
                <w:lang w:bidi="ar"/>
              </w:rPr>
              <w:t>专家评分</w:t>
            </w:r>
          </w:p>
        </w:tc>
        <w:tc>
          <w:tcPr>
            <w:tcW w:w="4298" w:type="dxa"/>
            <w:tcBorders>
              <w:top w:val="nil"/>
              <w:left w:val="nil"/>
              <w:bottom w:val="single" w:color="auto" w:sz="8" w:space="0"/>
              <w:right w:val="single" w:color="auto" w:sz="8" w:space="0"/>
            </w:tcBorders>
            <w:tcMar>
              <w:left w:w="108" w:type="dxa"/>
              <w:right w:w="108" w:type="dxa"/>
            </w:tcMar>
            <w:vAlign w:val="center"/>
          </w:tcPr>
          <w:p>
            <w:pPr>
              <w:snapToGrid w:val="0"/>
              <w:spacing w:line="360" w:lineRule="auto"/>
              <w:jc w:val="left"/>
              <w:rPr>
                <w:rFonts w:cs="宋体"/>
                <w:color w:val="000000"/>
                <w:szCs w:val="21"/>
                <w:lang w:bidi="ar"/>
              </w:rPr>
            </w:pPr>
            <w:r>
              <w:rPr>
                <w:rFonts w:hint="eastAsia" w:ascii="宋体" w:hAnsi="宋体" w:cs="宋体"/>
                <w:szCs w:val="21"/>
                <w:lang w:bidi="ar"/>
              </w:rPr>
              <w:t>评审内容：施工质量（安全、环保、工期、售后服</w:t>
            </w:r>
            <w:r>
              <w:rPr>
                <w:rFonts w:hint="eastAsia" w:cs="宋体"/>
                <w:color w:val="000000"/>
                <w:szCs w:val="21"/>
                <w:lang w:bidi="ar"/>
              </w:rPr>
              <w:t>务）保障措施及相关的违约承诺</w:t>
            </w:r>
          </w:p>
          <w:p>
            <w:pPr>
              <w:snapToGrid w:val="0"/>
              <w:spacing w:line="360" w:lineRule="auto"/>
              <w:jc w:val="left"/>
              <w:rPr>
                <w:rFonts w:cs="宋体"/>
                <w:color w:val="000000"/>
                <w:szCs w:val="21"/>
                <w:lang w:bidi="ar"/>
              </w:rPr>
            </w:pPr>
            <w:r>
              <w:rPr>
                <w:rFonts w:hint="eastAsia" w:cs="宋体"/>
                <w:color w:val="000000"/>
                <w:szCs w:val="21"/>
                <w:lang w:bidi="ar"/>
              </w:rPr>
              <w:t>（1）施工安全保障措施完整；</w:t>
            </w:r>
          </w:p>
          <w:p>
            <w:pPr>
              <w:snapToGrid w:val="0"/>
              <w:spacing w:line="360" w:lineRule="auto"/>
              <w:jc w:val="left"/>
              <w:rPr>
                <w:rFonts w:cs="宋体"/>
                <w:color w:val="000000"/>
                <w:szCs w:val="21"/>
                <w:lang w:bidi="ar"/>
              </w:rPr>
            </w:pPr>
            <w:r>
              <w:rPr>
                <w:rFonts w:hint="eastAsia" w:cs="宋体"/>
                <w:color w:val="000000"/>
                <w:szCs w:val="21"/>
                <w:lang w:bidi="ar"/>
              </w:rPr>
              <w:t>（2）施工工期保障有力（提供油漆班组人员名单）；</w:t>
            </w:r>
          </w:p>
          <w:p>
            <w:pPr>
              <w:snapToGrid w:val="0"/>
              <w:spacing w:line="360" w:lineRule="auto"/>
              <w:jc w:val="left"/>
              <w:rPr>
                <w:rFonts w:cs="宋体"/>
                <w:color w:val="000000"/>
                <w:szCs w:val="21"/>
                <w:lang w:bidi="ar"/>
              </w:rPr>
            </w:pPr>
            <w:r>
              <w:rPr>
                <w:rFonts w:hint="eastAsia" w:cs="宋体"/>
                <w:color w:val="000000"/>
                <w:szCs w:val="21"/>
                <w:lang w:bidi="ar"/>
              </w:rPr>
              <w:t>（3）保修服务切实可行。</w:t>
            </w:r>
          </w:p>
          <w:p>
            <w:pPr>
              <w:snapToGrid w:val="0"/>
              <w:spacing w:line="360" w:lineRule="auto"/>
              <w:jc w:val="left"/>
              <w:rPr>
                <w:rFonts w:cs="宋体"/>
                <w:color w:val="000000"/>
                <w:szCs w:val="21"/>
                <w:lang w:bidi="ar"/>
              </w:rPr>
            </w:pPr>
            <w:r>
              <w:rPr>
                <w:rFonts w:hint="eastAsia" w:cs="宋体"/>
                <w:color w:val="000000"/>
                <w:szCs w:val="21"/>
                <w:lang w:bidi="ar"/>
              </w:rPr>
              <w:t>评标委员会根据响应情况评分：满足以上三项得优，满足两项得良，满足一项得中，其他情况不得分。</w:t>
            </w:r>
          </w:p>
          <w:p>
            <w:pPr>
              <w:snapToGrid w:val="0"/>
              <w:spacing w:line="360" w:lineRule="auto"/>
              <w:jc w:val="left"/>
              <w:rPr>
                <w:rFonts w:ascii="宋体" w:hAnsi="宋体" w:cs="宋体"/>
                <w:color w:val="555555"/>
                <w:kern w:val="0"/>
                <w:sz w:val="24"/>
              </w:rPr>
            </w:pPr>
            <w:r>
              <w:rPr>
                <w:rFonts w:hint="eastAsia" w:cs="宋体"/>
                <w:color w:val="000000"/>
                <w:szCs w:val="21"/>
                <w:lang w:bidi="ar"/>
              </w:rPr>
              <w:t>在投标文件中详细说明响应情况，评标委员会根据响应情况评分：评价为优得100分；评价为良得80分；评价为中得60分；评价为差不得分。专家按百分制打分。</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411" w:hRule="atLeast"/>
          <w:jc w:val="center"/>
        </w:trPr>
        <w:tc>
          <w:tcPr>
            <w:tcW w:w="557" w:type="dxa"/>
            <w:tcBorders>
              <w:top w:val="nil"/>
              <w:left w:val="single" w:color="auto" w:sz="8" w:space="0"/>
              <w:bottom w:val="single" w:color="auto" w:sz="8" w:space="0"/>
              <w:right w:val="single" w:color="auto" w:sz="8" w:space="0"/>
            </w:tcBorders>
            <w:tcMar>
              <w:left w:w="108" w:type="dxa"/>
              <w:right w:w="108" w:type="dxa"/>
            </w:tcMar>
            <w:vAlign w:val="center"/>
          </w:tcPr>
          <w:p>
            <w:pPr>
              <w:widowControl/>
              <w:spacing w:before="100" w:beforeAutospacing="1" w:after="160" w:line="240" w:lineRule="atLeast"/>
              <w:jc w:val="center"/>
              <w:rPr>
                <w:rFonts w:ascii="宋体" w:hAnsi="宋体" w:cs="宋体"/>
                <w:color w:val="555555"/>
                <w:kern w:val="0"/>
                <w:sz w:val="24"/>
              </w:rPr>
            </w:pPr>
            <w:r>
              <w:rPr>
                <w:rFonts w:hint="eastAsia" w:ascii="宋体" w:hAnsi="宋体" w:cs="Arial"/>
                <w:color w:val="555555"/>
                <w:kern w:val="0"/>
                <w:sz w:val="18"/>
                <w:szCs w:val="18"/>
                <w:lang w:bidi="ar"/>
              </w:rPr>
              <w:t>3</w:t>
            </w:r>
          </w:p>
        </w:tc>
        <w:tc>
          <w:tcPr>
            <w:tcW w:w="3686" w:type="dxa"/>
            <w:gridSpan w:val="4"/>
            <w:tcBorders>
              <w:top w:val="nil"/>
              <w:left w:val="nil"/>
              <w:bottom w:val="single" w:color="auto" w:sz="8" w:space="0"/>
              <w:right w:val="single" w:color="auto" w:sz="8" w:space="0"/>
            </w:tcBorders>
            <w:tcMar>
              <w:left w:w="108" w:type="dxa"/>
              <w:right w:w="108" w:type="dxa"/>
            </w:tcMar>
            <w:vAlign w:val="center"/>
          </w:tcPr>
          <w:p>
            <w:pPr>
              <w:widowControl/>
              <w:spacing w:before="100" w:beforeAutospacing="1" w:after="160" w:line="240" w:lineRule="atLeast"/>
              <w:jc w:val="center"/>
              <w:rPr>
                <w:rFonts w:ascii="宋体" w:hAnsi="宋体" w:cs="宋体"/>
                <w:color w:val="555555"/>
                <w:kern w:val="0"/>
                <w:sz w:val="24"/>
              </w:rPr>
            </w:pPr>
            <w:r>
              <w:rPr>
                <w:rFonts w:hint="eastAsia" w:ascii="宋体" w:hAnsi="宋体" w:cs="Arial"/>
                <w:color w:val="555555"/>
                <w:kern w:val="0"/>
                <w:sz w:val="18"/>
                <w:szCs w:val="18"/>
                <w:lang w:bidi="ar"/>
              </w:rPr>
              <w:t>综合实力部分</w:t>
            </w:r>
          </w:p>
        </w:tc>
        <w:tc>
          <w:tcPr>
            <w:tcW w:w="4298" w:type="dxa"/>
            <w:tcBorders>
              <w:top w:val="nil"/>
              <w:left w:val="nil"/>
              <w:bottom w:val="single" w:color="auto" w:sz="8" w:space="0"/>
              <w:right w:val="single" w:color="auto" w:sz="8" w:space="0"/>
            </w:tcBorders>
            <w:tcMar>
              <w:left w:w="108" w:type="dxa"/>
              <w:right w:w="108" w:type="dxa"/>
            </w:tcMar>
            <w:vAlign w:val="center"/>
          </w:tcPr>
          <w:p>
            <w:pPr>
              <w:widowControl/>
              <w:spacing w:before="100" w:beforeAutospacing="1" w:after="160" w:line="240" w:lineRule="atLeast"/>
              <w:jc w:val="center"/>
              <w:rPr>
                <w:rFonts w:ascii="宋体" w:hAnsi="宋体" w:cs="宋体"/>
                <w:color w:val="555555"/>
                <w:kern w:val="0"/>
                <w:sz w:val="24"/>
              </w:rPr>
            </w:pPr>
            <w:r>
              <w:rPr>
                <w:rFonts w:hint="eastAsia" w:ascii="Arial" w:hAnsi="Arial" w:cs="Arial"/>
                <w:color w:val="555555"/>
                <w:kern w:val="0"/>
                <w:sz w:val="18"/>
                <w:szCs w:val="18"/>
                <w:lang w:bidi="ar"/>
              </w:rPr>
              <w:t>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20" w:hRule="atLeast"/>
          <w:jc w:val="center"/>
        </w:trPr>
        <w:tc>
          <w:tcPr>
            <w:tcW w:w="557" w:type="dxa"/>
            <w:vMerge w:val="restart"/>
            <w:tcBorders>
              <w:top w:val="single" w:color="auto" w:sz="8" w:space="0"/>
              <w:left w:val="single" w:color="auto" w:sz="8" w:space="0"/>
              <w:bottom w:val="nil"/>
              <w:right w:val="single" w:color="auto" w:sz="8" w:space="0"/>
            </w:tcBorders>
            <w:tcMar>
              <w:left w:w="108" w:type="dxa"/>
              <w:right w:w="108" w:type="dxa"/>
            </w:tcMar>
            <w:vAlign w:val="center"/>
          </w:tcPr>
          <w:p>
            <w:pPr>
              <w:widowControl/>
              <w:jc w:val="left"/>
              <w:rPr>
                <w:rFonts w:ascii="Arial" w:hAnsi="Arial" w:cs="Arial"/>
                <w:color w:val="555555"/>
                <w:kern w:val="0"/>
                <w:sz w:val="2"/>
                <w:szCs w:val="18"/>
              </w:rPr>
            </w:pPr>
          </w:p>
        </w:tc>
        <w:tc>
          <w:tcPr>
            <w:tcW w:w="567" w:type="dxa"/>
            <w:tcBorders>
              <w:top w:val="single" w:color="auto" w:sz="8" w:space="0"/>
              <w:left w:val="nil"/>
              <w:bottom w:val="single" w:color="auto" w:sz="8" w:space="0"/>
              <w:right w:val="single" w:color="auto" w:sz="8" w:space="0"/>
            </w:tcBorders>
            <w:tcMar>
              <w:left w:w="108" w:type="dxa"/>
              <w:right w:w="108" w:type="dxa"/>
            </w:tcMar>
            <w:vAlign w:val="center"/>
          </w:tcPr>
          <w:p>
            <w:pPr>
              <w:widowControl/>
              <w:spacing w:before="100" w:beforeAutospacing="1" w:after="160" w:line="20" w:lineRule="atLeast"/>
              <w:jc w:val="center"/>
              <w:rPr>
                <w:rFonts w:ascii="宋体" w:hAnsi="宋体" w:cs="宋体"/>
                <w:color w:val="555555"/>
                <w:kern w:val="0"/>
                <w:sz w:val="24"/>
              </w:rPr>
            </w:pPr>
            <w:r>
              <w:rPr>
                <w:rFonts w:hint="eastAsia" w:ascii="宋体" w:hAnsi="宋体" w:cs="Arial"/>
                <w:color w:val="555555"/>
                <w:kern w:val="0"/>
                <w:sz w:val="18"/>
                <w:szCs w:val="18"/>
                <w:lang w:bidi="ar"/>
              </w:rPr>
              <w:t>序号</w:t>
            </w:r>
          </w:p>
        </w:tc>
        <w:tc>
          <w:tcPr>
            <w:tcW w:w="1702" w:type="dxa"/>
            <w:tcBorders>
              <w:top w:val="single" w:color="auto" w:sz="8" w:space="0"/>
              <w:left w:val="nil"/>
              <w:bottom w:val="single" w:color="auto" w:sz="8" w:space="0"/>
              <w:right w:val="single" w:color="auto" w:sz="8" w:space="0"/>
            </w:tcBorders>
            <w:tcMar>
              <w:left w:w="108" w:type="dxa"/>
              <w:right w:w="108" w:type="dxa"/>
            </w:tcMar>
            <w:vAlign w:val="center"/>
          </w:tcPr>
          <w:p>
            <w:pPr>
              <w:widowControl/>
              <w:spacing w:before="100" w:beforeAutospacing="1" w:after="160" w:line="20" w:lineRule="atLeast"/>
              <w:jc w:val="center"/>
              <w:rPr>
                <w:rFonts w:ascii="宋体" w:hAnsi="宋体" w:cs="宋体"/>
                <w:color w:val="555555"/>
                <w:kern w:val="0"/>
                <w:sz w:val="24"/>
              </w:rPr>
            </w:pPr>
            <w:bookmarkStart w:id="0" w:name="OLE_LINK8"/>
            <w:r>
              <w:rPr>
                <w:rFonts w:hint="eastAsia" w:ascii="宋体" w:hAnsi="宋体" w:cs="Arial"/>
                <w:color w:val="555555"/>
                <w:kern w:val="0"/>
                <w:sz w:val="18"/>
                <w:szCs w:val="18"/>
                <w:lang w:bidi="ar"/>
              </w:rPr>
              <w:t>评分准则</w:t>
            </w:r>
            <w:bookmarkEnd w:id="0"/>
          </w:p>
        </w:tc>
        <w:tc>
          <w:tcPr>
            <w:tcW w:w="709" w:type="dxa"/>
            <w:tcBorders>
              <w:top w:val="single" w:color="auto" w:sz="8" w:space="0"/>
              <w:left w:val="nil"/>
              <w:bottom w:val="single" w:color="auto" w:sz="8" w:space="0"/>
              <w:right w:val="single" w:color="auto" w:sz="8" w:space="0"/>
            </w:tcBorders>
            <w:tcMar>
              <w:left w:w="108" w:type="dxa"/>
              <w:right w:w="108" w:type="dxa"/>
            </w:tcMar>
            <w:vAlign w:val="center"/>
          </w:tcPr>
          <w:p>
            <w:pPr>
              <w:widowControl/>
              <w:spacing w:before="100" w:beforeAutospacing="1" w:after="160" w:line="20" w:lineRule="atLeast"/>
              <w:jc w:val="center"/>
              <w:rPr>
                <w:rFonts w:ascii="宋体" w:hAnsi="宋体" w:cs="宋体"/>
                <w:color w:val="555555"/>
                <w:kern w:val="0"/>
                <w:sz w:val="24"/>
              </w:rPr>
            </w:pPr>
            <w:r>
              <w:rPr>
                <w:rFonts w:hint="eastAsia" w:ascii="宋体" w:hAnsi="宋体" w:cs="Arial"/>
                <w:color w:val="555555"/>
                <w:kern w:val="0"/>
                <w:sz w:val="18"/>
                <w:szCs w:val="18"/>
                <w:lang w:bidi="ar"/>
              </w:rPr>
              <w:t>权重（%）</w:t>
            </w:r>
          </w:p>
        </w:tc>
        <w:tc>
          <w:tcPr>
            <w:tcW w:w="709" w:type="dxa"/>
            <w:tcBorders>
              <w:top w:val="single" w:color="auto" w:sz="8" w:space="0"/>
              <w:left w:val="nil"/>
              <w:bottom w:val="single" w:color="auto" w:sz="8" w:space="0"/>
              <w:right w:val="single" w:color="auto" w:sz="8" w:space="0"/>
            </w:tcBorders>
            <w:tcMar>
              <w:left w:w="108" w:type="dxa"/>
              <w:right w:w="108" w:type="dxa"/>
            </w:tcMar>
            <w:vAlign w:val="center"/>
          </w:tcPr>
          <w:p>
            <w:pPr>
              <w:widowControl/>
              <w:spacing w:before="100" w:beforeAutospacing="1" w:after="160" w:line="20" w:lineRule="atLeast"/>
              <w:jc w:val="center"/>
              <w:rPr>
                <w:rFonts w:ascii="宋体" w:hAnsi="宋体" w:cs="宋体"/>
                <w:color w:val="555555"/>
                <w:kern w:val="0"/>
                <w:sz w:val="24"/>
              </w:rPr>
            </w:pPr>
            <w:r>
              <w:rPr>
                <w:rFonts w:hint="eastAsia" w:ascii="宋体" w:hAnsi="宋体" w:cs="Arial"/>
                <w:color w:val="555555"/>
                <w:kern w:val="0"/>
                <w:sz w:val="18"/>
                <w:szCs w:val="18"/>
                <w:lang w:bidi="ar"/>
              </w:rPr>
              <w:t>评分方式</w:t>
            </w:r>
          </w:p>
        </w:tc>
        <w:tc>
          <w:tcPr>
            <w:tcW w:w="4298" w:type="dxa"/>
            <w:tcBorders>
              <w:top w:val="single" w:color="auto" w:sz="8" w:space="0"/>
              <w:left w:val="nil"/>
              <w:bottom w:val="single" w:color="auto" w:sz="8" w:space="0"/>
              <w:right w:val="single" w:color="auto" w:sz="8" w:space="0"/>
            </w:tcBorders>
            <w:tcMar>
              <w:left w:w="108" w:type="dxa"/>
              <w:right w:w="108" w:type="dxa"/>
            </w:tcMar>
            <w:vAlign w:val="center"/>
          </w:tcPr>
          <w:p>
            <w:pPr>
              <w:widowControl/>
              <w:spacing w:before="100" w:beforeAutospacing="1" w:after="160" w:line="20" w:lineRule="atLeast"/>
              <w:jc w:val="center"/>
              <w:rPr>
                <w:rFonts w:ascii="宋体" w:hAnsi="宋体" w:cs="宋体"/>
                <w:color w:val="555555"/>
                <w:kern w:val="0"/>
                <w:sz w:val="24"/>
              </w:rPr>
            </w:pPr>
            <w:r>
              <w:rPr>
                <w:rFonts w:hint="eastAsia" w:ascii="宋体" w:hAnsi="宋体" w:cs="Arial"/>
                <w:color w:val="555555"/>
                <w:kern w:val="0"/>
                <w:sz w:val="18"/>
                <w:szCs w:val="18"/>
                <w:lang w:bidi="ar"/>
              </w:rPr>
              <w:t>评分准则</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20" w:hRule="atLeast"/>
          <w:jc w:val="center"/>
        </w:trPr>
        <w:tc>
          <w:tcPr>
            <w:tcW w:w="557" w:type="dxa"/>
            <w:vMerge w:val="continue"/>
            <w:tcBorders>
              <w:top w:val="single" w:color="auto" w:sz="8" w:space="0"/>
              <w:left w:val="single" w:color="auto" w:sz="8" w:space="0"/>
              <w:bottom w:val="nil"/>
              <w:right w:val="single" w:color="auto" w:sz="8" w:space="0"/>
            </w:tcBorders>
            <w:tcMar>
              <w:left w:w="108" w:type="dxa"/>
              <w:right w:w="108" w:type="dxa"/>
            </w:tcMar>
            <w:vAlign w:val="center"/>
          </w:tcPr>
          <w:p>
            <w:pPr>
              <w:rPr>
                <w:sz w:val="20"/>
                <w:szCs w:val="20"/>
              </w:rPr>
            </w:pPr>
          </w:p>
        </w:tc>
        <w:tc>
          <w:tcPr>
            <w:tcW w:w="567" w:type="dxa"/>
            <w:tcBorders>
              <w:top w:val="single" w:color="auto" w:sz="8" w:space="0"/>
              <w:left w:val="nil"/>
              <w:bottom w:val="single" w:color="auto" w:sz="8" w:space="0"/>
              <w:right w:val="single" w:color="auto" w:sz="8" w:space="0"/>
            </w:tcBorders>
            <w:tcMar>
              <w:left w:w="108" w:type="dxa"/>
              <w:right w:w="108" w:type="dxa"/>
            </w:tcMar>
            <w:vAlign w:val="center"/>
          </w:tcPr>
          <w:p>
            <w:pPr>
              <w:widowControl/>
              <w:spacing w:before="100" w:beforeAutospacing="1" w:after="160" w:line="20" w:lineRule="atLeast"/>
              <w:jc w:val="center"/>
              <w:rPr>
                <w:rFonts w:ascii="宋体" w:hAnsi="宋体" w:cs="宋体"/>
                <w:color w:val="555555"/>
                <w:kern w:val="0"/>
                <w:sz w:val="24"/>
              </w:rPr>
            </w:pPr>
            <w:r>
              <w:rPr>
                <w:rFonts w:hint="eastAsia" w:ascii="宋体" w:hAnsi="宋体" w:cs="Arial"/>
                <w:color w:val="555555"/>
                <w:kern w:val="0"/>
                <w:sz w:val="18"/>
                <w:szCs w:val="18"/>
                <w:lang w:bidi="ar"/>
              </w:rPr>
              <w:t>1</w:t>
            </w:r>
          </w:p>
        </w:tc>
        <w:tc>
          <w:tcPr>
            <w:tcW w:w="1702" w:type="dxa"/>
            <w:tcBorders>
              <w:top w:val="single" w:color="auto" w:sz="8" w:space="0"/>
              <w:left w:val="nil"/>
              <w:bottom w:val="single" w:color="auto" w:sz="8" w:space="0"/>
              <w:right w:val="single" w:color="auto" w:sz="8" w:space="0"/>
            </w:tcBorders>
            <w:tcMar>
              <w:left w:w="108" w:type="dxa"/>
              <w:right w:w="108" w:type="dxa"/>
            </w:tcMar>
            <w:vAlign w:val="center"/>
          </w:tcPr>
          <w:p>
            <w:pPr>
              <w:widowControl/>
              <w:spacing w:before="100" w:beforeAutospacing="1" w:after="160" w:line="20" w:lineRule="atLeast"/>
              <w:jc w:val="center"/>
              <w:rPr>
                <w:rFonts w:ascii="宋体" w:hAnsi="宋体" w:cs="宋体"/>
                <w:color w:val="555555"/>
                <w:kern w:val="0"/>
                <w:sz w:val="24"/>
              </w:rPr>
            </w:pPr>
            <w:r>
              <w:rPr>
                <w:rFonts w:hint="eastAsia" w:ascii="宋体" w:hAnsi="宋体" w:cs="Arial"/>
                <w:color w:val="555555"/>
                <w:kern w:val="0"/>
                <w:sz w:val="18"/>
                <w:szCs w:val="18"/>
                <w:lang w:bidi="ar"/>
              </w:rPr>
              <w:t>投标人资格情况及通过相关认证情况</w:t>
            </w:r>
          </w:p>
        </w:tc>
        <w:tc>
          <w:tcPr>
            <w:tcW w:w="709" w:type="dxa"/>
            <w:tcBorders>
              <w:top w:val="single" w:color="auto" w:sz="8" w:space="0"/>
              <w:left w:val="nil"/>
              <w:bottom w:val="single" w:color="auto" w:sz="8" w:space="0"/>
              <w:right w:val="single" w:color="auto" w:sz="8" w:space="0"/>
            </w:tcBorders>
            <w:tcMar>
              <w:left w:w="108" w:type="dxa"/>
              <w:right w:w="108" w:type="dxa"/>
            </w:tcMar>
            <w:vAlign w:val="center"/>
          </w:tcPr>
          <w:p>
            <w:pPr>
              <w:widowControl/>
              <w:spacing w:before="100" w:beforeAutospacing="1" w:after="160" w:line="20" w:lineRule="atLeast"/>
              <w:jc w:val="center"/>
              <w:rPr>
                <w:rFonts w:ascii="宋体" w:hAnsi="宋体" w:cs="宋体"/>
                <w:color w:val="555555"/>
                <w:kern w:val="0"/>
                <w:sz w:val="24"/>
              </w:rPr>
            </w:pPr>
            <w:r>
              <w:rPr>
                <w:rFonts w:hint="eastAsia" w:ascii="Arial" w:hAnsi="Arial" w:cs="Arial"/>
                <w:color w:val="555555"/>
                <w:kern w:val="0"/>
                <w:sz w:val="18"/>
                <w:szCs w:val="18"/>
                <w:lang w:bidi="ar"/>
              </w:rPr>
              <w:t>3</w:t>
            </w:r>
          </w:p>
        </w:tc>
        <w:tc>
          <w:tcPr>
            <w:tcW w:w="709" w:type="dxa"/>
            <w:tcBorders>
              <w:top w:val="single" w:color="auto" w:sz="8" w:space="0"/>
              <w:left w:val="nil"/>
              <w:bottom w:val="single" w:color="auto" w:sz="8" w:space="0"/>
              <w:right w:val="single" w:color="auto" w:sz="8" w:space="0"/>
            </w:tcBorders>
            <w:tcMar>
              <w:left w:w="108" w:type="dxa"/>
              <w:right w:w="108" w:type="dxa"/>
            </w:tcMar>
            <w:vAlign w:val="center"/>
          </w:tcPr>
          <w:p>
            <w:pPr>
              <w:widowControl/>
              <w:spacing w:before="100" w:beforeAutospacing="1" w:after="160" w:line="20" w:lineRule="atLeast"/>
              <w:jc w:val="center"/>
              <w:rPr>
                <w:rFonts w:ascii="宋体" w:hAnsi="宋体" w:cs="宋体"/>
                <w:color w:val="555555"/>
                <w:kern w:val="0"/>
                <w:sz w:val="24"/>
              </w:rPr>
            </w:pPr>
            <w:r>
              <w:rPr>
                <w:rFonts w:hint="eastAsia" w:ascii="宋体" w:hAnsi="宋体" w:cs="Arial"/>
                <w:color w:val="555555"/>
                <w:kern w:val="0"/>
                <w:sz w:val="18"/>
                <w:szCs w:val="18"/>
                <w:lang w:bidi="ar"/>
              </w:rPr>
              <w:t>专家评分</w:t>
            </w:r>
          </w:p>
        </w:tc>
        <w:tc>
          <w:tcPr>
            <w:tcW w:w="4298" w:type="dxa"/>
            <w:tcBorders>
              <w:top w:val="single" w:color="auto" w:sz="8" w:space="0"/>
              <w:left w:val="nil"/>
              <w:bottom w:val="single" w:color="auto" w:sz="8" w:space="0"/>
              <w:right w:val="single" w:color="auto" w:sz="8" w:space="0"/>
            </w:tcBorders>
            <w:tcMar>
              <w:left w:w="108" w:type="dxa"/>
              <w:right w:w="108" w:type="dxa"/>
            </w:tcMar>
            <w:vAlign w:val="center"/>
          </w:tcPr>
          <w:p>
            <w:pPr>
              <w:snapToGrid w:val="0"/>
              <w:spacing w:line="360" w:lineRule="auto"/>
              <w:jc w:val="left"/>
              <w:rPr>
                <w:rFonts w:cs="宋体"/>
                <w:color w:val="000000"/>
                <w:szCs w:val="21"/>
                <w:lang w:bidi="ar"/>
              </w:rPr>
            </w:pPr>
            <w:r>
              <w:rPr>
                <w:rFonts w:hint="eastAsia" w:cs="宋体"/>
                <w:color w:val="000000"/>
                <w:szCs w:val="21"/>
                <w:lang w:bidi="ar"/>
              </w:rPr>
              <w:t>（一）评分内容：</w:t>
            </w:r>
          </w:p>
          <w:p>
            <w:pPr>
              <w:snapToGrid w:val="0"/>
              <w:spacing w:line="360" w:lineRule="auto"/>
              <w:jc w:val="left"/>
              <w:rPr>
                <w:rFonts w:cs="宋体"/>
                <w:color w:val="000000"/>
                <w:szCs w:val="21"/>
                <w:lang w:bidi="ar"/>
              </w:rPr>
            </w:pPr>
            <w:r>
              <w:rPr>
                <w:rFonts w:hint="eastAsia" w:cs="宋体"/>
                <w:color w:val="000000"/>
                <w:szCs w:val="21"/>
                <w:lang w:bidi="ar"/>
              </w:rPr>
              <w:t>1.投标人具有消防设施工程设计专项甲级资质得35分；</w:t>
            </w:r>
          </w:p>
          <w:p>
            <w:pPr>
              <w:snapToGrid w:val="0"/>
              <w:spacing w:line="360" w:lineRule="auto"/>
              <w:jc w:val="left"/>
              <w:rPr>
                <w:rFonts w:cs="宋体"/>
                <w:color w:val="000000"/>
                <w:szCs w:val="21"/>
                <w:lang w:bidi="ar"/>
              </w:rPr>
            </w:pPr>
            <w:r>
              <w:rPr>
                <w:rFonts w:hint="eastAsia" w:cs="宋体"/>
                <w:color w:val="000000"/>
                <w:szCs w:val="21"/>
                <w:lang w:bidi="ar"/>
              </w:rPr>
              <w:t>2.投标人具有消防设施工程专业承包资质得35分；</w:t>
            </w:r>
          </w:p>
          <w:p>
            <w:pPr>
              <w:snapToGrid w:val="0"/>
              <w:spacing w:line="360" w:lineRule="auto"/>
              <w:jc w:val="left"/>
              <w:rPr>
                <w:rFonts w:cs="宋体"/>
                <w:color w:val="000000"/>
                <w:szCs w:val="21"/>
                <w:lang w:bidi="ar"/>
              </w:rPr>
            </w:pPr>
            <w:r>
              <w:rPr>
                <w:rFonts w:hint="eastAsia" w:cs="宋体"/>
                <w:color w:val="000000"/>
                <w:szCs w:val="21"/>
                <w:lang w:bidi="ar"/>
              </w:rPr>
              <w:t>3.投标人具有质量管理体系认证证书、环境管理体系认证证书、职业健康安全管理体系认证证书，三证齐全得30分，缺一项不得分。</w:t>
            </w:r>
          </w:p>
          <w:p>
            <w:pPr>
              <w:snapToGrid w:val="0"/>
              <w:spacing w:line="360" w:lineRule="auto"/>
              <w:jc w:val="left"/>
              <w:rPr>
                <w:rFonts w:cs="宋体"/>
                <w:color w:val="000000"/>
                <w:szCs w:val="21"/>
                <w:lang w:bidi="ar"/>
              </w:rPr>
            </w:pPr>
          </w:p>
          <w:p>
            <w:pPr>
              <w:snapToGrid w:val="0"/>
              <w:spacing w:line="360" w:lineRule="auto"/>
              <w:jc w:val="left"/>
              <w:rPr>
                <w:rFonts w:cs="宋体"/>
                <w:color w:val="000000"/>
                <w:szCs w:val="21"/>
                <w:lang w:bidi="ar"/>
              </w:rPr>
            </w:pPr>
            <w:r>
              <w:rPr>
                <w:rFonts w:hint="eastAsia" w:cs="宋体"/>
                <w:color w:val="000000"/>
                <w:szCs w:val="21"/>
                <w:lang w:bidi="ar"/>
              </w:rPr>
              <w:t>（二）评分依据：</w:t>
            </w:r>
          </w:p>
          <w:p>
            <w:pPr>
              <w:snapToGrid w:val="0"/>
              <w:spacing w:line="360" w:lineRule="auto"/>
              <w:jc w:val="left"/>
              <w:rPr>
                <w:rFonts w:cs="宋体"/>
                <w:color w:val="000000"/>
                <w:szCs w:val="21"/>
                <w:lang w:bidi="ar"/>
              </w:rPr>
            </w:pPr>
            <w:r>
              <w:rPr>
                <w:rFonts w:hint="eastAsia" w:cs="宋体"/>
                <w:color w:val="000000"/>
                <w:szCs w:val="21"/>
                <w:lang w:bidi="ar"/>
              </w:rPr>
              <w:t>1.要求提供有效的认证证书作为得分依据。</w:t>
            </w:r>
          </w:p>
          <w:p>
            <w:pPr>
              <w:snapToGrid w:val="0"/>
              <w:spacing w:line="360" w:lineRule="auto"/>
              <w:jc w:val="left"/>
              <w:rPr>
                <w:rFonts w:cs="宋体"/>
                <w:color w:val="000000"/>
                <w:szCs w:val="21"/>
                <w:lang w:bidi="ar"/>
              </w:rPr>
            </w:pPr>
            <w:r>
              <w:rPr>
                <w:rFonts w:hint="eastAsia" w:cs="宋体"/>
                <w:color w:val="000000"/>
                <w:szCs w:val="21"/>
                <w:lang w:bidi="ar"/>
              </w:rPr>
              <w:t>2.以上资料均要求提供扫描件（或官方网站截图），原件备查。评分中出现无证明资料或专家无法凭所提供资料判断是否得分的情况，一律作不得分处理。</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20" w:hRule="atLeast"/>
          <w:jc w:val="center"/>
        </w:trPr>
        <w:tc>
          <w:tcPr>
            <w:tcW w:w="557" w:type="dxa"/>
            <w:vMerge w:val="continue"/>
            <w:tcBorders>
              <w:top w:val="single" w:color="auto" w:sz="8" w:space="0"/>
              <w:left w:val="single" w:color="auto" w:sz="8" w:space="0"/>
              <w:bottom w:val="nil"/>
              <w:right w:val="single" w:color="auto" w:sz="8" w:space="0"/>
            </w:tcBorders>
            <w:tcMar>
              <w:left w:w="108" w:type="dxa"/>
              <w:right w:w="108" w:type="dxa"/>
            </w:tcMar>
            <w:vAlign w:val="center"/>
          </w:tcPr>
          <w:p>
            <w:pPr>
              <w:rPr>
                <w:sz w:val="20"/>
                <w:szCs w:val="20"/>
              </w:rPr>
            </w:pPr>
          </w:p>
        </w:tc>
        <w:tc>
          <w:tcPr>
            <w:tcW w:w="567" w:type="dxa"/>
            <w:tcBorders>
              <w:top w:val="single" w:color="auto" w:sz="8" w:space="0"/>
              <w:left w:val="nil"/>
              <w:bottom w:val="single" w:color="auto" w:sz="8" w:space="0"/>
              <w:right w:val="single" w:color="auto" w:sz="8" w:space="0"/>
            </w:tcBorders>
            <w:tcMar>
              <w:left w:w="108" w:type="dxa"/>
              <w:right w:w="108" w:type="dxa"/>
            </w:tcMar>
            <w:vAlign w:val="center"/>
          </w:tcPr>
          <w:p>
            <w:pPr>
              <w:widowControl/>
              <w:spacing w:before="100" w:beforeAutospacing="1" w:after="160" w:line="20" w:lineRule="atLeast"/>
              <w:jc w:val="center"/>
              <w:rPr>
                <w:rFonts w:ascii="宋体" w:hAnsi="宋体" w:cs="宋体"/>
                <w:color w:val="555555"/>
                <w:kern w:val="0"/>
                <w:sz w:val="24"/>
              </w:rPr>
            </w:pPr>
            <w:r>
              <w:rPr>
                <w:rFonts w:hint="eastAsia" w:ascii="宋体" w:hAnsi="宋体" w:cs="Arial"/>
                <w:color w:val="555555"/>
                <w:kern w:val="0"/>
                <w:sz w:val="18"/>
                <w:szCs w:val="18"/>
                <w:lang w:bidi="ar"/>
              </w:rPr>
              <w:t>2</w:t>
            </w:r>
          </w:p>
        </w:tc>
        <w:tc>
          <w:tcPr>
            <w:tcW w:w="1702" w:type="dxa"/>
            <w:tcBorders>
              <w:top w:val="single" w:color="auto" w:sz="8" w:space="0"/>
              <w:left w:val="nil"/>
              <w:bottom w:val="single" w:color="auto" w:sz="8" w:space="0"/>
              <w:right w:val="single" w:color="auto" w:sz="8" w:space="0"/>
            </w:tcBorders>
            <w:tcMar>
              <w:left w:w="108" w:type="dxa"/>
              <w:right w:w="108" w:type="dxa"/>
            </w:tcMar>
            <w:vAlign w:val="center"/>
          </w:tcPr>
          <w:p>
            <w:pPr>
              <w:widowControl/>
              <w:spacing w:before="100" w:beforeAutospacing="1" w:after="160" w:line="20" w:lineRule="atLeast"/>
              <w:jc w:val="center"/>
              <w:rPr>
                <w:rFonts w:ascii="宋体" w:hAnsi="宋体" w:cs="宋体"/>
                <w:color w:val="555555"/>
                <w:kern w:val="0"/>
                <w:sz w:val="24"/>
              </w:rPr>
            </w:pPr>
            <w:r>
              <w:rPr>
                <w:rFonts w:hint="eastAsia" w:ascii="宋体" w:hAnsi="宋体" w:cs="Arial"/>
                <w:color w:val="555555"/>
                <w:kern w:val="0"/>
                <w:sz w:val="18"/>
                <w:szCs w:val="18"/>
                <w:lang w:bidi="ar"/>
              </w:rPr>
              <w:t>投标人同类项目业绩情况</w:t>
            </w:r>
          </w:p>
        </w:tc>
        <w:tc>
          <w:tcPr>
            <w:tcW w:w="709" w:type="dxa"/>
            <w:tcBorders>
              <w:top w:val="single" w:color="auto" w:sz="8" w:space="0"/>
              <w:left w:val="nil"/>
              <w:bottom w:val="single" w:color="auto" w:sz="8" w:space="0"/>
              <w:right w:val="single" w:color="auto" w:sz="8" w:space="0"/>
            </w:tcBorders>
            <w:tcMar>
              <w:left w:w="108" w:type="dxa"/>
              <w:right w:w="108" w:type="dxa"/>
            </w:tcMar>
            <w:vAlign w:val="center"/>
          </w:tcPr>
          <w:p>
            <w:pPr>
              <w:widowControl/>
              <w:spacing w:before="100" w:beforeAutospacing="1" w:after="160" w:line="20" w:lineRule="atLeast"/>
              <w:jc w:val="center"/>
              <w:rPr>
                <w:rFonts w:ascii="宋体" w:hAnsi="宋体" w:cs="宋体"/>
                <w:color w:val="555555"/>
                <w:kern w:val="0"/>
                <w:sz w:val="24"/>
              </w:rPr>
            </w:pPr>
            <w:r>
              <w:rPr>
                <w:rFonts w:ascii="Arial" w:hAnsi="Arial" w:cs="Arial"/>
                <w:color w:val="555555"/>
                <w:kern w:val="0"/>
                <w:sz w:val="18"/>
                <w:szCs w:val="18"/>
                <w:lang w:bidi="ar"/>
              </w:rPr>
              <w:t>2</w:t>
            </w:r>
          </w:p>
        </w:tc>
        <w:tc>
          <w:tcPr>
            <w:tcW w:w="709" w:type="dxa"/>
            <w:tcBorders>
              <w:top w:val="single" w:color="auto" w:sz="8" w:space="0"/>
              <w:left w:val="nil"/>
              <w:bottom w:val="single" w:color="auto" w:sz="8" w:space="0"/>
              <w:right w:val="single" w:color="auto" w:sz="8" w:space="0"/>
            </w:tcBorders>
            <w:tcMar>
              <w:left w:w="108" w:type="dxa"/>
              <w:right w:w="108" w:type="dxa"/>
            </w:tcMar>
            <w:vAlign w:val="center"/>
          </w:tcPr>
          <w:p>
            <w:pPr>
              <w:widowControl/>
              <w:spacing w:before="100" w:beforeAutospacing="1" w:after="160" w:line="20" w:lineRule="atLeast"/>
              <w:jc w:val="center"/>
              <w:rPr>
                <w:rFonts w:ascii="宋体" w:hAnsi="宋体" w:cs="宋体"/>
                <w:color w:val="555555"/>
                <w:kern w:val="0"/>
                <w:sz w:val="24"/>
              </w:rPr>
            </w:pPr>
            <w:r>
              <w:rPr>
                <w:rFonts w:hint="eastAsia" w:ascii="宋体" w:hAnsi="宋体" w:cs="Arial"/>
                <w:color w:val="555555"/>
                <w:kern w:val="0"/>
                <w:sz w:val="18"/>
                <w:szCs w:val="18"/>
                <w:lang w:bidi="ar"/>
              </w:rPr>
              <w:t>专家评分</w:t>
            </w:r>
          </w:p>
        </w:tc>
        <w:tc>
          <w:tcPr>
            <w:tcW w:w="4298" w:type="dxa"/>
            <w:tcBorders>
              <w:top w:val="single" w:color="auto" w:sz="8" w:space="0"/>
              <w:left w:val="nil"/>
              <w:bottom w:val="single" w:color="auto" w:sz="8" w:space="0"/>
              <w:right w:val="single" w:color="auto" w:sz="8" w:space="0"/>
            </w:tcBorders>
            <w:tcMar>
              <w:left w:w="108" w:type="dxa"/>
              <w:right w:w="108" w:type="dxa"/>
            </w:tcMar>
            <w:vAlign w:val="center"/>
          </w:tcPr>
          <w:p>
            <w:pPr>
              <w:spacing w:after="160" w:line="240" w:lineRule="exact"/>
              <w:jc w:val="left"/>
              <w:rPr>
                <w:rFonts w:ascii="宋体" w:hAnsi="宋体" w:cs="宋体"/>
                <w:szCs w:val="21"/>
              </w:rPr>
            </w:pPr>
            <w:r>
              <w:rPr>
                <w:rFonts w:hint="eastAsia" w:ascii="宋体" w:hAnsi="宋体" w:cs="宋体"/>
                <w:szCs w:val="21"/>
                <w:lang w:bidi="ar"/>
              </w:rPr>
              <w:t>（一）评分内容：</w:t>
            </w:r>
          </w:p>
          <w:p>
            <w:pPr>
              <w:snapToGrid w:val="0"/>
              <w:spacing w:line="360" w:lineRule="auto"/>
              <w:jc w:val="left"/>
              <w:rPr>
                <w:rFonts w:cs="宋体"/>
                <w:color w:val="000000"/>
                <w:szCs w:val="21"/>
                <w:lang w:bidi="ar"/>
              </w:rPr>
            </w:pPr>
            <w:r>
              <w:rPr>
                <w:rFonts w:hint="eastAsia" w:cs="宋体"/>
                <w:color w:val="000000"/>
                <w:szCs w:val="21"/>
                <w:lang w:bidi="ar"/>
              </w:rPr>
              <w:t>考察投标人近三年（</w:t>
            </w:r>
            <w:r>
              <w:rPr>
                <w:rFonts w:cs="宋体"/>
                <w:color w:val="000000"/>
                <w:szCs w:val="21"/>
                <w:lang w:bidi="ar"/>
              </w:rPr>
              <w:t>2017</w:t>
            </w:r>
            <w:r>
              <w:rPr>
                <w:rFonts w:hint="eastAsia" w:cs="宋体"/>
                <w:color w:val="000000"/>
                <w:szCs w:val="21"/>
                <w:lang w:bidi="ar"/>
              </w:rPr>
              <w:t>年</w:t>
            </w:r>
            <w:r>
              <w:rPr>
                <w:rFonts w:cs="宋体"/>
                <w:color w:val="000000"/>
                <w:szCs w:val="21"/>
                <w:lang w:bidi="ar"/>
              </w:rPr>
              <w:t>7</w:t>
            </w:r>
            <w:r>
              <w:rPr>
                <w:rFonts w:hint="eastAsia" w:cs="宋体"/>
                <w:color w:val="000000"/>
                <w:szCs w:val="21"/>
                <w:lang w:bidi="ar"/>
              </w:rPr>
              <w:t>月</w:t>
            </w:r>
            <w:r>
              <w:rPr>
                <w:rFonts w:cs="宋体"/>
                <w:color w:val="000000"/>
                <w:szCs w:val="21"/>
                <w:lang w:bidi="ar"/>
              </w:rPr>
              <w:t>1</w:t>
            </w:r>
            <w:r>
              <w:rPr>
                <w:rFonts w:hint="eastAsia" w:cs="宋体"/>
                <w:color w:val="000000"/>
                <w:szCs w:val="21"/>
                <w:lang w:bidi="ar"/>
              </w:rPr>
              <w:t>日至本项目开标之日，以项目验收或履约评价时间为准）同类项目</w:t>
            </w:r>
            <w:r>
              <w:rPr>
                <w:rFonts w:cs="宋体"/>
                <w:color w:val="000000"/>
                <w:szCs w:val="21"/>
                <w:lang w:bidi="ar"/>
              </w:rPr>
              <w:t>[</w:t>
            </w:r>
            <w:r>
              <w:rPr>
                <w:rFonts w:hint="eastAsia" w:cs="宋体"/>
                <w:color w:val="000000"/>
                <w:szCs w:val="21"/>
                <w:lang w:bidi="ar"/>
              </w:rPr>
              <w:t>同类项目专指</w:t>
            </w:r>
            <w:r>
              <w:rPr>
                <w:rFonts w:ascii="宋体" w:hAnsi="宋体"/>
                <w:color w:val="FF0000"/>
              </w:rPr>
              <w:t>关于内墙粉刷工程</w:t>
            </w:r>
            <w:r>
              <w:rPr>
                <w:rFonts w:hint="eastAsia" w:cs="宋体"/>
                <w:color w:val="FF0000"/>
                <w:lang w:bidi="ar"/>
              </w:rPr>
              <w:t>（包含油漆涂料、墙面油漆、外墙油漆施工内容）</w:t>
            </w:r>
            <w:r>
              <w:rPr>
                <w:color w:val="000000"/>
                <w:lang w:bidi="ar"/>
              </w:rPr>
              <w:t>]</w:t>
            </w:r>
            <w:r>
              <w:rPr>
                <w:rFonts w:hint="eastAsia" w:cs="宋体"/>
                <w:color w:val="000000"/>
                <w:lang w:bidi="ar"/>
              </w:rPr>
              <w:t>业绩情况：有</w:t>
            </w:r>
            <w:r>
              <w:rPr>
                <w:color w:val="000000"/>
                <w:lang w:bidi="ar"/>
              </w:rPr>
              <w:t>3</w:t>
            </w:r>
            <w:r>
              <w:rPr>
                <w:rFonts w:hint="eastAsia" w:cs="宋体"/>
                <w:color w:val="000000"/>
                <w:lang w:bidi="ar"/>
              </w:rPr>
              <w:t>个</w:t>
            </w:r>
            <w:r>
              <w:rPr>
                <w:rFonts w:hint="eastAsia" w:cs="宋体"/>
                <w:color w:val="000000"/>
                <w:szCs w:val="21"/>
                <w:lang w:bidi="ar"/>
              </w:rPr>
              <w:t>的，得</w:t>
            </w:r>
            <w:r>
              <w:rPr>
                <w:rFonts w:cs="宋体"/>
                <w:color w:val="000000"/>
                <w:szCs w:val="21"/>
                <w:lang w:bidi="ar"/>
              </w:rPr>
              <w:t>100</w:t>
            </w:r>
            <w:r>
              <w:rPr>
                <w:rFonts w:hint="eastAsia" w:cs="宋体"/>
                <w:color w:val="000000"/>
                <w:szCs w:val="21"/>
                <w:lang w:bidi="ar"/>
              </w:rPr>
              <w:t>分，</w:t>
            </w:r>
            <w:r>
              <w:rPr>
                <w:rFonts w:cs="宋体"/>
                <w:color w:val="000000"/>
                <w:szCs w:val="21"/>
                <w:lang w:bidi="ar"/>
              </w:rPr>
              <w:t>2</w:t>
            </w:r>
            <w:r>
              <w:rPr>
                <w:rFonts w:hint="eastAsia" w:cs="宋体"/>
                <w:color w:val="000000"/>
                <w:szCs w:val="21"/>
                <w:lang w:bidi="ar"/>
              </w:rPr>
              <w:t>个的，得</w:t>
            </w:r>
            <w:r>
              <w:rPr>
                <w:rFonts w:cs="宋体"/>
                <w:color w:val="000000"/>
                <w:szCs w:val="21"/>
                <w:lang w:bidi="ar"/>
              </w:rPr>
              <w:t>60</w:t>
            </w:r>
            <w:r>
              <w:rPr>
                <w:rFonts w:hint="eastAsia" w:cs="宋体"/>
                <w:color w:val="000000"/>
                <w:szCs w:val="21"/>
                <w:lang w:bidi="ar"/>
              </w:rPr>
              <w:t>分，</w:t>
            </w:r>
            <w:r>
              <w:rPr>
                <w:rFonts w:cs="宋体"/>
                <w:color w:val="000000"/>
                <w:szCs w:val="21"/>
                <w:lang w:bidi="ar"/>
              </w:rPr>
              <w:t>1</w:t>
            </w:r>
            <w:r>
              <w:rPr>
                <w:rFonts w:hint="eastAsia" w:cs="宋体"/>
                <w:color w:val="000000"/>
                <w:szCs w:val="21"/>
                <w:lang w:bidi="ar"/>
              </w:rPr>
              <w:t>个的，的</w:t>
            </w:r>
            <w:r>
              <w:rPr>
                <w:rFonts w:cs="宋体"/>
                <w:color w:val="000000"/>
                <w:szCs w:val="21"/>
                <w:lang w:bidi="ar"/>
              </w:rPr>
              <w:t>30</w:t>
            </w:r>
            <w:r>
              <w:rPr>
                <w:rFonts w:hint="eastAsia" w:cs="宋体"/>
                <w:color w:val="000000"/>
                <w:szCs w:val="21"/>
                <w:lang w:bidi="ar"/>
              </w:rPr>
              <w:t>分；没有的不得分。</w:t>
            </w:r>
          </w:p>
          <w:p>
            <w:pPr>
              <w:snapToGrid w:val="0"/>
              <w:spacing w:line="360" w:lineRule="auto"/>
              <w:jc w:val="left"/>
              <w:rPr>
                <w:rFonts w:cs="宋体"/>
                <w:color w:val="000000"/>
                <w:szCs w:val="21"/>
                <w:lang w:bidi="ar"/>
              </w:rPr>
            </w:pPr>
            <w:r>
              <w:rPr>
                <w:rFonts w:hint="eastAsia" w:cs="宋体"/>
                <w:color w:val="000000"/>
                <w:szCs w:val="21"/>
                <w:lang w:bidi="ar"/>
              </w:rPr>
              <w:t>（二）评分依据：</w:t>
            </w:r>
          </w:p>
          <w:p>
            <w:pPr>
              <w:spacing w:after="160" w:line="240" w:lineRule="exact"/>
              <w:jc w:val="left"/>
              <w:rPr>
                <w:rFonts w:ascii="宋体" w:hAnsi="宋体" w:cs="宋体"/>
                <w:szCs w:val="21"/>
              </w:rPr>
            </w:pPr>
            <w:r>
              <w:rPr>
                <w:rFonts w:hint="eastAsia" w:ascii="宋体" w:hAnsi="宋体" w:cs="宋体"/>
                <w:szCs w:val="21"/>
                <w:lang w:bidi="ar"/>
              </w:rPr>
              <w:t>1.要求同时提供合同关键信息和项目履约（验收）合格评价证明文件作为得分依据。</w:t>
            </w:r>
          </w:p>
          <w:p>
            <w:pPr>
              <w:spacing w:after="160" w:line="240" w:lineRule="exact"/>
              <w:jc w:val="left"/>
              <w:rPr>
                <w:rFonts w:ascii="宋体" w:hAnsi="宋体" w:cs="宋体"/>
                <w:szCs w:val="21"/>
              </w:rPr>
            </w:pPr>
            <w:r>
              <w:rPr>
                <w:rFonts w:hint="eastAsia" w:ascii="宋体" w:hAnsi="宋体" w:cs="宋体"/>
                <w:szCs w:val="21"/>
                <w:lang w:bidi="ar"/>
              </w:rPr>
              <w:t>2.通过合同关键信息无法判断是否得分的，还须同时提供能证明得分的其它证明资料，如项目报告或合同甲方出具的证明文件等。</w:t>
            </w:r>
          </w:p>
          <w:p>
            <w:pPr>
              <w:spacing w:after="160" w:line="240" w:lineRule="exact"/>
              <w:jc w:val="left"/>
              <w:rPr>
                <w:rFonts w:ascii="宋体" w:hAnsi="宋体" w:cs="宋体"/>
                <w:szCs w:val="21"/>
              </w:rPr>
            </w:pPr>
            <w:r>
              <w:rPr>
                <w:rFonts w:hint="eastAsia" w:ascii="宋体" w:hAnsi="宋体" w:cs="宋体"/>
                <w:szCs w:val="21"/>
                <w:lang w:bidi="ar"/>
              </w:rPr>
              <w:t>3.以上资料均要求提供扫描件，原件备查。</w:t>
            </w:r>
            <w:r>
              <w:rPr>
                <w:rFonts w:hint="eastAsia" w:cs="宋体"/>
                <w:szCs w:val="21"/>
                <w:lang w:bidi="ar"/>
              </w:rPr>
              <w:t>评分中出现无证明资料或专家无法凭所提供资料判断是否得分的情况，一律作不得分处理。</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411" w:hRule="atLeast"/>
          <w:jc w:val="center"/>
        </w:trPr>
        <w:tc>
          <w:tcPr>
            <w:tcW w:w="557" w:type="dxa"/>
            <w:tcBorders>
              <w:top w:val="single" w:color="auto" w:sz="8" w:space="0"/>
              <w:left w:val="single" w:color="auto" w:sz="8" w:space="0"/>
              <w:bottom w:val="single" w:color="auto" w:sz="8" w:space="0"/>
              <w:right w:val="single" w:color="auto" w:sz="8" w:space="0"/>
            </w:tcBorders>
            <w:tcMar>
              <w:left w:w="108" w:type="dxa"/>
              <w:right w:w="108" w:type="dxa"/>
            </w:tcMar>
            <w:vAlign w:val="center"/>
          </w:tcPr>
          <w:p>
            <w:pPr>
              <w:widowControl/>
              <w:spacing w:before="100" w:beforeAutospacing="1" w:after="160" w:line="240" w:lineRule="atLeast"/>
              <w:jc w:val="center"/>
              <w:rPr>
                <w:rFonts w:ascii="宋体" w:hAnsi="宋体" w:cs="宋体"/>
                <w:color w:val="555555"/>
                <w:kern w:val="0"/>
                <w:sz w:val="24"/>
              </w:rPr>
            </w:pPr>
            <w:r>
              <w:rPr>
                <w:rFonts w:hint="eastAsia" w:ascii="宋体" w:hAnsi="宋体" w:cs="Arial"/>
                <w:color w:val="555555"/>
                <w:kern w:val="0"/>
                <w:sz w:val="18"/>
                <w:szCs w:val="18"/>
                <w:lang w:bidi="ar"/>
              </w:rPr>
              <w:t>4</w:t>
            </w:r>
          </w:p>
        </w:tc>
        <w:tc>
          <w:tcPr>
            <w:tcW w:w="3686" w:type="dxa"/>
            <w:gridSpan w:val="4"/>
            <w:tcBorders>
              <w:top w:val="single" w:color="auto" w:sz="8" w:space="0"/>
              <w:left w:val="nil"/>
              <w:bottom w:val="single" w:color="auto" w:sz="8" w:space="0"/>
              <w:right w:val="single" w:color="auto" w:sz="8" w:space="0"/>
            </w:tcBorders>
            <w:tcMar>
              <w:left w:w="108" w:type="dxa"/>
              <w:right w:w="108" w:type="dxa"/>
            </w:tcMar>
            <w:vAlign w:val="center"/>
          </w:tcPr>
          <w:p>
            <w:pPr>
              <w:widowControl/>
              <w:spacing w:before="100" w:beforeAutospacing="1" w:after="160" w:line="240" w:lineRule="atLeast"/>
              <w:jc w:val="center"/>
              <w:rPr>
                <w:rFonts w:ascii="宋体" w:hAnsi="宋体" w:cs="宋体"/>
                <w:color w:val="555555"/>
                <w:kern w:val="0"/>
                <w:sz w:val="24"/>
              </w:rPr>
            </w:pPr>
            <w:r>
              <w:rPr>
                <w:rFonts w:hint="eastAsia" w:ascii="宋体" w:hAnsi="宋体" w:cs="Arial"/>
                <w:color w:val="555555"/>
                <w:kern w:val="0"/>
                <w:sz w:val="18"/>
                <w:szCs w:val="18"/>
                <w:lang w:bidi="ar"/>
              </w:rPr>
              <w:t>诚信部分</w:t>
            </w:r>
          </w:p>
        </w:tc>
        <w:tc>
          <w:tcPr>
            <w:tcW w:w="4298" w:type="dxa"/>
            <w:tcBorders>
              <w:top w:val="single" w:color="auto" w:sz="8" w:space="0"/>
              <w:left w:val="nil"/>
              <w:bottom w:val="single" w:color="auto" w:sz="8" w:space="0"/>
              <w:right w:val="single" w:color="auto" w:sz="8" w:space="0"/>
            </w:tcBorders>
            <w:tcMar>
              <w:left w:w="108" w:type="dxa"/>
              <w:right w:w="108" w:type="dxa"/>
            </w:tcMar>
            <w:vAlign w:val="center"/>
          </w:tcPr>
          <w:p>
            <w:pPr>
              <w:widowControl/>
              <w:spacing w:before="100" w:beforeAutospacing="1" w:after="160" w:line="240" w:lineRule="atLeast"/>
              <w:jc w:val="center"/>
              <w:rPr>
                <w:rFonts w:ascii="宋体" w:hAnsi="宋体" w:cs="宋体"/>
                <w:color w:val="555555"/>
                <w:kern w:val="0"/>
                <w:sz w:val="24"/>
              </w:rPr>
            </w:pPr>
            <w:r>
              <w:rPr>
                <w:rFonts w:hint="eastAsia" w:ascii="宋体" w:hAnsi="宋体" w:cs="Arial"/>
                <w:kern w:val="0"/>
                <w:sz w:val="18"/>
                <w:szCs w:val="18"/>
                <w:lang w:bidi="ar"/>
              </w:rPr>
              <w:t>7</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702" w:hRule="atLeast"/>
          <w:jc w:val="center"/>
        </w:trPr>
        <w:tc>
          <w:tcPr>
            <w:tcW w:w="557" w:type="dxa"/>
            <w:vMerge w:val="restart"/>
            <w:tcBorders>
              <w:top w:val="single" w:color="auto" w:sz="8" w:space="0"/>
              <w:left w:val="single" w:color="auto" w:sz="8" w:space="0"/>
              <w:bottom w:val="single" w:color="auto" w:sz="8" w:space="0"/>
              <w:right w:val="single" w:color="auto" w:sz="8" w:space="0"/>
            </w:tcBorders>
            <w:tcMar>
              <w:left w:w="108" w:type="dxa"/>
              <w:right w:w="108" w:type="dxa"/>
            </w:tcMar>
            <w:vAlign w:val="center"/>
          </w:tcPr>
          <w:p>
            <w:pPr>
              <w:widowControl/>
              <w:spacing w:before="100" w:beforeAutospacing="1" w:after="160" w:line="240" w:lineRule="atLeast"/>
              <w:jc w:val="center"/>
              <w:rPr>
                <w:rFonts w:ascii="宋体" w:hAnsi="宋体" w:cs="Arial"/>
                <w:color w:val="555555"/>
                <w:kern w:val="0"/>
                <w:sz w:val="18"/>
                <w:szCs w:val="18"/>
              </w:rPr>
            </w:pPr>
          </w:p>
        </w:tc>
        <w:tc>
          <w:tcPr>
            <w:tcW w:w="567" w:type="dxa"/>
            <w:tcBorders>
              <w:top w:val="single" w:color="auto" w:sz="8" w:space="0"/>
              <w:left w:val="nil"/>
              <w:bottom w:val="single" w:color="auto" w:sz="8" w:space="0"/>
              <w:right w:val="single" w:color="auto" w:sz="8" w:space="0"/>
            </w:tcBorders>
            <w:tcMar>
              <w:left w:w="108" w:type="dxa"/>
              <w:right w:w="108" w:type="dxa"/>
            </w:tcMar>
            <w:vAlign w:val="center"/>
          </w:tcPr>
          <w:p>
            <w:pPr>
              <w:widowControl/>
              <w:spacing w:before="100" w:beforeAutospacing="1" w:after="160" w:line="240" w:lineRule="atLeast"/>
              <w:jc w:val="center"/>
              <w:rPr>
                <w:rFonts w:ascii="宋体" w:hAnsi="宋体" w:cs="Arial"/>
                <w:color w:val="555555"/>
                <w:kern w:val="0"/>
                <w:sz w:val="18"/>
                <w:szCs w:val="18"/>
              </w:rPr>
            </w:pPr>
            <w:r>
              <w:rPr>
                <w:rFonts w:hint="eastAsia" w:ascii="宋体" w:hAnsi="宋体" w:cs="Arial"/>
                <w:color w:val="555555"/>
                <w:kern w:val="0"/>
                <w:sz w:val="18"/>
                <w:szCs w:val="18"/>
                <w:lang w:bidi="ar"/>
              </w:rPr>
              <w:t>序号</w:t>
            </w:r>
          </w:p>
        </w:tc>
        <w:tc>
          <w:tcPr>
            <w:tcW w:w="1702" w:type="dxa"/>
            <w:tcBorders>
              <w:top w:val="single" w:color="auto" w:sz="8" w:space="0"/>
              <w:left w:val="nil"/>
              <w:bottom w:val="nil"/>
              <w:right w:val="single" w:color="auto" w:sz="8" w:space="0"/>
            </w:tcBorders>
            <w:vAlign w:val="center"/>
          </w:tcPr>
          <w:p>
            <w:pPr>
              <w:widowControl/>
              <w:spacing w:before="100" w:beforeAutospacing="1" w:after="160" w:line="240" w:lineRule="atLeast"/>
              <w:jc w:val="center"/>
              <w:rPr>
                <w:rFonts w:ascii="宋体" w:hAnsi="宋体" w:cs="Arial"/>
                <w:color w:val="555555"/>
                <w:kern w:val="0"/>
                <w:sz w:val="18"/>
                <w:szCs w:val="18"/>
              </w:rPr>
            </w:pPr>
            <w:r>
              <w:rPr>
                <w:rFonts w:hint="eastAsia" w:ascii="宋体" w:hAnsi="宋体" w:cs="Arial"/>
                <w:color w:val="555555"/>
                <w:kern w:val="0"/>
                <w:sz w:val="18"/>
                <w:szCs w:val="18"/>
                <w:lang w:bidi="ar"/>
              </w:rPr>
              <w:t>评审因素</w:t>
            </w:r>
          </w:p>
        </w:tc>
        <w:tc>
          <w:tcPr>
            <w:tcW w:w="709" w:type="dxa"/>
            <w:tcBorders>
              <w:top w:val="single" w:color="auto" w:sz="8" w:space="0"/>
              <w:left w:val="nil"/>
              <w:bottom w:val="nil"/>
              <w:right w:val="single" w:color="auto" w:sz="8" w:space="0"/>
            </w:tcBorders>
            <w:vAlign w:val="center"/>
          </w:tcPr>
          <w:p>
            <w:pPr>
              <w:widowControl/>
              <w:spacing w:before="100" w:beforeAutospacing="1" w:after="160" w:line="240" w:lineRule="atLeast"/>
              <w:jc w:val="center"/>
              <w:rPr>
                <w:rFonts w:ascii="宋体" w:hAnsi="宋体" w:cs="Arial"/>
                <w:color w:val="555555"/>
                <w:kern w:val="0"/>
                <w:sz w:val="18"/>
                <w:szCs w:val="18"/>
              </w:rPr>
            </w:pPr>
            <w:r>
              <w:rPr>
                <w:rFonts w:hint="eastAsia" w:ascii="宋体" w:hAnsi="宋体" w:cs="Arial"/>
                <w:color w:val="555555"/>
                <w:kern w:val="0"/>
                <w:sz w:val="18"/>
                <w:szCs w:val="18"/>
                <w:lang w:bidi="ar"/>
              </w:rPr>
              <w:t>权重（%）</w:t>
            </w:r>
          </w:p>
        </w:tc>
        <w:tc>
          <w:tcPr>
            <w:tcW w:w="709" w:type="dxa"/>
            <w:tcBorders>
              <w:top w:val="single" w:color="auto" w:sz="8" w:space="0"/>
              <w:left w:val="nil"/>
              <w:bottom w:val="nil"/>
              <w:right w:val="single" w:color="auto" w:sz="8" w:space="0"/>
            </w:tcBorders>
            <w:vAlign w:val="center"/>
          </w:tcPr>
          <w:p>
            <w:pPr>
              <w:widowControl/>
              <w:spacing w:before="100" w:beforeAutospacing="1" w:after="160" w:line="240" w:lineRule="atLeast"/>
              <w:jc w:val="center"/>
              <w:rPr>
                <w:rFonts w:ascii="宋体" w:hAnsi="宋体" w:cs="Arial"/>
                <w:color w:val="555555"/>
                <w:kern w:val="0"/>
                <w:sz w:val="18"/>
                <w:szCs w:val="18"/>
              </w:rPr>
            </w:pPr>
            <w:r>
              <w:rPr>
                <w:rFonts w:hint="eastAsia" w:ascii="宋体" w:hAnsi="宋体" w:cs="Arial"/>
                <w:color w:val="555555"/>
                <w:kern w:val="0"/>
                <w:sz w:val="18"/>
                <w:szCs w:val="18"/>
                <w:lang w:bidi="ar"/>
              </w:rPr>
              <w:t>评分方式</w:t>
            </w:r>
          </w:p>
        </w:tc>
        <w:tc>
          <w:tcPr>
            <w:tcW w:w="4298" w:type="dxa"/>
            <w:tcBorders>
              <w:top w:val="single" w:color="auto" w:sz="8" w:space="0"/>
              <w:left w:val="nil"/>
              <w:bottom w:val="nil"/>
              <w:right w:val="single" w:color="auto" w:sz="8" w:space="0"/>
            </w:tcBorders>
            <w:tcMar>
              <w:left w:w="108" w:type="dxa"/>
              <w:right w:w="108" w:type="dxa"/>
            </w:tcMar>
            <w:vAlign w:val="center"/>
          </w:tcPr>
          <w:p>
            <w:pPr>
              <w:widowControl/>
              <w:spacing w:before="100" w:beforeAutospacing="1" w:after="160" w:line="240" w:lineRule="atLeast"/>
              <w:jc w:val="center"/>
              <w:rPr>
                <w:rFonts w:ascii="宋体" w:hAnsi="宋体" w:cs="Arial"/>
                <w:color w:val="555555"/>
                <w:kern w:val="0"/>
                <w:sz w:val="18"/>
                <w:szCs w:val="18"/>
              </w:rPr>
            </w:pPr>
            <w:r>
              <w:rPr>
                <w:rFonts w:hint="eastAsia" w:ascii="宋体" w:hAnsi="宋体" w:cs="Arial"/>
                <w:color w:val="555555"/>
                <w:kern w:val="0"/>
                <w:sz w:val="18"/>
                <w:szCs w:val="18"/>
                <w:lang w:bidi="ar"/>
              </w:rPr>
              <w:t>评分准则</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2620" w:hRule="atLeast"/>
          <w:jc w:val="center"/>
        </w:trPr>
        <w:tc>
          <w:tcPr>
            <w:tcW w:w="557" w:type="dxa"/>
            <w:vMerge w:val="continue"/>
            <w:tcBorders>
              <w:top w:val="single" w:color="auto" w:sz="8" w:space="0"/>
              <w:left w:val="single" w:color="auto" w:sz="8" w:space="0"/>
              <w:bottom w:val="single" w:color="auto" w:sz="8" w:space="0"/>
              <w:right w:val="single" w:color="auto" w:sz="8" w:space="0"/>
            </w:tcBorders>
            <w:tcMar>
              <w:left w:w="108" w:type="dxa"/>
              <w:right w:w="108" w:type="dxa"/>
            </w:tcMar>
            <w:vAlign w:val="center"/>
          </w:tcPr>
          <w:p>
            <w:pPr>
              <w:rPr>
                <w:sz w:val="20"/>
                <w:szCs w:val="20"/>
              </w:rPr>
            </w:pPr>
          </w:p>
        </w:tc>
        <w:tc>
          <w:tcPr>
            <w:tcW w:w="567" w:type="dxa"/>
            <w:tcBorders>
              <w:top w:val="single" w:color="auto" w:sz="8" w:space="0"/>
              <w:left w:val="nil"/>
              <w:bottom w:val="nil"/>
              <w:right w:val="single" w:color="auto" w:sz="8" w:space="0"/>
            </w:tcBorders>
            <w:tcMar>
              <w:left w:w="108" w:type="dxa"/>
              <w:right w:w="108" w:type="dxa"/>
            </w:tcMar>
            <w:vAlign w:val="center"/>
          </w:tcPr>
          <w:p>
            <w:pPr>
              <w:widowControl/>
              <w:spacing w:before="100" w:beforeAutospacing="1" w:after="160" w:line="240" w:lineRule="atLeast"/>
              <w:jc w:val="center"/>
              <w:rPr>
                <w:rFonts w:ascii="宋体" w:hAnsi="宋体" w:cs="Arial"/>
                <w:color w:val="555555"/>
                <w:kern w:val="0"/>
                <w:sz w:val="18"/>
                <w:szCs w:val="18"/>
              </w:rPr>
            </w:pPr>
            <w:r>
              <w:rPr>
                <w:rFonts w:hint="eastAsia" w:ascii="宋体" w:hAnsi="宋体" w:cs="Arial"/>
                <w:color w:val="555555"/>
                <w:kern w:val="0"/>
                <w:sz w:val="18"/>
                <w:szCs w:val="18"/>
                <w:lang w:bidi="ar"/>
              </w:rPr>
              <w:t>1</w:t>
            </w:r>
          </w:p>
        </w:tc>
        <w:tc>
          <w:tcPr>
            <w:tcW w:w="1702" w:type="dxa"/>
            <w:tcBorders>
              <w:top w:val="single" w:color="auto" w:sz="8" w:space="0"/>
              <w:left w:val="nil"/>
              <w:bottom w:val="nil"/>
              <w:right w:val="single" w:color="auto" w:sz="8" w:space="0"/>
            </w:tcBorders>
            <w:vAlign w:val="center"/>
          </w:tcPr>
          <w:p>
            <w:pPr>
              <w:widowControl/>
              <w:spacing w:before="100" w:beforeAutospacing="1" w:after="160" w:line="240" w:lineRule="atLeast"/>
              <w:jc w:val="center"/>
              <w:rPr>
                <w:rFonts w:ascii="宋体" w:hAnsi="宋体" w:cs="Arial"/>
                <w:color w:val="555555"/>
                <w:kern w:val="0"/>
                <w:sz w:val="18"/>
                <w:szCs w:val="18"/>
              </w:rPr>
            </w:pPr>
            <w:r>
              <w:rPr>
                <w:rFonts w:hint="eastAsia" w:ascii="宋体" w:hAnsi="宋体" w:cs="Arial"/>
                <w:color w:val="555555"/>
                <w:kern w:val="0"/>
                <w:sz w:val="18"/>
                <w:szCs w:val="18"/>
                <w:lang w:bidi="ar"/>
              </w:rPr>
              <w:t>诚信管理情况</w:t>
            </w:r>
          </w:p>
        </w:tc>
        <w:tc>
          <w:tcPr>
            <w:tcW w:w="709" w:type="dxa"/>
            <w:tcBorders>
              <w:top w:val="single" w:color="auto" w:sz="8" w:space="0"/>
              <w:left w:val="nil"/>
              <w:bottom w:val="nil"/>
              <w:right w:val="single" w:color="auto" w:sz="8" w:space="0"/>
            </w:tcBorders>
            <w:vAlign w:val="center"/>
          </w:tcPr>
          <w:p>
            <w:pPr>
              <w:widowControl/>
              <w:spacing w:before="100" w:beforeAutospacing="1" w:after="160" w:line="240" w:lineRule="atLeast"/>
              <w:jc w:val="center"/>
              <w:rPr>
                <w:rFonts w:ascii="宋体" w:hAnsi="宋体" w:cs="Arial"/>
                <w:color w:val="555555"/>
                <w:kern w:val="0"/>
                <w:sz w:val="18"/>
                <w:szCs w:val="18"/>
              </w:rPr>
            </w:pPr>
            <w:r>
              <w:rPr>
                <w:rFonts w:hint="eastAsia" w:ascii="宋体" w:hAnsi="宋体" w:cs="Arial"/>
                <w:color w:val="555555"/>
                <w:kern w:val="0"/>
                <w:sz w:val="18"/>
                <w:szCs w:val="18"/>
                <w:lang w:bidi="ar"/>
              </w:rPr>
              <w:t>5</w:t>
            </w:r>
          </w:p>
        </w:tc>
        <w:tc>
          <w:tcPr>
            <w:tcW w:w="709" w:type="dxa"/>
            <w:tcBorders>
              <w:top w:val="single" w:color="auto" w:sz="8" w:space="0"/>
              <w:left w:val="nil"/>
              <w:bottom w:val="nil"/>
              <w:right w:val="single" w:color="auto" w:sz="8" w:space="0"/>
            </w:tcBorders>
            <w:vAlign w:val="center"/>
          </w:tcPr>
          <w:p>
            <w:pPr>
              <w:widowControl/>
              <w:spacing w:before="100" w:beforeAutospacing="1" w:after="160" w:line="240" w:lineRule="atLeast"/>
              <w:jc w:val="center"/>
              <w:rPr>
                <w:rFonts w:ascii="宋体" w:hAnsi="宋体" w:cs="Arial"/>
                <w:color w:val="555555"/>
                <w:kern w:val="0"/>
                <w:sz w:val="18"/>
                <w:szCs w:val="18"/>
              </w:rPr>
            </w:pPr>
            <w:r>
              <w:rPr>
                <w:rFonts w:hint="eastAsia" w:ascii="宋体" w:hAnsi="宋体" w:cs="Arial"/>
                <w:color w:val="555555"/>
                <w:kern w:val="0"/>
                <w:sz w:val="18"/>
                <w:szCs w:val="18"/>
                <w:lang w:bidi="ar"/>
              </w:rPr>
              <w:t>专家打分</w:t>
            </w:r>
          </w:p>
        </w:tc>
        <w:tc>
          <w:tcPr>
            <w:tcW w:w="4298" w:type="dxa"/>
            <w:tcBorders>
              <w:top w:val="single" w:color="auto" w:sz="8" w:space="0"/>
              <w:left w:val="nil"/>
              <w:bottom w:val="nil"/>
              <w:right w:val="single" w:color="auto" w:sz="8" w:space="0"/>
            </w:tcBorders>
            <w:tcMar>
              <w:left w:w="108" w:type="dxa"/>
              <w:right w:w="108" w:type="dxa"/>
            </w:tcMar>
            <w:vAlign w:val="center"/>
          </w:tcPr>
          <w:p>
            <w:pPr>
              <w:widowControl/>
              <w:spacing w:before="100" w:beforeAutospacing="1" w:after="160" w:line="240" w:lineRule="atLeast"/>
              <w:jc w:val="left"/>
              <w:rPr>
                <w:rFonts w:ascii="宋体" w:hAnsi="宋体" w:cs="Arial"/>
                <w:kern w:val="0"/>
                <w:sz w:val="18"/>
                <w:szCs w:val="18"/>
              </w:rPr>
            </w:pPr>
            <w:r>
              <w:rPr>
                <w:rFonts w:hint="eastAsia" w:cs="宋体"/>
                <w:color w:val="000000"/>
                <w:szCs w:val="21"/>
                <w:lang w:bidi="ar"/>
              </w:rPr>
              <w:t>评分准则内容: 根据《深圳市财政委员会关于印发〈深圳市政府采购供应商诚信管理暂行办法操作细则〉的通知》（深财购[2017]42号）的要求，投标人在参与政府采购活动中存在诚信相关问题且在主管部门相关处理措施实施期限内的，本项不得分，否则得满分。投标人无需提供任何证明材料，由工作人员向评审委员会提供相关信息。</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411" w:hRule="atLeast"/>
          <w:jc w:val="center"/>
        </w:trPr>
        <w:tc>
          <w:tcPr>
            <w:tcW w:w="557" w:type="dxa"/>
            <w:vMerge w:val="continue"/>
            <w:tcBorders>
              <w:top w:val="single" w:color="auto" w:sz="8" w:space="0"/>
              <w:left w:val="single" w:color="auto" w:sz="8" w:space="0"/>
              <w:bottom w:val="single" w:color="auto" w:sz="8" w:space="0"/>
              <w:right w:val="single" w:color="auto" w:sz="8" w:space="0"/>
            </w:tcBorders>
            <w:tcMar>
              <w:left w:w="108" w:type="dxa"/>
              <w:right w:w="108" w:type="dxa"/>
            </w:tcMar>
            <w:vAlign w:val="center"/>
          </w:tcPr>
          <w:p>
            <w:pPr>
              <w:rPr>
                <w:sz w:val="20"/>
                <w:szCs w:val="20"/>
              </w:rPr>
            </w:pPr>
          </w:p>
        </w:tc>
        <w:tc>
          <w:tcPr>
            <w:tcW w:w="567" w:type="dxa"/>
            <w:tcBorders>
              <w:top w:val="single" w:color="auto" w:sz="8" w:space="0"/>
              <w:left w:val="nil"/>
              <w:bottom w:val="single" w:color="auto" w:sz="8" w:space="0"/>
              <w:right w:val="single" w:color="auto" w:sz="8" w:space="0"/>
            </w:tcBorders>
            <w:tcMar>
              <w:left w:w="108" w:type="dxa"/>
              <w:right w:w="108" w:type="dxa"/>
            </w:tcMar>
            <w:vAlign w:val="center"/>
          </w:tcPr>
          <w:p>
            <w:pPr>
              <w:widowControl/>
              <w:spacing w:before="100" w:beforeAutospacing="1" w:after="160" w:line="240" w:lineRule="atLeast"/>
              <w:jc w:val="center"/>
              <w:rPr>
                <w:rFonts w:ascii="宋体" w:hAnsi="宋体" w:cs="Arial"/>
                <w:color w:val="555555"/>
                <w:kern w:val="0"/>
                <w:sz w:val="18"/>
                <w:szCs w:val="18"/>
              </w:rPr>
            </w:pPr>
          </w:p>
        </w:tc>
        <w:tc>
          <w:tcPr>
            <w:tcW w:w="1702" w:type="dxa"/>
            <w:tcBorders>
              <w:top w:val="single" w:color="auto" w:sz="8" w:space="0"/>
              <w:left w:val="nil"/>
              <w:bottom w:val="single" w:color="auto" w:sz="8" w:space="0"/>
              <w:right w:val="single" w:color="auto" w:sz="8" w:space="0"/>
            </w:tcBorders>
            <w:vAlign w:val="center"/>
          </w:tcPr>
          <w:p>
            <w:pPr>
              <w:widowControl/>
              <w:spacing w:before="100" w:beforeAutospacing="1" w:after="160" w:line="240" w:lineRule="atLeast"/>
              <w:jc w:val="center"/>
              <w:rPr>
                <w:rFonts w:ascii="宋体" w:hAnsi="宋体" w:cs="Arial"/>
                <w:color w:val="555555"/>
                <w:kern w:val="0"/>
                <w:sz w:val="18"/>
                <w:szCs w:val="18"/>
              </w:rPr>
            </w:pPr>
            <w:r>
              <w:rPr>
                <w:rFonts w:hint="eastAsia" w:ascii="宋体" w:hAnsi="宋体" w:cs="Arial"/>
                <w:color w:val="555555"/>
                <w:kern w:val="0"/>
                <w:sz w:val="18"/>
                <w:szCs w:val="18"/>
                <w:lang w:bidi="ar"/>
              </w:rPr>
              <w:t>履约评价情况</w:t>
            </w:r>
          </w:p>
        </w:tc>
        <w:tc>
          <w:tcPr>
            <w:tcW w:w="709" w:type="dxa"/>
            <w:tcBorders>
              <w:top w:val="single" w:color="auto" w:sz="8" w:space="0"/>
              <w:left w:val="nil"/>
              <w:bottom w:val="single" w:color="auto" w:sz="8" w:space="0"/>
              <w:right w:val="single" w:color="auto" w:sz="8" w:space="0"/>
            </w:tcBorders>
            <w:vAlign w:val="center"/>
          </w:tcPr>
          <w:p>
            <w:pPr>
              <w:widowControl/>
              <w:spacing w:before="100" w:beforeAutospacing="1" w:after="160" w:line="240" w:lineRule="atLeast"/>
              <w:jc w:val="center"/>
              <w:rPr>
                <w:rFonts w:ascii="宋体" w:hAnsi="宋体" w:cs="Arial"/>
                <w:color w:val="555555"/>
                <w:kern w:val="0"/>
                <w:sz w:val="18"/>
                <w:szCs w:val="18"/>
              </w:rPr>
            </w:pPr>
            <w:r>
              <w:rPr>
                <w:rFonts w:hint="eastAsia" w:ascii="宋体" w:hAnsi="宋体" w:cs="Arial"/>
                <w:color w:val="555555"/>
                <w:kern w:val="0"/>
                <w:sz w:val="18"/>
                <w:szCs w:val="18"/>
                <w:lang w:bidi="ar"/>
              </w:rPr>
              <w:t>2</w:t>
            </w:r>
          </w:p>
        </w:tc>
        <w:tc>
          <w:tcPr>
            <w:tcW w:w="709" w:type="dxa"/>
            <w:tcBorders>
              <w:top w:val="single" w:color="auto" w:sz="8" w:space="0"/>
              <w:left w:val="nil"/>
              <w:bottom w:val="single" w:color="auto" w:sz="8" w:space="0"/>
              <w:right w:val="single" w:color="auto" w:sz="8" w:space="0"/>
            </w:tcBorders>
            <w:vAlign w:val="center"/>
          </w:tcPr>
          <w:p>
            <w:pPr>
              <w:widowControl/>
              <w:spacing w:before="100" w:beforeAutospacing="1" w:after="160" w:line="240" w:lineRule="atLeast"/>
              <w:jc w:val="center"/>
              <w:rPr>
                <w:rFonts w:ascii="宋体" w:hAnsi="宋体" w:cs="Arial"/>
                <w:color w:val="555555"/>
                <w:kern w:val="0"/>
                <w:sz w:val="18"/>
                <w:szCs w:val="18"/>
              </w:rPr>
            </w:pPr>
            <w:r>
              <w:rPr>
                <w:rFonts w:hint="eastAsia" w:ascii="宋体" w:hAnsi="宋体" w:cs="Arial"/>
                <w:color w:val="555555"/>
                <w:kern w:val="0"/>
                <w:sz w:val="18"/>
                <w:szCs w:val="18"/>
                <w:lang w:bidi="ar"/>
              </w:rPr>
              <w:t>专家打分</w:t>
            </w:r>
          </w:p>
        </w:tc>
        <w:tc>
          <w:tcPr>
            <w:tcW w:w="4298" w:type="dxa"/>
            <w:tcBorders>
              <w:top w:val="single" w:color="auto" w:sz="8" w:space="0"/>
              <w:left w:val="nil"/>
              <w:bottom w:val="single" w:color="auto" w:sz="8" w:space="0"/>
              <w:right w:val="single" w:color="auto" w:sz="8" w:space="0"/>
            </w:tcBorders>
            <w:tcMar>
              <w:left w:w="108" w:type="dxa"/>
              <w:right w:w="108" w:type="dxa"/>
            </w:tcMar>
            <w:vAlign w:val="center"/>
          </w:tcPr>
          <w:p>
            <w:pPr>
              <w:widowControl/>
              <w:spacing w:before="100" w:beforeAutospacing="1" w:after="160" w:line="240" w:lineRule="atLeast"/>
              <w:jc w:val="left"/>
              <w:rPr>
                <w:rFonts w:ascii="宋体" w:hAnsi="宋体" w:cs="Arial"/>
                <w:kern w:val="0"/>
                <w:sz w:val="18"/>
                <w:szCs w:val="18"/>
              </w:rPr>
            </w:pPr>
            <w:r>
              <w:rPr>
                <w:rFonts w:hint="eastAsia" w:cs="宋体"/>
                <w:color w:val="000000"/>
                <w:szCs w:val="21"/>
                <w:lang w:bidi="ar"/>
              </w:rPr>
              <w:t>评分准则内容: 近三年（以投标截止日期为准）在市政府采购中心有履约评价为差的记录，本项不得分，否则，得满分。投标人无需提供任何证明材料，由采购中心工作人员向评委会提供相关信息。</w:t>
            </w:r>
          </w:p>
        </w:tc>
      </w:tr>
    </w:tbl>
    <w:p/>
    <w:p>
      <w:pPr>
        <w:ind w:firstLine="422" w:firstLineChars="200"/>
        <w:rPr>
          <w:b/>
          <w:szCs w:val="21"/>
        </w:rPr>
      </w:pPr>
      <w:r>
        <w:rPr>
          <w:rFonts w:hint="eastAsia"/>
          <w:b/>
          <w:szCs w:val="21"/>
        </w:rPr>
        <w:t>评审</w:t>
      </w:r>
      <w:r>
        <w:rPr>
          <w:b/>
          <w:szCs w:val="21"/>
        </w:rPr>
        <w:t>方法：</w:t>
      </w:r>
      <w:r>
        <w:rPr>
          <w:rFonts w:hint="eastAsia"/>
          <w:b/>
          <w:szCs w:val="21"/>
        </w:rPr>
        <w:t xml:space="preserve"> 综合评分法（详见本招标文件第二册通用条款第七章）。本项目中标供应商数量为</w:t>
      </w:r>
      <w:r>
        <w:rPr>
          <w:rFonts w:hint="eastAsia"/>
          <w:b/>
          <w:szCs w:val="21"/>
          <w:u w:val="single"/>
        </w:rPr>
        <w:t xml:space="preserve"> 1 </w:t>
      </w:r>
      <w:r>
        <w:rPr>
          <w:rFonts w:hint="eastAsia"/>
          <w:b/>
          <w:szCs w:val="21"/>
        </w:rPr>
        <w:t>家。</w:t>
      </w:r>
    </w:p>
    <w:p>
      <w:pPr>
        <w:ind w:firstLine="422" w:firstLineChars="200"/>
      </w:pPr>
      <w:r>
        <w:rPr>
          <w:rFonts w:hint="eastAsia" w:ascii="宋体" w:hAnsi="宋体"/>
          <w:b/>
          <w:szCs w:val="21"/>
        </w:rPr>
        <w:t>定标方法：授权</w:t>
      </w:r>
      <w:r>
        <w:rPr>
          <w:rFonts w:ascii="宋体" w:hAnsi="宋体"/>
          <w:b/>
          <w:szCs w:val="21"/>
        </w:rPr>
        <w:t>评标委员会定标。</w:t>
      </w:r>
    </w:p>
    <w:p>
      <w:pPr>
        <w:pStyle w:val="2"/>
      </w:pPr>
      <w:r>
        <w:rPr>
          <w:rFonts w:hint="eastAsia"/>
        </w:rPr>
        <w:t>目   录</w:t>
      </w:r>
    </w:p>
    <w:p>
      <w:pPr>
        <w:rPr>
          <w:b/>
          <w:color w:val="000000"/>
          <w:sz w:val="24"/>
        </w:rPr>
      </w:pPr>
      <w:r>
        <w:rPr>
          <w:rFonts w:hint="eastAsia"/>
          <w:b/>
          <w:color w:val="000000"/>
          <w:sz w:val="24"/>
        </w:rPr>
        <w:t>第一册  专用条款</w:t>
      </w:r>
    </w:p>
    <w:p>
      <w:pPr>
        <w:rPr>
          <w:sz w:val="24"/>
        </w:rPr>
      </w:pPr>
      <w:r>
        <w:rPr>
          <w:rFonts w:hint="eastAsia"/>
          <w:color w:val="FF0000"/>
          <w:sz w:val="24"/>
        </w:rPr>
        <w:t xml:space="preserve">         </w:t>
      </w:r>
      <w:r>
        <w:rPr>
          <w:rFonts w:hint="eastAsia"/>
          <w:sz w:val="24"/>
        </w:rPr>
        <w:t>关键信息</w:t>
      </w:r>
    </w:p>
    <w:p>
      <w:pPr>
        <w:ind w:left="630" w:leftChars="300" w:firstLine="504" w:firstLineChars="240"/>
        <w:rPr>
          <w:rFonts w:ascii="宋体" w:hAnsi="宋体"/>
          <w:szCs w:val="21"/>
        </w:rPr>
      </w:pPr>
      <w:r>
        <w:rPr>
          <w:rFonts w:hint="eastAsia" w:ascii="宋体" w:hAnsi="宋体"/>
          <w:szCs w:val="21"/>
        </w:rPr>
        <w:t>第一章  招标公告</w:t>
      </w:r>
    </w:p>
    <w:p>
      <w:pPr>
        <w:ind w:left="630" w:leftChars="300" w:firstLine="504" w:firstLineChars="240"/>
        <w:rPr>
          <w:rFonts w:ascii="宋体" w:hAnsi="宋体"/>
          <w:szCs w:val="21"/>
        </w:rPr>
      </w:pPr>
      <w:r>
        <w:rPr>
          <w:rFonts w:hint="eastAsia" w:ascii="宋体" w:hAnsi="宋体"/>
          <w:szCs w:val="21"/>
        </w:rPr>
        <w:t>第二章  招标项目需求</w:t>
      </w:r>
    </w:p>
    <w:p>
      <w:pPr>
        <w:ind w:left="630" w:leftChars="300" w:firstLine="504" w:firstLineChars="240"/>
        <w:rPr>
          <w:rFonts w:ascii="宋体" w:hAnsi="宋体"/>
          <w:szCs w:val="21"/>
        </w:rPr>
      </w:pPr>
      <w:r>
        <w:rPr>
          <w:rFonts w:hint="eastAsia" w:ascii="宋体" w:hAnsi="宋体"/>
          <w:szCs w:val="21"/>
        </w:rPr>
        <w:t>第三章  合同条款及格式</w:t>
      </w:r>
    </w:p>
    <w:p>
      <w:pPr>
        <w:ind w:left="630" w:leftChars="300" w:firstLine="504" w:firstLineChars="240"/>
        <w:rPr>
          <w:rFonts w:ascii="宋体" w:hAnsi="宋体"/>
          <w:szCs w:val="21"/>
        </w:rPr>
      </w:pPr>
      <w:r>
        <w:rPr>
          <w:rFonts w:hint="eastAsia" w:ascii="宋体" w:hAnsi="宋体"/>
          <w:szCs w:val="21"/>
        </w:rPr>
        <w:t>第四章  投标文件格式、附件</w:t>
      </w:r>
    </w:p>
    <w:p>
      <w:pPr>
        <w:ind w:left="630" w:leftChars="300" w:firstLine="504" w:firstLineChars="240"/>
        <w:rPr>
          <w:rFonts w:ascii="宋体" w:hAnsi="宋体"/>
          <w:szCs w:val="21"/>
        </w:rPr>
      </w:pPr>
      <w:r>
        <w:rPr>
          <w:rFonts w:hint="eastAsia" w:ascii="宋体" w:hAnsi="宋体"/>
          <w:szCs w:val="21"/>
        </w:rPr>
        <w:t>第五章  政府采购履约异常情况反馈表</w:t>
      </w:r>
    </w:p>
    <w:p>
      <w:pPr>
        <w:rPr>
          <w:b/>
          <w:color w:val="000000"/>
          <w:sz w:val="24"/>
        </w:rPr>
      </w:pPr>
    </w:p>
    <w:p>
      <w:pPr>
        <w:rPr>
          <w:b/>
          <w:color w:val="000000"/>
          <w:sz w:val="24"/>
        </w:rPr>
      </w:pPr>
      <w:r>
        <w:rPr>
          <w:rFonts w:hint="eastAsia"/>
          <w:b/>
          <w:color w:val="000000"/>
          <w:sz w:val="24"/>
        </w:rPr>
        <w:t>第二册  通用条款</w:t>
      </w:r>
    </w:p>
    <w:p>
      <w:pPr>
        <w:numPr>
          <w:ilvl w:val="1"/>
          <w:numId w:val="0"/>
        </w:numPr>
        <w:tabs>
          <w:tab w:val="left" w:pos="360"/>
        </w:tabs>
        <w:ind w:firstLine="1079" w:firstLineChars="514"/>
        <w:rPr>
          <w:szCs w:val="21"/>
        </w:rPr>
      </w:pPr>
      <w:r>
        <w:rPr>
          <w:rFonts w:hint="eastAsia"/>
          <w:szCs w:val="21"/>
        </w:rPr>
        <w:t>第一章  总则</w:t>
      </w:r>
    </w:p>
    <w:p>
      <w:pPr>
        <w:numPr>
          <w:ilvl w:val="1"/>
          <w:numId w:val="0"/>
        </w:numPr>
        <w:tabs>
          <w:tab w:val="left" w:pos="360"/>
        </w:tabs>
        <w:ind w:firstLine="1079" w:firstLineChars="514"/>
        <w:rPr>
          <w:szCs w:val="21"/>
        </w:rPr>
      </w:pPr>
      <w:r>
        <w:rPr>
          <w:rFonts w:hint="eastAsia"/>
          <w:szCs w:val="21"/>
        </w:rPr>
        <w:t>第二章  招标文件</w:t>
      </w:r>
    </w:p>
    <w:p>
      <w:pPr>
        <w:numPr>
          <w:ilvl w:val="1"/>
          <w:numId w:val="0"/>
        </w:numPr>
        <w:tabs>
          <w:tab w:val="left" w:pos="360"/>
        </w:tabs>
        <w:ind w:firstLine="1079" w:firstLineChars="514"/>
        <w:rPr>
          <w:szCs w:val="21"/>
        </w:rPr>
      </w:pPr>
      <w:r>
        <w:rPr>
          <w:rFonts w:hint="eastAsia"/>
          <w:szCs w:val="21"/>
        </w:rPr>
        <w:t>第三章  投标文件的编制</w:t>
      </w:r>
    </w:p>
    <w:p>
      <w:pPr>
        <w:numPr>
          <w:ilvl w:val="1"/>
          <w:numId w:val="0"/>
        </w:numPr>
        <w:tabs>
          <w:tab w:val="left" w:pos="360"/>
        </w:tabs>
        <w:ind w:firstLine="1079" w:firstLineChars="514"/>
        <w:rPr>
          <w:szCs w:val="21"/>
        </w:rPr>
      </w:pPr>
      <w:r>
        <w:rPr>
          <w:rFonts w:hint="eastAsia"/>
          <w:szCs w:val="21"/>
        </w:rPr>
        <w:t>第四章  投标文件的递交</w:t>
      </w:r>
    </w:p>
    <w:p>
      <w:pPr>
        <w:numPr>
          <w:ilvl w:val="1"/>
          <w:numId w:val="0"/>
        </w:numPr>
        <w:tabs>
          <w:tab w:val="left" w:pos="360"/>
        </w:tabs>
        <w:ind w:firstLine="1079" w:firstLineChars="514"/>
        <w:rPr>
          <w:szCs w:val="21"/>
        </w:rPr>
      </w:pPr>
      <w:r>
        <w:rPr>
          <w:rFonts w:hint="eastAsia"/>
          <w:szCs w:val="21"/>
        </w:rPr>
        <w:t>第五章  开标</w:t>
      </w:r>
    </w:p>
    <w:p>
      <w:pPr>
        <w:numPr>
          <w:ilvl w:val="1"/>
          <w:numId w:val="0"/>
        </w:numPr>
        <w:tabs>
          <w:tab w:val="left" w:pos="360"/>
        </w:tabs>
        <w:ind w:firstLine="1079" w:firstLineChars="514"/>
        <w:rPr>
          <w:szCs w:val="21"/>
        </w:rPr>
      </w:pPr>
      <w:r>
        <w:rPr>
          <w:rFonts w:hint="eastAsia"/>
          <w:szCs w:val="21"/>
        </w:rPr>
        <w:t>第六章  评标要求</w:t>
      </w:r>
    </w:p>
    <w:p>
      <w:pPr>
        <w:numPr>
          <w:ilvl w:val="1"/>
          <w:numId w:val="0"/>
        </w:numPr>
        <w:tabs>
          <w:tab w:val="left" w:pos="360"/>
        </w:tabs>
        <w:ind w:firstLine="1079" w:firstLineChars="514"/>
        <w:rPr>
          <w:szCs w:val="21"/>
        </w:rPr>
      </w:pPr>
      <w:r>
        <w:rPr>
          <w:rFonts w:hint="eastAsia"/>
          <w:szCs w:val="21"/>
        </w:rPr>
        <w:t>第七章  评标程序及评标方法</w:t>
      </w:r>
    </w:p>
    <w:p>
      <w:pPr>
        <w:numPr>
          <w:ilvl w:val="1"/>
          <w:numId w:val="0"/>
        </w:numPr>
        <w:tabs>
          <w:tab w:val="left" w:pos="360"/>
        </w:tabs>
        <w:ind w:firstLine="1079" w:firstLineChars="514"/>
        <w:rPr>
          <w:szCs w:val="21"/>
        </w:rPr>
      </w:pPr>
      <w:r>
        <w:rPr>
          <w:rFonts w:hint="eastAsia"/>
          <w:szCs w:val="21"/>
        </w:rPr>
        <w:t>第八章  定标及公示</w:t>
      </w:r>
    </w:p>
    <w:p>
      <w:pPr>
        <w:numPr>
          <w:ilvl w:val="1"/>
          <w:numId w:val="0"/>
        </w:numPr>
        <w:tabs>
          <w:tab w:val="left" w:pos="360"/>
        </w:tabs>
        <w:ind w:firstLine="1079" w:firstLineChars="514"/>
        <w:rPr>
          <w:szCs w:val="21"/>
        </w:rPr>
      </w:pPr>
      <w:r>
        <w:rPr>
          <w:rFonts w:hint="eastAsia"/>
          <w:szCs w:val="21"/>
        </w:rPr>
        <w:t>第九章  公开招标失败的后续处理</w:t>
      </w:r>
    </w:p>
    <w:p>
      <w:pPr>
        <w:numPr>
          <w:ilvl w:val="1"/>
          <w:numId w:val="0"/>
        </w:numPr>
        <w:tabs>
          <w:tab w:val="left" w:pos="360"/>
        </w:tabs>
        <w:ind w:firstLine="1079" w:firstLineChars="514"/>
        <w:rPr>
          <w:szCs w:val="21"/>
        </w:rPr>
      </w:pPr>
      <w:r>
        <w:rPr>
          <w:rFonts w:hint="eastAsia"/>
          <w:szCs w:val="21"/>
        </w:rPr>
        <w:t>第十章  合同的授予与备案</w:t>
      </w:r>
    </w:p>
    <w:p>
      <w:pPr>
        <w:numPr>
          <w:ilvl w:val="1"/>
          <w:numId w:val="0"/>
        </w:numPr>
        <w:tabs>
          <w:tab w:val="left" w:pos="360"/>
        </w:tabs>
        <w:ind w:firstLine="1079" w:firstLineChars="514"/>
        <w:rPr>
          <w:szCs w:val="21"/>
        </w:rPr>
      </w:pPr>
      <w:r>
        <w:rPr>
          <w:rFonts w:hint="eastAsia"/>
          <w:szCs w:val="21"/>
        </w:rPr>
        <w:t>第十一章  质疑处理</w:t>
      </w:r>
    </w:p>
    <w:p>
      <w:pPr>
        <w:rPr>
          <w:color w:val="000000"/>
          <w:sz w:val="24"/>
        </w:rPr>
      </w:pPr>
    </w:p>
    <w:p>
      <w:pPr>
        <w:jc w:val="center"/>
        <w:rPr>
          <w:color w:val="FF0000"/>
          <w:sz w:val="24"/>
        </w:rPr>
      </w:pPr>
      <w:r>
        <w:rPr>
          <w:color w:val="FF0000"/>
          <w:sz w:val="24"/>
        </w:rPr>
        <w:br w:type="page"/>
      </w:r>
    </w:p>
    <w:p>
      <w:pPr>
        <w:pStyle w:val="2"/>
      </w:pPr>
      <w:r>
        <w:rPr>
          <w:rFonts w:hint="eastAsia"/>
        </w:rPr>
        <w:t>第一册  专用条款</w:t>
      </w:r>
    </w:p>
    <w:p>
      <w:pPr>
        <w:keepNext/>
        <w:keepLines/>
        <w:adjustRightInd w:val="0"/>
        <w:spacing w:before="260" w:after="260"/>
        <w:jc w:val="center"/>
        <w:textAlignment w:val="baseline"/>
        <w:outlineLvl w:val="1"/>
        <w:rPr>
          <w:rFonts w:ascii="宋体" w:hAnsi="宋体"/>
          <w:b/>
          <w:kern w:val="0"/>
          <w:sz w:val="32"/>
          <w:szCs w:val="32"/>
        </w:rPr>
      </w:pPr>
      <w:r>
        <w:rPr>
          <w:rFonts w:hint="eastAsia" w:ascii="宋体" w:hAnsi="宋体"/>
          <w:b/>
          <w:kern w:val="0"/>
          <w:sz w:val="32"/>
          <w:szCs w:val="32"/>
        </w:rPr>
        <w:t>第一章  招标公告</w:t>
      </w:r>
    </w:p>
    <w:p>
      <w:pPr>
        <w:spacing w:line="360" w:lineRule="auto"/>
        <w:ind w:firstLine="420" w:firstLineChars="200"/>
        <w:rPr>
          <w:kern w:val="0"/>
          <w:szCs w:val="21"/>
        </w:rPr>
      </w:pPr>
      <w:r>
        <w:rPr>
          <w:kern w:val="0"/>
          <w:szCs w:val="21"/>
        </w:rPr>
        <w:t>根据《深圳经济特区政府采购条例》和《深圳大学采购管理办法》的有关规定，深圳大学招投标管理中心就</w:t>
      </w:r>
      <w:r>
        <w:rPr>
          <w:rFonts w:hint="eastAsia"/>
          <w:kern w:val="0"/>
          <w:szCs w:val="21"/>
        </w:rPr>
        <w:t xml:space="preserve"> </w:t>
      </w:r>
      <w:r>
        <w:rPr>
          <w:rFonts w:hint="eastAsia"/>
          <w:color w:val="FF0000"/>
          <w:kern w:val="0"/>
          <w:szCs w:val="21"/>
          <w:u w:val="single"/>
        </w:rPr>
        <w:t xml:space="preserve">宿舍楼宇内部粉刷工程 </w:t>
      </w:r>
      <w:r>
        <w:rPr>
          <w:kern w:val="0"/>
          <w:szCs w:val="21"/>
        </w:rPr>
        <w:t>项目，进行</w:t>
      </w:r>
      <w:r>
        <w:rPr>
          <w:color w:val="000000"/>
          <w:kern w:val="0"/>
          <w:szCs w:val="21"/>
        </w:rPr>
        <w:t>公开招标</w:t>
      </w:r>
      <w:r>
        <w:rPr>
          <w:kern w:val="0"/>
          <w:szCs w:val="21"/>
        </w:rPr>
        <w:t>，欢迎符合资格的供应商参加投标。</w:t>
      </w:r>
    </w:p>
    <w:p>
      <w:pPr>
        <w:spacing w:line="360" w:lineRule="auto"/>
        <w:ind w:firstLine="420" w:firstLineChars="200"/>
        <w:rPr>
          <w:kern w:val="0"/>
          <w:szCs w:val="21"/>
        </w:rPr>
      </w:pPr>
    </w:p>
    <w:p>
      <w:pPr>
        <w:spacing w:line="360" w:lineRule="auto"/>
        <w:rPr>
          <w:kern w:val="0"/>
          <w:szCs w:val="21"/>
        </w:rPr>
      </w:pPr>
      <w:r>
        <w:rPr>
          <w:kern w:val="0"/>
          <w:szCs w:val="21"/>
        </w:rPr>
        <w:t>一、项目编号：</w:t>
      </w:r>
      <w:r>
        <w:rPr>
          <w:rFonts w:hint="eastAsia" w:ascii="宋体" w:hAnsi="宋体"/>
          <w:color w:val="FF0000"/>
          <w:sz w:val="24"/>
        </w:rPr>
        <w:t>SZUCG20200330GC</w:t>
      </w:r>
    </w:p>
    <w:p>
      <w:pPr>
        <w:spacing w:line="360" w:lineRule="auto"/>
        <w:rPr>
          <w:kern w:val="0"/>
          <w:szCs w:val="21"/>
        </w:rPr>
      </w:pPr>
      <w:r>
        <w:rPr>
          <w:kern w:val="0"/>
          <w:szCs w:val="21"/>
        </w:rPr>
        <w:t>二、项目名称：</w:t>
      </w:r>
      <w:r>
        <w:rPr>
          <w:rFonts w:hint="eastAsia" w:ascii="宋体" w:hAnsi="宋体"/>
          <w:color w:val="FF0000"/>
          <w:sz w:val="24"/>
        </w:rPr>
        <w:t>宿舍楼宇内部粉刷工程</w:t>
      </w:r>
    </w:p>
    <w:p>
      <w:pPr>
        <w:spacing w:line="360" w:lineRule="auto"/>
        <w:rPr>
          <w:color w:val="FF0000"/>
          <w:kern w:val="0"/>
          <w:szCs w:val="21"/>
        </w:rPr>
      </w:pPr>
      <w:r>
        <w:rPr>
          <w:kern w:val="0"/>
          <w:szCs w:val="21"/>
        </w:rPr>
        <w:t>三、项目概况：</w:t>
      </w:r>
      <w:r>
        <w:rPr>
          <w:color w:val="FF0000"/>
          <w:kern w:val="0"/>
          <w:szCs w:val="21"/>
        </w:rPr>
        <w:t xml:space="preserve"> </w:t>
      </w:r>
    </w:p>
    <w:p>
      <w:pPr>
        <w:spacing w:line="360" w:lineRule="auto"/>
        <w:ind w:firstLine="420" w:firstLineChars="200"/>
        <w:rPr>
          <w:kern w:val="0"/>
          <w:szCs w:val="21"/>
        </w:rPr>
      </w:pPr>
      <w:r>
        <w:rPr>
          <w:kern w:val="0"/>
          <w:szCs w:val="21"/>
        </w:rPr>
        <w:t xml:space="preserve">详见招标文件。   </w:t>
      </w:r>
    </w:p>
    <w:p>
      <w:pPr>
        <w:spacing w:line="360" w:lineRule="auto"/>
        <w:rPr>
          <w:kern w:val="0"/>
          <w:szCs w:val="21"/>
        </w:rPr>
      </w:pPr>
      <w:r>
        <w:rPr>
          <w:kern w:val="0"/>
          <w:szCs w:val="21"/>
        </w:rPr>
        <w:t>四、投标人资格要求：</w:t>
      </w:r>
    </w:p>
    <w:p>
      <w:pPr>
        <w:spacing w:line="360" w:lineRule="auto"/>
        <w:ind w:firstLine="420" w:firstLineChars="200"/>
        <w:rPr>
          <w:kern w:val="0"/>
          <w:szCs w:val="21"/>
        </w:rPr>
      </w:pPr>
      <w:r>
        <w:rPr>
          <w:kern w:val="0"/>
          <w:szCs w:val="21"/>
        </w:rPr>
        <w:t>1. 投标人须是在中华人民共和国境内注册的有合法经营资格的法人或者其他组织；（证明文件：法人或者其他组织的营业执照（依法不需申请营业执照的使用法定的登记注册文件）原件复印件加盖投标人公章，原件备查）；</w:t>
      </w:r>
    </w:p>
    <w:p>
      <w:pPr>
        <w:spacing w:line="360" w:lineRule="auto"/>
        <w:ind w:firstLine="420" w:firstLineChars="200"/>
        <w:rPr>
          <w:kern w:val="0"/>
          <w:szCs w:val="21"/>
        </w:rPr>
      </w:pPr>
      <w:r>
        <w:rPr>
          <w:kern w:val="0"/>
          <w:szCs w:val="21"/>
        </w:rPr>
        <w:t>2. 投标人是深圳大学</w:t>
      </w:r>
      <w:r>
        <w:rPr>
          <w:rFonts w:hint="eastAsia"/>
          <w:kern w:val="0"/>
          <w:szCs w:val="21"/>
        </w:rPr>
        <w:t>2020年度装饰修缮工程预选供应商</w:t>
      </w:r>
      <w:r>
        <w:rPr>
          <w:rFonts w:hint="eastAsia"/>
          <w:b/>
          <w:color w:val="FF0000"/>
          <w:kern w:val="0"/>
          <w:szCs w:val="21"/>
        </w:rPr>
        <w:t>（A类</w:t>
      </w:r>
      <w:r>
        <w:rPr>
          <w:b/>
          <w:color w:val="FF0000"/>
          <w:kern w:val="0"/>
          <w:szCs w:val="21"/>
        </w:rPr>
        <w:t>资质</w:t>
      </w:r>
      <w:r>
        <w:rPr>
          <w:rFonts w:hint="eastAsia"/>
          <w:b/>
          <w:color w:val="FF0000"/>
          <w:kern w:val="0"/>
          <w:szCs w:val="21"/>
        </w:rPr>
        <w:t>）</w:t>
      </w:r>
      <w:r>
        <w:rPr>
          <w:kern w:val="0"/>
          <w:szCs w:val="21"/>
        </w:rPr>
        <w:t>；</w:t>
      </w:r>
      <w:r>
        <w:rPr>
          <w:rFonts w:hint="eastAsia"/>
          <w:kern w:val="0"/>
          <w:szCs w:val="21"/>
        </w:rPr>
        <w:t>具有建筑装修装饰工程专业承包一级资质的施工企业。</w:t>
      </w:r>
    </w:p>
    <w:p>
      <w:pPr>
        <w:spacing w:line="360" w:lineRule="auto"/>
        <w:ind w:firstLine="420" w:firstLineChars="200"/>
        <w:rPr>
          <w:kern w:val="0"/>
          <w:szCs w:val="21"/>
        </w:rPr>
      </w:pPr>
      <w:r>
        <w:rPr>
          <w:kern w:val="0"/>
          <w:szCs w:val="21"/>
        </w:rPr>
        <w:t>3. 投标人近三年内，在经营活动中没有重大违法记录。(证明文件：投标人须提供《无违法违规行为承诺函》加盖投标人公章)；</w:t>
      </w:r>
    </w:p>
    <w:p>
      <w:pPr>
        <w:spacing w:line="360" w:lineRule="auto"/>
        <w:ind w:firstLine="420" w:firstLineChars="200"/>
        <w:rPr>
          <w:kern w:val="0"/>
          <w:szCs w:val="21"/>
        </w:rPr>
      </w:pPr>
      <w:r>
        <w:rPr>
          <w:kern w:val="0"/>
          <w:szCs w:val="21"/>
        </w:rPr>
        <w:t>4. 本项目不接受联合体投标；</w:t>
      </w:r>
    </w:p>
    <w:p>
      <w:pPr>
        <w:spacing w:line="360" w:lineRule="auto"/>
        <w:ind w:firstLine="420"/>
        <w:rPr>
          <w:kern w:val="0"/>
          <w:szCs w:val="21"/>
          <w:highlight w:val="yellow"/>
        </w:rPr>
      </w:pPr>
      <w:r>
        <w:rPr>
          <w:kern w:val="0"/>
          <w:szCs w:val="21"/>
        </w:rPr>
        <w:t xml:space="preserve">5. </w:t>
      </w:r>
      <w:r>
        <w:rPr>
          <w:kern w:val="0"/>
          <w:szCs w:val="21"/>
          <w:highlight w:val="yellow"/>
        </w:rPr>
        <w:t>本项目拒绝投标人选用进口产品参与投标（进口产品是指通过海关验放进入中国境内且产自关境外的进口产品）。</w:t>
      </w:r>
    </w:p>
    <w:p>
      <w:pPr>
        <w:spacing w:line="360" w:lineRule="auto"/>
        <w:ind w:firstLine="420"/>
        <w:rPr>
          <w:kern w:val="0"/>
          <w:szCs w:val="21"/>
        </w:rPr>
      </w:pPr>
      <w:r>
        <w:rPr>
          <w:kern w:val="0"/>
          <w:szCs w:val="21"/>
        </w:rPr>
        <w:t>五、采购预算：</w:t>
      </w:r>
    </w:p>
    <w:p>
      <w:pPr>
        <w:spacing w:line="360" w:lineRule="auto"/>
        <w:ind w:firstLine="420"/>
        <w:rPr>
          <w:kern w:val="0"/>
          <w:szCs w:val="21"/>
        </w:rPr>
      </w:pPr>
      <w:r>
        <w:rPr>
          <w:kern w:val="0"/>
          <w:szCs w:val="21"/>
        </w:rPr>
        <w:t xml:space="preserve">合计: </w:t>
      </w:r>
      <w:r>
        <w:rPr>
          <w:rStyle w:val="194"/>
          <w:rFonts w:hint="eastAsia"/>
          <w:sz w:val="20"/>
          <w:szCs w:val="20"/>
        </w:rPr>
        <w:t>999,978.00</w:t>
      </w:r>
      <w:r>
        <w:rPr>
          <w:kern w:val="0"/>
          <w:szCs w:val="21"/>
        </w:rPr>
        <w:t>元（人民币）。</w:t>
      </w:r>
    </w:p>
    <w:p>
      <w:pPr>
        <w:spacing w:line="360" w:lineRule="auto"/>
        <w:ind w:firstLine="420" w:firstLineChars="200"/>
        <w:rPr>
          <w:kern w:val="0"/>
          <w:szCs w:val="21"/>
        </w:rPr>
      </w:pPr>
    </w:p>
    <w:p>
      <w:pPr>
        <w:spacing w:line="360" w:lineRule="auto"/>
        <w:rPr>
          <w:kern w:val="0"/>
          <w:szCs w:val="21"/>
        </w:rPr>
      </w:pPr>
      <w:r>
        <w:rPr>
          <w:kern w:val="0"/>
          <w:szCs w:val="21"/>
        </w:rPr>
        <w:t>六、投标与开标注意事项：</w:t>
      </w:r>
    </w:p>
    <w:p>
      <w:pPr>
        <w:adjustRightInd w:val="0"/>
        <w:snapToGrid w:val="0"/>
        <w:spacing w:line="360" w:lineRule="auto"/>
        <w:ind w:firstLine="420" w:firstLineChars="200"/>
        <w:rPr>
          <w:kern w:val="0"/>
          <w:szCs w:val="21"/>
        </w:rPr>
      </w:pPr>
      <w:r>
        <w:rPr>
          <w:kern w:val="0"/>
          <w:szCs w:val="21"/>
        </w:rPr>
        <w:t xml:space="preserve">1. 标书获得方法 </w:t>
      </w:r>
    </w:p>
    <w:p>
      <w:pPr>
        <w:ind w:firstLine="422" w:firstLineChars="200"/>
        <w:rPr>
          <w:rFonts w:ascii="宋体" w:hAnsi="宋体" w:cs="宋体"/>
          <w:b/>
          <w:color w:val="FF0000"/>
          <w:kern w:val="0"/>
          <w:szCs w:val="21"/>
        </w:rPr>
      </w:pPr>
      <w:r>
        <w:rPr>
          <w:rFonts w:hint="eastAsia" w:ascii="宋体" w:hAnsi="宋体" w:cs="宋体"/>
          <w:b/>
          <w:color w:val="FF0000"/>
          <w:kern w:val="0"/>
          <w:szCs w:val="21"/>
        </w:rPr>
        <w:t>出于疫情防控需要，投标人不能现场</w:t>
      </w:r>
      <w:r>
        <w:rPr>
          <w:rFonts w:ascii="宋体" w:hAnsi="宋体" w:cs="宋体"/>
          <w:b/>
          <w:color w:val="FF0000"/>
          <w:kern w:val="0"/>
          <w:szCs w:val="21"/>
        </w:rPr>
        <w:t>购买</w:t>
      </w:r>
      <w:r>
        <w:rPr>
          <w:rFonts w:hint="eastAsia" w:ascii="宋体" w:hAnsi="宋体" w:cs="宋体"/>
          <w:b/>
          <w:color w:val="FF0000"/>
          <w:kern w:val="0"/>
          <w:szCs w:val="21"/>
        </w:rPr>
        <w:t>招标</w:t>
      </w:r>
      <w:r>
        <w:rPr>
          <w:rFonts w:ascii="宋体" w:hAnsi="宋体" w:cs="宋体"/>
          <w:b/>
          <w:color w:val="FF0000"/>
          <w:kern w:val="0"/>
          <w:szCs w:val="21"/>
        </w:rPr>
        <w:t>文件</w:t>
      </w:r>
      <w:r>
        <w:rPr>
          <w:rFonts w:hint="eastAsia" w:ascii="宋体" w:hAnsi="宋体" w:cs="宋体"/>
          <w:b/>
          <w:color w:val="FF0000"/>
          <w:kern w:val="0"/>
          <w:szCs w:val="21"/>
        </w:rPr>
        <w:t>。如需购买招标文件请通过邮件报名，电子版招标文件可以在网站http://bidding.szu.edu.cn“招标公告”的本项目的招标公告页中下载。招标文件售后不退。</w:t>
      </w:r>
    </w:p>
    <w:p>
      <w:pPr>
        <w:ind w:firstLine="420" w:firstLineChars="200"/>
        <w:rPr>
          <w:rFonts w:ascii="宋体" w:hAnsi="宋体" w:cs="宋体"/>
          <w:kern w:val="0"/>
          <w:szCs w:val="21"/>
        </w:rPr>
      </w:pPr>
      <w:r>
        <w:rPr>
          <w:rFonts w:hint="eastAsia" w:ascii="宋体" w:hAnsi="宋体" w:cs="宋体"/>
          <w:kern w:val="0"/>
          <w:szCs w:val="21"/>
        </w:rPr>
        <w:t>任何有兴趣的合格投标人可于</w:t>
      </w:r>
      <w:r>
        <w:rPr>
          <w:rFonts w:ascii="宋体" w:hAnsi="宋体" w:cs="宋体"/>
          <w:kern w:val="0"/>
          <w:szCs w:val="21"/>
        </w:rPr>
        <w:t>2020</w:t>
      </w:r>
      <w:r>
        <w:rPr>
          <w:rFonts w:hint="eastAsia" w:ascii="宋体" w:hAnsi="宋体" w:cs="宋体"/>
          <w:kern w:val="0"/>
          <w:szCs w:val="21"/>
        </w:rPr>
        <w:t>年07月</w:t>
      </w:r>
      <w:r>
        <w:rPr>
          <w:rFonts w:hint="eastAsia" w:ascii="宋体" w:hAnsi="宋体" w:cs="宋体"/>
          <w:kern w:val="0"/>
          <w:szCs w:val="21"/>
          <w:lang w:val="en-US" w:eastAsia="zh-CN"/>
        </w:rPr>
        <w:t>30</w:t>
      </w:r>
      <w:r>
        <w:rPr>
          <w:rFonts w:hint="eastAsia" w:ascii="宋体" w:hAnsi="宋体" w:cs="宋体"/>
          <w:kern w:val="0"/>
          <w:szCs w:val="21"/>
        </w:rPr>
        <w:t>日起至</w:t>
      </w:r>
      <w:r>
        <w:rPr>
          <w:rFonts w:ascii="宋体" w:hAnsi="宋体" w:cs="宋体"/>
          <w:kern w:val="0"/>
          <w:szCs w:val="21"/>
        </w:rPr>
        <w:t>2020</w:t>
      </w:r>
      <w:r>
        <w:rPr>
          <w:rFonts w:hint="eastAsia" w:ascii="宋体" w:hAnsi="宋体" w:cs="宋体"/>
          <w:kern w:val="0"/>
          <w:szCs w:val="21"/>
        </w:rPr>
        <w:t>年</w:t>
      </w:r>
      <w:r>
        <w:rPr>
          <w:rFonts w:hint="eastAsia" w:ascii="宋体" w:hAnsi="宋体" w:cs="宋体"/>
          <w:kern w:val="0"/>
          <w:szCs w:val="21"/>
          <w:lang w:val="en-US" w:eastAsia="zh-CN"/>
        </w:rPr>
        <w:t>08</w:t>
      </w:r>
      <w:r>
        <w:rPr>
          <w:rFonts w:hint="eastAsia" w:ascii="宋体" w:hAnsi="宋体" w:cs="宋体"/>
          <w:kern w:val="0"/>
          <w:szCs w:val="21"/>
        </w:rPr>
        <w:t>月</w:t>
      </w:r>
      <w:r>
        <w:rPr>
          <w:rFonts w:hint="eastAsia" w:ascii="宋体" w:hAnsi="宋体" w:cs="宋体"/>
          <w:kern w:val="0"/>
          <w:szCs w:val="21"/>
          <w:lang w:val="en-US" w:eastAsia="zh-CN"/>
        </w:rPr>
        <w:t>07</w:t>
      </w:r>
      <w:r>
        <w:rPr>
          <w:rFonts w:hint="eastAsia" w:ascii="宋体" w:hAnsi="宋体" w:cs="宋体"/>
          <w:kern w:val="0"/>
          <w:szCs w:val="21"/>
        </w:rPr>
        <w:t>日每天（节假日除外）的9:00—11:</w:t>
      </w:r>
      <w:r>
        <w:rPr>
          <w:rFonts w:ascii="宋体" w:hAnsi="宋体" w:cs="宋体"/>
          <w:kern w:val="0"/>
          <w:szCs w:val="21"/>
        </w:rPr>
        <w:t>3</w:t>
      </w:r>
      <w:r>
        <w:rPr>
          <w:rFonts w:hint="eastAsia" w:ascii="宋体" w:hAnsi="宋体" w:cs="宋体"/>
          <w:kern w:val="0"/>
          <w:szCs w:val="21"/>
        </w:rPr>
        <w:t>0；14:</w:t>
      </w:r>
      <w:r>
        <w:rPr>
          <w:rFonts w:ascii="宋体" w:hAnsi="宋体" w:cs="宋体"/>
          <w:kern w:val="0"/>
          <w:szCs w:val="21"/>
        </w:rPr>
        <w:t>30</w:t>
      </w:r>
      <w:r>
        <w:rPr>
          <w:rFonts w:hint="eastAsia" w:ascii="宋体" w:hAnsi="宋体" w:cs="宋体"/>
          <w:kern w:val="0"/>
          <w:szCs w:val="21"/>
        </w:rPr>
        <w:t>—17:00将</w:t>
      </w:r>
      <w:r>
        <w:rPr>
          <w:rFonts w:hint="eastAsia" w:ascii="宋体" w:hAnsi="宋体" w:cs="宋体"/>
          <w:b/>
          <w:kern w:val="0"/>
          <w:szCs w:val="21"/>
        </w:rPr>
        <w:t>公司营业执照、投标报名表</w:t>
      </w:r>
      <w:r>
        <w:rPr>
          <w:rFonts w:hint="eastAsia" w:ascii="宋体" w:hAnsi="宋体" w:cs="宋体"/>
          <w:kern w:val="0"/>
          <w:szCs w:val="21"/>
        </w:rPr>
        <w:t>（投标代表签名、加盖公章）</w:t>
      </w:r>
      <w:r>
        <w:rPr>
          <w:rFonts w:hint="eastAsia" w:ascii="宋体" w:hAnsi="宋体" w:cs="宋体"/>
          <w:b/>
          <w:kern w:val="0"/>
          <w:szCs w:val="21"/>
        </w:rPr>
        <w:t>和150元标书费缴纳凭证</w:t>
      </w:r>
      <w:r>
        <w:rPr>
          <w:rFonts w:hint="eastAsia" w:ascii="宋体" w:hAnsi="宋体" w:cs="宋体"/>
          <w:kern w:val="0"/>
          <w:szCs w:val="21"/>
        </w:rPr>
        <w:t>（</w:t>
      </w:r>
      <w:r>
        <w:rPr>
          <w:color w:val="222222"/>
        </w:rPr>
        <w:t>标书费付款回执</w:t>
      </w:r>
      <w:r>
        <w:rPr>
          <w:rFonts w:hint="eastAsia"/>
          <w:color w:val="222222"/>
        </w:rPr>
        <w:t>至少应有收款人账户、付款人账户、转账时间、转账金额等</w:t>
      </w:r>
      <w:r>
        <w:rPr>
          <w:color w:val="222222"/>
        </w:rPr>
        <w:t>信息</w:t>
      </w:r>
      <w:r>
        <w:rPr>
          <w:rFonts w:hint="eastAsia" w:ascii="宋体" w:hAnsi="宋体" w:cs="宋体"/>
          <w:kern w:val="0"/>
          <w:szCs w:val="21"/>
        </w:rPr>
        <w:t>）一并</w:t>
      </w:r>
      <w:r>
        <w:rPr>
          <w:rFonts w:ascii="宋体" w:hAnsi="宋体" w:cs="宋体"/>
          <w:kern w:val="0"/>
          <w:szCs w:val="21"/>
        </w:rPr>
        <w:t>扫描</w:t>
      </w:r>
      <w:r>
        <w:rPr>
          <w:rFonts w:hint="eastAsia" w:ascii="宋体" w:hAnsi="宋体" w:cs="宋体"/>
          <w:kern w:val="0"/>
          <w:szCs w:val="21"/>
        </w:rPr>
        <w:t>发至邮箱</w:t>
      </w:r>
      <w:r>
        <w:rPr>
          <w:rFonts w:ascii="宋体" w:hAnsi="宋体" w:cs="宋体"/>
          <w:b/>
          <w:color w:val="FF0000"/>
          <w:kern w:val="0"/>
          <w:sz w:val="24"/>
        </w:rPr>
        <w:t>zhaobiao@szu.edu.cn</w:t>
      </w:r>
      <w:r>
        <w:rPr>
          <w:rFonts w:hint="eastAsia" w:ascii="宋体" w:hAnsi="宋体" w:cs="宋体"/>
          <w:kern w:val="0"/>
          <w:szCs w:val="21"/>
        </w:rPr>
        <w:t xml:space="preserve"> ；标书费缴纳至深圳大学账户：</w:t>
      </w:r>
    </w:p>
    <w:p>
      <w:pPr>
        <w:ind w:firstLine="840" w:firstLineChars="400"/>
        <w:rPr>
          <w:rFonts w:ascii="宋体" w:hAnsi="宋体" w:cs="宋体"/>
          <w:kern w:val="0"/>
          <w:szCs w:val="21"/>
        </w:rPr>
      </w:pPr>
      <w:r>
        <w:rPr>
          <w:rFonts w:hint="eastAsia" w:ascii="宋体" w:hAnsi="宋体" w:cs="宋体"/>
          <w:kern w:val="0"/>
          <w:szCs w:val="21"/>
        </w:rPr>
        <w:t>开户行：中国银行深圳深大支行</w:t>
      </w:r>
    </w:p>
    <w:p>
      <w:pPr>
        <w:ind w:firstLine="840" w:firstLineChars="400"/>
        <w:rPr>
          <w:rFonts w:ascii="宋体" w:hAnsi="宋体" w:cs="宋体"/>
          <w:kern w:val="0"/>
          <w:szCs w:val="21"/>
        </w:rPr>
      </w:pPr>
      <w:r>
        <w:rPr>
          <w:rFonts w:hint="eastAsia" w:ascii="宋体" w:hAnsi="宋体" w:cs="宋体"/>
          <w:kern w:val="0"/>
          <w:szCs w:val="21"/>
        </w:rPr>
        <w:t>户名：深圳大学</w:t>
      </w:r>
    </w:p>
    <w:p>
      <w:pPr>
        <w:ind w:firstLine="840" w:firstLineChars="400"/>
        <w:rPr>
          <w:rFonts w:ascii="宋体" w:hAnsi="宋体" w:cs="宋体"/>
          <w:kern w:val="0"/>
          <w:szCs w:val="21"/>
        </w:rPr>
      </w:pPr>
      <w:r>
        <w:rPr>
          <w:rFonts w:hint="eastAsia" w:ascii="宋体" w:hAnsi="宋体" w:cs="宋体"/>
          <w:kern w:val="0"/>
          <w:szCs w:val="21"/>
        </w:rPr>
        <w:t>账号：</w:t>
      </w:r>
      <w:r>
        <w:rPr>
          <w:rFonts w:ascii="宋体" w:hAnsi="宋体" w:cs="宋体"/>
          <w:kern w:val="0"/>
          <w:szCs w:val="21"/>
        </w:rPr>
        <w:t>7549 6835 0439</w:t>
      </w:r>
    </w:p>
    <w:p>
      <w:pPr>
        <w:ind w:firstLine="840" w:firstLineChars="400"/>
        <w:rPr>
          <w:rFonts w:ascii="宋体" w:hAnsi="宋体" w:cs="宋体"/>
          <w:kern w:val="0"/>
          <w:szCs w:val="21"/>
        </w:rPr>
      </w:pPr>
      <w:r>
        <w:rPr>
          <w:rFonts w:hint="eastAsia" w:ascii="宋体" w:hAnsi="宋体" w:cs="宋体"/>
          <w:kern w:val="0"/>
          <w:szCs w:val="21"/>
        </w:rPr>
        <w:t>备注：</w:t>
      </w:r>
      <w:r>
        <w:rPr>
          <w:rFonts w:hint="eastAsia" w:ascii="宋体" w:hAnsi="宋体" w:cs="宋体"/>
          <w:b/>
          <w:kern w:val="0"/>
          <w:szCs w:val="21"/>
          <w:u w:val="single"/>
        </w:rPr>
        <w:t>项目编号</w:t>
      </w:r>
    </w:p>
    <w:p>
      <w:pPr>
        <w:adjustRightInd w:val="0"/>
        <w:snapToGrid w:val="0"/>
        <w:spacing w:line="360" w:lineRule="auto"/>
        <w:rPr>
          <w:kern w:val="0"/>
          <w:szCs w:val="21"/>
        </w:rPr>
      </w:pPr>
      <w:r>
        <w:rPr>
          <w:rFonts w:hint="eastAsia" w:ascii="宋体" w:hAnsi="宋体" w:cs="宋体"/>
          <w:kern w:val="0"/>
          <w:szCs w:val="21"/>
        </w:rPr>
        <w:t>投标报名表下载链接：</w:t>
      </w:r>
      <w:r>
        <w:fldChar w:fldCharType="begin"/>
      </w:r>
      <w:r>
        <w:instrText xml:space="preserve"> HYPERLINK "http://bidding.szu.edu.cn/listfile.asp" </w:instrText>
      </w:r>
      <w:r>
        <w:fldChar w:fldCharType="separate"/>
      </w:r>
      <w:r>
        <w:rPr>
          <w:rStyle w:val="63"/>
          <w:rFonts w:hint="eastAsia" w:cs="宋体"/>
          <w:kern w:val="0"/>
          <w:szCs w:val="21"/>
        </w:rPr>
        <w:t>http://bidding.szu.edu.cn/listfile.asp</w:t>
      </w:r>
      <w:r>
        <w:rPr>
          <w:rStyle w:val="63"/>
          <w:rFonts w:hint="eastAsia" w:cs="宋体"/>
          <w:kern w:val="0"/>
          <w:szCs w:val="21"/>
        </w:rPr>
        <w:fldChar w:fldCharType="end"/>
      </w:r>
      <w:r>
        <w:rPr>
          <w:rFonts w:hint="eastAsia" w:ascii="宋体" w:hAnsi="宋体" w:cs="宋体"/>
          <w:kern w:val="0"/>
          <w:szCs w:val="21"/>
        </w:rPr>
        <w:t>。</w:t>
      </w:r>
    </w:p>
    <w:p>
      <w:pPr>
        <w:adjustRightInd w:val="0"/>
        <w:snapToGrid w:val="0"/>
        <w:spacing w:line="360" w:lineRule="auto"/>
        <w:ind w:firstLine="435"/>
        <w:rPr>
          <w:color w:val="FF0000"/>
        </w:rPr>
      </w:pPr>
      <w:r>
        <w:rPr>
          <w:rFonts w:hint="eastAsia"/>
          <w:kern w:val="0"/>
          <w:szCs w:val="21"/>
          <w:highlight w:val="yellow"/>
        </w:rPr>
        <w:t>2.本项目不安排现场踏勘。</w:t>
      </w:r>
    </w:p>
    <w:p>
      <w:pPr>
        <w:adjustRightInd w:val="0"/>
        <w:snapToGrid w:val="0"/>
        <w:spacing w:line="360" w:lineRule="auto"/>
        <w:ind w:firstLine="435"/>
        <w:rPr>
          <w:kern w:val="0"/>
          <w:szCs w:val="21"/>
        </w:rPr>
      </w:pPr>
      <w:r>
        <w:rPr>
          <w:kern w:val="0"/>
          <w:szCs w:val="21"/>
        </w:rPr>
        <w:t xml:space="preserve">3. 答疑事项 </w:t>
      </w:r>
    </w:p>
    <w:p>
      <w:pPr>
        <w:adjustRightInd w:val="0"/>
        <w:snapToGrid w:val="0"/>
        <w:spacing w:line="360" w:lineRule="auto"/>
        <w:ind w:firstLine="420" w:firstLineChars="200"/>
        <w:rPr>
          <w:kern w:val="0"/>
          <w:szCs w:val="21"/>
        </w:rPr>
      </w:pPr>
      <w:r>
        <w:rPr>
          <w:kern w:val="0"/>
          <w:szCs w:val="21"/>
          <w:highlight w:val="yellow"/>
        </w:rPr>
        <w:t>2020年</w:t>
      </w:r>
      <w:r>
        <w:rPr>
          <w:rFonts w:hint="eastAsia"/>
          <w:kern w:val="0"/>
          <w:szCs w:val="21"/>
          <w:highlight w:val="yellow"/>
          <w:lang w:val="en-US" w:eastAsia="zh-CN"/>
        </w:rPr>
        <w:t>08</w:t>
      </w:r>
      <w:r>
        <w:rPr>
          <w:kern w:val="0"/>
          <w:szCs w:val="21"/>
          <w:highlight w:val="yellow"/>
        </w:rPr>
        <w:t>月</w:t>
      </w:r>
      <w:r>
        <w:rPr>
          <w:rFonts w:hint="eastAsia"/>
          <w:kern w:val="0"/>
          <w:szCs w:val="21"/>
          <w:highlight w:val="yellow"/>
          <w:lang w:val="en-US" w:eastAsia="zh-CN"/>
        </w:rPr>
        <w:t>07</w:t>
      </w:r>
      <w:r>
        <w:rPr>
          <w:kern w:val="0"/>
          <w:szCs w:val="21"/>
          <w:highlight w:val="yellow"/>
        </w:rPr>
        <w:t>日16</w:t>
      </w:r>
      <w:r>
        <w:rPr>
          <w:rFonts w:hint="eastAsia"/>
          <w:kern w:val="0"/>
          <w:szCs w:val="21"/>
          <w:highlight w:val="yellow"/>
        </w:rPr>
        <w:t>:</w:t>
      </w:r>
      <w:r>
        <w:rPr>
          <w:kern w:val="0"/>
          <w:szCs w:val="21"/>
          <w:highlight w:val="yellow"/>
        </w:rPr>
        <w:t>0</w:t>
      </w:r>
      <w:r>
        <w:rPr>
          <w:kern w:val="0"/>
          <w:szCs w:val="21"/>
        </w:rPr>
        <w:t>0时前凡对招标文件有任何疑问的（包括认为招标文件的技术指标或参数存在倾向性或不公正性条款），将质疑函以书面形式提交到深圳大学招投标管理中心，逾期不予受理。质疑函须加盖投标人公章。2</w:t>
      </w:r>
      <w:r>
        <w:rPr>
          <w:kern w:val="0"/>
          <w:szCs w:val="21"/>
          <w:highlight w:val="yellow"/>
        </w:rPr>
        <w:t>020年</w:t>
      </w:r>
      <w:r>
        <w:rPr>
          <w:rFonts w:hint="eastAsia"/>
          <w:kern w:val="0"/>
          <w:szCs w:val="21"/>
          <w:highlight w:val="yellow"/>
          <w:lang w:val="en-US" w:eastAsia="zh-CN"/>
        </w:rPr>
        <w:t>08</w:t>
      </w:r>
      <w:r>
        <w:rPr>
          <w:kern w:val="0"/>
          <w:szCs w:val="21"/>
          <w:highlight w:val="yellow"/>
        </w:rPr>
        <w:t>月</w:t>
      </w:r>
      <w:r>
        <w:rPr>
          <w:rFonts w:hint="eastAsia"/>
          <w:kern w:val="0"/>
          <w:szCs w:val="21"/>
          <w:highlight w:val="yellow"/>
          <w:lang w:val="en-US" w:eastAsia="zh-CN"/>
        </w:rPr>
        <w:t>10</w:t>
      </w:r>
      <w:r>
        <w:rPr>
          <w:kern w:val="0"/>
          <w:szCs w:val="21"/>
          <w:highlight w:val="yellow"/>
        </w:rPr>
        <w:t>日 16:00</w:t>
      </w:r>
      <w:r>
        <w:rPr>
          <w:kern w:val="0"/>
          <w:szCs w:val="21"/>
        </w:rPr>
        <w:t xml:space="preserve"> 前将答疑结果在网站http://bidding.szu.edu.cn “招标公告”中公布，望投标人予以关注。 </w:t>
      </w:r>
    </w:p>
    <w:p>
      <w:pPr>
        <w:adjustRightInd w:val="0"/>
        <w:snapToGrid w:val="0"/>
        <w:spacing w:line="360" w:lineRule="auto"/>
        <w:ind w:firstLine="420" w:firstLineChars="200"/>
        <w:rPr>
          <w:kern w:val="0"/>
          <w:szCs w:val="21"/>
        </w:rPr>
      </w:pPr>
      <w:r>
        <w:rPr>
          <w:kern w:val="0"/>
          <w:szCs w:val="21"/>
        </w:rPr>
        <w:t xml:space="preserve">4. 投标截止时间 </w:t>
      </w:r>
    </w:p>
    <w:p>
      <w:pPr>
        <w:ind w:firstLine="420" w:firstLineChars="200"/>
        <w:rPr>
          <w:rFonts w:ascii="宋体" w:hAnsi="宋体" w:cs="宋体"/>
          <w:kern w:val="0"/>
          <w:szCs w:val="21"/>
        </w:rPr>
      </w:pPr>
      <w:r>
        <w:rPr>
          <w:rFonts w:hint="eastAsia" w:ascii="宋体" w:hAnsi="宋体" w:cs="宋体"/>
          <w:kern w:val="0"/>
          <w:szCs w:val="21"/>
        </w:rPr>
        <w:t>所有投标文件应于</w:t>
      </w:r>
      <w:r>
        <w:rPr>
          <w:rFonts w:ascii="宋体" w:hAnsi="宋体" w:cs="宋体"/>
          <w:color w:val="FF0000"/>
          <w:kern w:val="0"/>
          <w:szCs w:val="21"/>
        </w:rPr>
        <w:t>2020</w:t>
      </w:r>
      <w:r>
        <w:rPr>
          <w:rFonts w:hint="eastAsia" w:ascii="宋体" w:hAnsi="宋体" w:cs="宋体"/>
          <w:color w:val="FF0000"/>
          <w:kern w:val="0"/>
          <w:szCs w:val="21"/>
        </w:rPr>
        <w:t>年</w:t>
      </w:r>
      <w:r>
        <w:rPr>
          <w:rFonts w:hint="eastAsia" w:ascii="宋体" w:hAnsi="宋体" w:cs="宋体"/>
          <w:color w:val="FF0000"/>
          <w:kern w:val="0"/>
          <w:szCs w:val="21"/>
          <w:lang w:val="en-US" w:eastAsia="zh-CN"/>
        </w:rPr>
        <w:t>08</w:t>
      </w:r>
      <w:r>
        <w:rPr>
          <w:rFonts w:hint="eastAsia" w:ascii="宋体" w:hAnsi="宋体" w:cs="宋体"/>
          <w:color w:val="FF0000"/>
          <w:kern w:val="0"/>
          <w:szCs w:val="21"/>
        </w:rPr>
        <w:t>月</w:t>
      </w:r>
      <w:r>
        <w:rPr>
          <w:rFonts w:hint="eastAsia" w:ascii="宋体" w:hAnsi="宋体" w:cs="宋体"/>
          <w:color w:val="FF0000"/>
          <w:kern w:val="0"/>
          <w:szCs w:val="21"/>
          <w:lang w:val="en-US" w:eastAsia="zh-CN"/>
        </w:rPr>
        <w:t>11</w:t>
      </w:r>
      <w:r>
        <w:rPr>
          <w:rFonts w:hint="eastAsia" w:ascii="宋体" w:hAnsi="宋体" w:cs="宋体"/>
          <w:color w:val="FF0000"/>
          <w:kern w:val="0"/>
          <w:szCs w:val="21"/>
        </w:rPr>
        <w:t>日</w:t>
      </w:r>
      <w:r>
        <w:rPr>
          <w:rFonts w:hint="eastAsia" w:ascii="宋体" w:hAnsi="宋体" w:cs="宋体"/>
          <w:kern w:val="0"/>
          <w:szCs w:val="21"/>
        </w:rPr>
        <w:t xml:space="preserve"> </w:t>
      </w:r>
      <w:r>
        <w:rPr>
          <w:rFonts w:hint="eastAsia" w:ascii="宋体" w:hAnsi="宋体" w:cs="宋体"/>
          <w:b/>
          <w:color w:val="FF0000"/>
          <w:kern w:val="0"/>
          <w:szCs w:val="21"/>
          <w:lang w:val="en-US" w:eastAsia="zh-CN"/>
        </w:rPr>
        <w:t>15</w:t>
      </w:r>
      <w:r>
        <w:rPr>
          <w:rFonts w:hint="eastAsia" w:ascii="宋体" w:hAnsi="宋体" w:cs="宋体"/>
          <w:b/>
          <w:color w:val="FF0000"/>
          <w:kern w:val="0"/>
          <w:szCs w:val="21"/>
        </w:rPr>
        <w:t>：00</w:t>
      </w:r>
      <w:r>
        <w:rPr>
          <w:rFonts w:hint="eastAsia" w:ascii="宋体" w:hAnsi="宋体" w:cs="宋体"/>
          <w:kern w:val="0"/>
          <w:szCs w:val="21"/>
        </w:rPr>
        <w:t>之前</w:t>
      </w:r>
      <w:r>
        <w:rPr>
          <w:rFonts w:hint="eastAsia" w:ascii="宋体" w:hAnsi="宋体" w:cs="宋体"/>
          <w:b/>
          <w:color w:val="FF0000"/>
          <w:kern w:val="0"/>
          <w:szCs w:val="21"/>
        </w:rPr>
        <w:t>邮寄</w:t>
      </w:r>
      <w:r>
        <w:t>（EMS，顺丰（不含顺丰同城））</w:t>
      </w:r>
      <w:r>
        <w:rPr>
          <w:rFonts w:hint="eastAsia" w:ascii="宋体" w:hAnsi="宋体" w:cs="宋体"/>
          <w:kern w:val="0"/>
          <w:szCs w:val="21"/>
        </w:rPr>
        <w:t>到深圳大学招投标管理中心</w:t>
      </w:r>
      <w:r>
        <w:rPr>
          <w:rFonts w:hint="eastAsia" w:ascii="宋体" w:hAnsi="宋体" w:cs="宋体"/>
          <w:color w:val="FF0000"/>
          <w:kern w:val="0"/>
          <w:szCs w:val="21"/>
        </w:rPr>
        <w:t>（以快递</w:t>
      </w:r>
      <w:r>
        <w:rPr>
          <w:rFonts w:ascii="宋体" w:hAnsi="宋体" w:cs="宋体"/>
          <w:color w:val="FF0000"/>
          <w:kern w:val="0"/>
          <w:szCs w:val="21"/>
        </w:rPr>
        <w:t>到达时间为准</w:t>
      </w:r>
      <w:r>
        <w:rPr>
          <w:rFonts w:hint="eastAsia" w:ascii="宋体" w:hAnsi="宋体" w:cs="宋体"/>
          <w:color w:val="FF0000"/>
          <w:kern w:val="0"/>
          <w:szCs w:val="21"/>
        </w:rPr>
        <w:t>）</w:t>
      </w:r>
      <w:r>
        <w:rPr>
          <w:rFonts w:hint="eastAsia" w:ascii="宋体" w:hAnsi="宋体" w:cs="宋体"/>
          <w:kern w:val="0"/>
          <w:szCs w:val="21"/>
        </w:rPr>
        <w:t>。不接受</w:t>
      </w:r>
      <w:r>
        <w:rPr>
          <w:rFonts w:ascii="宋体" w:hAnsi="宋体" w:cs="宋体"/>
          <w:kern w:val="0"/>
          <w:szCs w:val="21"/>
        </w:rPr>
        <w:t>快递到付</w:t>
      </w:r>
    </w:p>
    <w:p>
      <w:pPr>
        <w:ind w:firstLine="422" w:firstLineChars="200"/>
        <w:rPr>
          <w:rFonts w:ascii="宋体" w:hAnsi="宋体" w:cs="宋体"/>
          <w:b/>
          <w:color w:val="FF0000"/>
          <w:kern w:val="0"/>
          <w:szCs w:val="21"/>
        </w:rPr>
      </w:pPr>
      <w:r>
        <w:rPr>
          <w:rFonts w:hint="eastAsia" w:ascii="宋体" w:hAnsi="宋体" w:cs="宋体"/>
          <w:b/>
          <w:color w:val="FF0000"/>
          <w:kern w:val="0"/>
          <w:szCs w:val="21"/>
        </w:rPr>
        <w:t>投标</w:t>
      </w:r>
      <w:r>
        <w:rPr>
          <w:rFonts w:ascii="宋体" w:hAnsi="宋体" w:cs="宋体"/>
          <w:b/>
          <w:color w:val="FF0000"/>
          <w:kern w:val="0"/>
          <w:szCs w:val="21"/>
        </w:rPr>
        <w:t>文件</w:t>
      </w:r>
      <w:r>
        <w:rPr>
          <w:rFonts w:hint="eastAsia" w:ascii="宋体" w:hAnsi="宋体" w:cs="宋体"/>
          <w:b/>
          <w:color w:val="FF0000"/>
          <w:kern w:val="0"/>
          <w:szCs w:val="21"/>
        </w:rPr>
        <w:t>不</w:t>
      </w:r>
      <w:r>
        <w:rPr>
          <w:rFonts w:ascii="宋体" w:hAnsi="宋体" w:cs="宋体"/>
          <w:b/>
          <w:color w:val="FF0000"/>
          <w:kern w:val="0"/>
          <w:szCs w:val="21"/>
        </w:rPr>
        <w:t>接受现场递交</w:t>
      </w:r>
      <w:r>
        <w:rPr>
          <w:rFonts w:hint="eastAsia" w:ascii="宋体" w:hAnsi="宋体" w:cs="宋体"/>
          <w:b/>
          <w:color w:val="FF0000"/>
          <w:kern w:val="0"/>
          <w:szCs w:val="21"/>
        </w:rPr>
        <w:t>。</w:t>
      </w:r>
    </w:p>
    <w:p>
      <w:pPr>
        <w:ind w:firstLine="420" w:firstLineChars="200"/>
        <w:rPr>
          <w:rFonts w:ascii="宋体" w:hAnsi="宋体" w:cs="宋体"/>
          <w:kern w:val="0"/>
          <w:szCs w:val="21"/>
        </w:rPr>
      </w:pPr>
      <w:r>
        <w:rPr>
          <w:rFonts w:hint="eastAsia" w:ascii="宋体" w:hAnsi="宋体" w:cs="宋体"/>
          <w:kern w:val="0"/>
          <w:szCs w:val="21"/>
        </w:rPr>
        <w:t>邮寄</w:t>
      </w:r>
      <w:r>
        <w:rPr>
          <w:rFonts w:ascii="宋体" w:hAnsi="宋体" w:cs="宋体"/>
          <w:kern w:val="0"/>
          <w:szCs w:val="21"/>
        </w:rPr>
        <w:t>地址：</w:t>
      </w:r>
      <w:r>
        <w:rPr>
          <w:rFonts w:hint="eastAsia" w:ascii="宋体" w:hAnsi="宋体" w:cs="宋体"/>
          <w:kern w:val="0"/>
          <w:szCs w:val="21"/>
        </w:rPr>
        <w:t>深圳市南山区南海大道3688号 深圳大学汇元楼24</w:t>
      </w:r>
      <w:r>
        <w:rPr>
          <w:rFonts w:ascii="宋体" w:hAnsi="宋体" w:cs="宋体"/>
          <w:kern w:val="0"/>
          <w:szCs w:val="21"/>
        </w:rPr>
        <w:t>2</w:t>
      </w:r>
      <w:r>
        <w:rPr>
          <w:rFonts w:hint="eastAsia" w:ascii="宋体" w:hAnsi="宋体" w:cs="宋体"/>
          <w:kern w:val="0"/>
          <w:szCs w:val="21"/>
        </w:rPr>
        <w:t>室</w:t>
      </w:r>
    </w:p>
    <w:p>
      <w:pPr>
        <w:ind w:firstLine="420" w:firstLineChars="200"/>
        <w:rPr>
          <w:rFonts w:ascii="宋体" w:hAnsi="宋体" w:cs="宋体"/>
          <w:kern w:val="0"/>
          <w:szCs w:val="21"/>
        </w:rPr>
      </w:pPr>
      <w:r>
        <w:rPr>
          <w:rFonts w:hint="eastAsia" w:ascii="宋体" w:hAnsi="宋体" w:cs="宋体"/>
          <w:kern w:val="0"/>
          <w:szCs w:val="21"/>
        </w:rPr>
        <w:t>收件人</w:t>
      </w:r>
      <w:r>
        <w:rPr>
          <w:rFonts w:ascii="宋体" w:hAnsi="宋体" w:cs="宋体"/>
          <w:kern w:val="0"/>
          <w:szCs w:val="21"/>
        </w:rPr>
        <w:t>、联系方式：</w:t>
      </w:r>
      <w:r>
        <w:rPr>
          <w:rFonts w:hint="eastAsia" w:ascii="宋体" w:hAnsi="宋体" w:cs="宋体"/>
          <w:kern w:val="0"/>
          <w:szCs w:val="21"/>
        </w:rPr>
        <w:t>黄</w:t>
      </w:r>
      <w:r>
        <w:rPr>
          <w:rFonts w:ascii="宋体" w:hAnsi="宋体" w:cs="宋体"/>
          <w:kern w:val="0"/>
          <w:szCs w:val="21"/>
        </w:rPr>
        <w:t>老师，</w:t>
      </w:r>
      <w:r>
        <w:rPr>
          <w:rFonts w:hint="eastAsia" w:ascii="宋体" w:hAnsi="宋体" w:cs="宋体"/>
          <w:kern w:val="0"/>
          <w:szCs w:val="21"/>
        </w:rPr>
        <w:t>（0755）86970737</w:t>
      </w:r>
    </w:p>
    <w:p>
      <w:pPr>
        <w:adjustRightInd w:val="0"/>
        <w:snapToGrid w:val="0"/>
        <w:spacing w:line="360" w:lineRule="auto"/>
        <w:ind w:firstLine="420" w:firstLineChars="200"/>
        <w:rPr>
          <w:kern w:val="0"/>
          <w:szCs w:val="21"/>
        </w:rPr>
      </w:pPr>
      <w:r>
        <w:rPr>
          <w:rFonts w:hint="eastAsia"/>
          <w:kern w:val="0"/>
          <w:szCs w:val="21"/>
        </w:rPr>
        <w:t>投标文件密封性要求：投标人邮寄的投标文件应在快递包装内有完整的密封包装，密封包装上应有明确的项目编号、项目名称、投标公司名称。密封包装不完整、有破损且该破损可能导致文件内容泄露的投标文件将被拒绝接收。</w:t>
      </w:r>
    </w:p>
    <w:p>
      <w:pPr>
        <w:adjustRightInd w:val="0"/>
        <w:snapToGrid w:val="0"/>
        <w:spacing w:line="360" w:lineRule="auto"/>
        <w:ind w:firstLine="420" w:firstLineChars="200"/>
        <w:rPr>
          <w:kern w:val="0"/>
          <w:szCs w:val="21"/>
        </w:rPr>
      </w:pPr>
      <w:r>
        <w:rPr>
          <w:kern w:val="0"/>
          <w:szCs w:val="21"/>
        </w:rPr>
        <w:t xml:space="preserve">5. 开标时间和地点 </w:t>
      </w:r>
    </w:p>
    <w:p>
      <w:pPr>
        <w:adjustRightInd w:val="0"/>
        <w:snapToGrid w:val="0"/>
        <w:spacing w:line="360" w:lineRule="auto"/>
        <w:ind w:firstLine="420" w:firstLineChars="200"/>
        <w:rPr>
          <w:kern w:val="0"/>
          <w:szCs w:val="21"/>
        </w:rPr>
      </w:pPr>
      <w:r>
        <w:rPr>
          <w:kern w:val="0"/>
          <w:szCs w:val="21"/>
        </w:rPr>
        <w:t>定于</w:t>
      </w:r>
      <w:r>
        <w:rPr>
          <w:color w:val="FF0000"/>
          <w:kern w:val="0"/>
          <w:szCs w:val="21"/>
          <w:highlight w:val="yellow"/>
        </w:rPr>
        <w:t>2020年</w:t>
      </w:r>
      <w:r>
        <w:rPr>
          <w:rFonts w:hint="eastAsia"/>
          <w:color w:val="FF0000"/>
          <w:kern w:val="0"/>
          <w:szCs w:val="21"/>
          <w:highlight w:val="yellow"/>
          <w:lang w:val="en-US" w:eastAsia="zh-CN"/>
        </w:rPr>
        <w:t>08</w:t>
      </w:r>
      <w:r>
        <w:rPr>
          <w:color w:val="FF0000"/>
          <w:kern w:val="0"/>
          <w:szCs w:val="21"/>
          <w:highlight w:val="yellow"/>
        </w:rPr>
        <w:t>月</w:t>
      </w:r>
      <w:r>
        <w:rPr>
          <w:rFonts w:hint="eastAsia"/>
          <w:color w:val="FF0000"/>
          <w:kern w:val="0"/>
          <w:szCs w:val="21"/>
          <w:highlight w:val="yellow"/>
          <w:lang w:val="en-US" w:eastAsia="zh-CN"/>
        </w:rPr>
        <w:t>11</w:t>
      </w:r>
      <w:r>
        <w:rPr>
          <w:color w:val="FF0000"/>
          <w:kern w:val="0"/>
          <w:szCs w:val="21"/>
          <w:highlight w:val="yellow"/>
        </w:rPr>
        <w:t>日</w:t>
      </w:r>
      <w:r>
        <w:rPr>
          <w:rFonts w:hint="eastAsia"/>
          <w:color w:val="FF0000"/>
          <w:kern w:val="0"/>
          <w:szCs w:val="21"/>
          <w:highlight w:val="yellow"/>
          <w:lang w:val="en-US" w:eastAsia="zh-CN"/>
        </w:rPr>
        <w:t>15</w:t>
      </w:r>
      <w:r>
        <w:rPr>
          <w:color w:val="FF0000"/>
          <w:kern w:val="0"/>
          <w:szCs w:val="21"/>
          <w:highlight w:val="yellow"/>
        </w:rPr>
        <w:t>:</w:t>
      </w:r>
      <w:r>
        <w:rPr>
          <w:rFonts w:hint="eastAsia"/>
          <w:color w:val="FF0000"/>
          <w:kern w:val="0"/>
          <w:szCs w:val="21"/>
          <w:highlight w:val="yellow"/>
          <w:lang w:val="en-US" w:eastAsia="zh-CN"/>
        </w:rPr>
        <w:t>00</w:t>
      </w:r>
      <w:r>
        <w:rPr>
          <w:color w:val="FF0000"/>
          <w:kern w:val="0"/>
          <w:szCs w:val="21"/>
          <w:highlight w:val="yellow"/>
        </w:rPr>
        <w:t>时</w:t>
      </w:r>
      <w:r>
        <w:rPr>
          <w:kern w:val="0"/>
          <w:szCs w:val="21"/>
          <w:highlight w:val="yellow"/>
        </w:rPr>
        <w:t>，在</w:t>
      </w:r>
      <w:r>
        <w:rPr>
          <w:kern w:val="0"/>
          <w:szCs w:val="21"/>
        </w:rPr>
        <w:t>深圳大学招投标管理中心公开开标。地点：深圳市南山区南海大道3688号 深圳大学</w:t>
      </w:r>
      <w:r>
        <w:rPr>
          <w:rFonts w:hint="eastAsia"/>
          <w:kern w:val="0"/>
          <w:szCs w:val="21"/>
        </w:rPr>
        <w:t>汇元</w:t>
      </w:r>
      <w:r>
        <w:rPr>
          <w:kern w:val="0"/>
          <w:szCs w:val="21"/>
        </w:rPr>
        <w:t>楼241室。</w:t>
      </w:r>
      <w:r>
        <w:rPr>
          <w:color w:val="000000"/>
          <w:kern w:val="0"/>
          <w:szCs w:val="21"/>
        </w:rPr>
        <w:t>出于</w:t>
      </w:r>
      <w:r>
        <w:rPr>
          <w:rFonts w:hint="eastAsia"/>
          <w:color w:val="000000"/>
          <w:kern w:val="0"/>
          <w:szCs w:val="21"/>
        </w:rPr>
        <w:t>疫情</w:t>
      </w:r>
      <w:r>
        <w:rPr>
          <w:color w:val="000000"/>
          <w:kern w:val="0"/>
          <w:szCs w:val="21"/>
        </w:rPr>
        <w:t>防控需要，此项目</w:t>
      </w:r>
      <w:r>
        <w:rPr>
          <w:rFonts w:hint="eastAsia"/>
          <w:color w:val="000000"/>
          <w:kern w:val="0"/>
          <w:szCs w:val="21"/>
        </w:rPr>
        <w:t>不邀请</w:t>
      </w:r>
      <w:r>
        <w:rPr>
          <w:color w:val="000000"/>
          <w:kern w:val="0"/>
          <w:szCs w:val="21"/>
        </w:rPr>
        <w:t>投标代表出席开标仪式。</w:t>
      </w:r>
    </w:p>
    <w:p>
      <w:pPr>
        <w:adjustRightInd w:val="0"/>
        <w:snapToGrid w:val="0"/>
        <w:spacing w:line="360" w:lineRule="auto"/>
        <w:ind w:firstLine="420" w:firstLineChars="200"/>
        <w:rPr>
          <w:kern w:val="0"/>
          <w:szCs w:val="21"/>
        </w:rPr>
      </w:pPr>
      <w:r>
        <w:rPr>
          <w:kern w:val="0"/>
          <w:szCs w:val="21"/>
        </w:rPr>
        <w:t>6. 已经购买招标文件的潜在投标人，若不参加投标应在开标截止日前3天以书面形式通知深圳大学招投标管理中心。</w:t>
      </w:r>
    </w:p>
    <w:p>
      <w:pPr>
        <w:spacing w:line="360" w:lineRule="auto"/>
        <w:ind w:firstLine="420" w:firstLineChars="200"/>
        <w:rPr>
          <w:kern w:val="0"/>
          <w:szCs w:val="21"/>
        </w:rPr>
      </w:pPr>
    </w:p>
    <w:p>
      <w:pPr>
        <w:spacing w:line="360" w:lineRule="auto"/>
        <w:rPr>
          <w:kern w:val="0"/>
          <w:szCs w:val="21"/>
        </w:rPr>
      </w:pPr>
      <w:r>
        <w:rPr>
          <w:kern w:val="0"/>
          <w:szCs w:val="21"/>
        </w:rPr>
        <w:t>七、重要提示：</w:t>
      </w:r>
    </w:p>
    <w:p>
      <w:pPr>
        <w:spacing w:line="360" w:lineRule="auto"/>
        <w:ind w:firstLine="420" w:firstLineChars="200"/>
        <w:rPr>
          <w:kern w:val="0"/>
          <w:szCs w:val="21"/>
        </w:rPr>
      </w:pPr>
      <w:r>
        <w:rPr>
          <w:kern w:val="0"/>
          <w:szCs w:val="21"/>
        </w:rPr>
        <w:t>1. 深圳大学招投标管理中心有权对所有投标供应商就本项目招标文件要求提供的相关证明材料（原件）进行审查。供应商提供虚假资料被查实的，则可能面临被取消本项目中标资格、列入不良行为记录名单和三年内禁止参与深圳大学采购活动的风险。</w:t>
      </w:r>
    </w:p>
    <w:p>
      <w:pPr>
        <w:spacing w:line="360" w:lineRule="auto"/>
        <w:ind w:firstLine="420" w:firstLineChars="200"/>
        <w:rPr>
          <w:kern w:val="0"/>
          <w:szCs w:val="21"/>
        </w:rPr>
      </w:pPr>
      <w:r>
        <w:rPr>
          <w:kern w:val="0"/>
          <w:szCs w:val="21"/>
        </w:rPr>
        <w:t xml:space="preserve">2. 本招标公告及本项目招标文件所涉及的时间一律为北京时间。投标人有义务在招标活动期间浏览深圳大学招投标管理中心网站（http://bidding.szu.edu.cn），在深圳大学招投标管理中心网站上公布的与本次招标项目有关的信息视为已送达各投标人。 </w:t>
      </w:r>
    </w:p>
    <w:p>
      <w:pPr>
        <w:adjustRightInd w:val="0"/>
        <w:snapToGrid w:val="0"/>
        <w:spacing w:line="360" w:lineRule="auto"/>
        <w:ind w:firstLine="420" w:firstLineChars="200"/>
        <w:rPr>
          <w:kern w:val="0"/>
          <w:szCs w:val="21"/>
        </w:rPr>
      </w:pPr>
      <w:r>
        <w:rPr>
          <w:kern w:val="0"/>
          <w:szCs w:val="21"/>
        </w:rPr>
        <w:t xml:space="preserve">3. </w:t>
      </w:r>
      <w:r>
        <w:rPr>
          <w:rFonts w:hint="eastAsia"/>
          <w:kern w:val="0"/>
          <w:szCs w:val="21"/>
        </w:rPr>
        <w:t>本项目</w:t>
      </w:r>
      <w:r>
        <w:rPr>
          <w:kern w:val="0"/>
          <w:szCs w:val="21"/>
        </w:rPr>
        <w:t>无须交纳投标保证金</w:t>
      </w:r>
      <w:r>
        <w:rPr>
          <w:rFonts w:hint="eastAsia"/>
          <w:kern w:val="0"/>
          <w:szCs w:val="21"/>
        </w:rPr>
        <w:t>；</w:t>
      </w:r>
    </w:p>
    <w:p>
      <w:pPr>
        <w:ind w:firstLine="420" w:firstLineChars="200"/>
        <w:rPr>
          <w:kern w:val="0"/>
          <w:szCs w:val="21"/>
        </w:rPr>
      </w:pPr>
    </w:p>
    <w:p>
      <w:pPr>
        <w:ind w:firstLine="420" w:firstLineChars="200"/>
        <w:rPr>
          <w:kern w:val="0"/>
          <w:szCs w:val="21"/>
        </w:rPr>
      </w:pPr>
    </w:p>
    <w:p>
      <w:pPr>
        <w:spacing w:before="120" w:beforeLines="50" w:line="276" w:lineRule="auto"/>
        <w:jc w:val="right"/>
        <w:rPr>
          <w:color w:val="000000"/>
          <w:szCs w:val="21"/>
        </w:rPr>
      </w:pPr>
      <w:bookmarkStart w:id="1" w:name="投标邀请书"/>
    </w:p>
    <w:p>
      <w:pPr>
        <w:spacing w:before="120" w:beforeLines="50" w:line="276" w:lineRule="auto"/>
        <w:jc w:val="right"/>
        <w:rPr>
          <w:color w:val="000000"/>
          <w:szCs w:val="21"/>
        </w:rPr>
      </w:pPr>
      <w:r>
        <w:rPr>
          <w:color w:val="000000"/>
          <w:szCs w:val="21"/>
        </w:rPr>
        <w:t>招标机构名称：深圳大学招投标管理中心</w:t>
      </w:r>
    </w:p>
    <w:p>
      <w:pPr>
        <w:spacing w:before="120" w:beforeLines="50" w:line="276" w:lineRule="auto"/>
        <w:jc w:val="right"/>
        <w:rPr>
          <w:color w:val="000000"/>
          <w:szCs w:val="21"/>
        </w:rPr>
      </w:pPr>
      <w:r>
        <w:rPr>
          <w:color w:val="000000"/>
          <w:szCs w:val="21"/>
        </w:rPr>
        <w:t xml:space="preserve">详细地址：深圳市南山区南海大道3688号 深圳大学办公楼240室 </w:t>
      </w:r>
    </w:p>
    <w:p>
      <w:pPr>
        <w:wordWrap w:val="0"/>
        <w:spacing w:before="120" w:beforeLines="50" w:line="276" w:lineRule="auto"/>
        <w:jc w:val="right"/>
        <w:rPr>
          <w:color w:val="000000"/>
          <w:szCs w:val="21"/>
        </w:rPr>
      </w:pPr>
      <w:r>
        <w:rPr>
          <w:color w:val="000000"/>
          <w:szCs w:val="21"/>
        </w:rPr>
        <w:t>联 系 人：</w:t>
      </w:r>
      <w:r>
        <w:rPr>
          <w:rFonts w:hint="eastAsia"/>
          <w:color w:val="000000"/>
          <w:szCs w:val="21"/>
        </w:rPr>
        <w:t>劳</w:t>
      </w:r>
      <w:r>
        <w:rPr>
          <w:color w:val="000000"/>
          <w:szCs w:val="21"/>
        </w:rPr>
        <w:t>老师 电话：（0755）2653 1103</w:t>
      </w:r>
    </w:p>
    <w:p>
      <w:pPr>
        <w:spacing w:before="120" w:beforeLines="50" w:line="276" w:lineRule="auto"/>
        <w:jc w:val="right"/>
        <w:rPr>
          <w:color w:val="000000"/>
          <w:szCs w:val="21"/>
        </w:rPr>
      </w:pPr>
      <w:r>
        <w:rPr>
          <w:color w:val="000000"/>
          <w:szCs w:val="21"/>
        </w:rPr>
        <w:t>招投标投诉电话：0755-26535738  投诉邮箱：</w:t>
      </w:r>
      <w:r>
        <w:fldChar w:fldCharType="begin"/>
      </w:r>
      <w:r>
        <w:instrText xml:space="preserve"> HYPERLINK "mailto:CHENJC@SZU.EDU.CN" </w:instrText>
      </w:r>
      <w:r>
        <w:fldChar w:fldCharType="separate"/>
      </w:r>
      <w:r>
        <w:rPr>
          <w:rStyle w:val="63"/>
          <w:szCs w:val="21"/>
        </w:rPr>
        <w:t>CHENJC@SZU.EDU.CN</w:t>
      </w:r>
      <w:r>
        <w:rPr>
          <w:rStyle w:val="63"/>
          <w:szCs w:val="21"/>
        </w:rPr>
        <w:fldChar w:fldCharType="end"/>
      </w:r>
    </w:p>
    <w:p>
      <w:pPr>
        <w:spacing w:before="120" w:beforeLines="50" w:line="276" w:lineRule="auto"/>
        <w:jc w:val="right"/>
        <w:rPr>
          <w:color w:val="000000"/>
          <w:szCs w:val="21"/>
        </w:rPr>
      </w:pPr>
      <w:r>
        <w:rPr>
          <w:color w:val="000000"/>
          <w:szCs w:val="21"/>
        </w:rPr>
        <w:t>受理单位:  深圳大学招投标管理中心</w:t>
      </w:r>
    </w:p>
    <w:p>
      <w:pPr>
        <w:spacing w:before="120" w:beforeLines="50" w:line="276" w:lineRule="auto"/>
        <w:jc w:val="right"/>
        <w:rPr>
          <w:color w:val="000000"/>
          <w:szCs w:val="21"/>
        </w:rPr>
      </w:pPr>
      <w:r>
        <w:rPr>
          <w:color w:val="000000"/>
          <w:szCs w:val="21"/>
        </w:rPr>
        <w:t>纪委监督电话：(0755)2653 4925</w:t>
      </w:r>
    </w:p>
    <w:p>
      <w:pPr>
        <w:spacing w:line="276" w:lineRule="auto"/>
        <w:rPr>
          <w:kern w:val="0"/>
          <w:szCs w:val="21"/>
        </w:rPr>
      </w:pPr>
    </w:p>
    <w:p>
      <w:pPr>
        <w:spacing w:line="276" w:lineRule="auto"/>
        <w:jc w:val="right"/>
        <w:rPr>
          <w:szCs w:val="21"/>
        </w:rPr>
      </w:pPr>
      <w:r>
        <w:rPr>
          <w:kern w:val="0"/>
          <w:szCs w:val="21"/>
        </w:rPr>
        <w:t>深圳大学招投标管理中心</w:t>
      </w:r>
      <w:r>
        <w:rPr>
          <w:szCs w:val="21"/>
        </w:rPr>
        <w:t xml:space="preserve"> </w:t>
      </w:r>
    </w:p>
    <w:p>
      <w:pPr>
        <w:spacing w:before="120" w:beforeLines="50" w:line="276" w:lineRule="auto"/>
        <w:jc w:val="right"/>
        <w:rPr>
          <w:color w:val="000000"/>
          <w:szCs w:val="21"/>
        </w:rPr>
      </w:pPr>
      <w:r>
        <w:rPr>
          <w:szCs w:val="21"/>
        </w:rPr>
        <w:t>2020年</w:t>
      </w:r>
      <w:r>
        <w:rPr>
          <w:rFonts w:hint="eastAsia"/>
          <w:szCs w:val="21"/>
          <w:lang w:val="en-US" w:eastAsia="zh-CN"/>
        </w:rPr>
        <w:t>07</w:t>
      </w:r>
      <w:r>
        <w:rPr>
          <w:szCs w:val="21"/>
        </w:rPr>
        <w:t>月</w:t>
      </w:r>
      <w:r>
        <w:rPr>
          <w:rFonts w:hint="eastAsia"/>
          <w:szCs w:val="21"/>
          <w:lang w:val="en-US" w:eastAsia="zh-CN"/>
        </w:rPr>
        <w:t>30</w:t>
      </w:r>
      <w:bookmarkStart w:id="53" w:name="_GoBack"/>
      <w:bookmarkEnd w:id="53"/>
      <w:r>
        <w:rPr>
          <w:szCs w:val="21"/>
        </w:rPr>
        <w:t>日</w:t>
      </w:r>
    </w:p>
    <w:bookmarkEnd w:id="1"/>
    <w:p>
      <w:pPr>
        <w:jc w:val="right"/>
        <w:rPr>
          <w:sz w:val="24"/>
        </w:rPr>
      </w:pPr>
      <w:r>
        <w:rPr>
          <w:sz w:val="24"/>
        </w:rPr>
        <w:br w:type="page"/>
      </w:r>
    </w:p>
    <w:p>
      <w:pPr>
        <w:pStyle w:val="5"/>
      </w:pPr>
      <w:r>
        <w:rPr>
          <w:rFonts w:hint="eastAsia"/>
        </w:rPr>
        <w:t>第二章  招标项目需求</w:t>
      </w:r>
    </w:p>
    <w:p>
      <w:pPr>
        <w:rPr>
          <w:b/>
          <w:color w:val="FF0000"/>
        </w:rPr>
      </w:pPr>
    </w:p>
    <w:p>
      <w:pPr>
        <w:pStyle w:val="5"/>
        <w:spacing w:before="120" w:beforeLines="50" w:after="120" w:afterLines="50"/>
        <w:rPr>
          <w:sz w:val="28"/>
          <w:szCs w:val="28"/>
        </w:rPr>
      </w:pPr>
      <w:bookmarkStart w:id="2" w:name="_Toc73518117"/>
      <w:bookmarkStart w:id="3" w:name="_Toc73517639"/>
      <w:bookmarkStart w:id="4" w:name="_Toc73521547"/>
      <w:bookmarkStart w:id="5" w:name="_Toc101074876"/>
      <w:bookmarkStart w:id="6" w:name="_Toc60560625"/>
      <w:bookmarkStart w:id="7" w:name="_Toc73521635"/>
      <w:bookmarkStart w:id="8" w:name="_Toc60631620"/>
      <w:bookmarkStart w:id="9" w:name="_Toc100052364"/>
      <w:r>
        <w:rPr>
          <w:rFonts w:hint="eastAsia"/>
          <w:sz w:val="28"/>
          <w:szCs w:val="28"/>
        </w:rPr>
        <w:t>一、对通用条款的补充内容</w:t>
      </w:r>
    </w:p>
    <w:bookmarkEnd w:id="2"/>
    <w:bookmarkEnd w:id="3"/>
    <w:bookmarkEnd w:id="4"/>
    <w:bookmarkEnd w:id="5"/>
    <w:bookmarkEnd w:id="6"/>
    <w:bookmarkEnd w:id="7"/>
    <w:bookmarkEnd w:id="8"/>
    <w:bookmarkEnd w:id="9"/>
    <w:tbl>
      <w:tblPr>
        <w:tblStyle w:val="54"/>
        <w:tblW w:w="8367"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807"/>
        <w:gridCol w:w="2160"/>
        <w:gridCol w:w="5400"/>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PrEx>
        <w:trPr>
          <w:cantSplit/>
          <w:trHeight w:val="567" w:hRule="atLeast"/>
          <w:jc w:val="center"/>
        </w:trPr>
        <w:tc>
          <w:tcPr>
            <w:tcW w:w="807" w:type="dxa"/>
            <w:vAlign w:val="center"/>
          </w:tcPr>
          <w:p>
            <w:pPr>
              <w:jc w:val="center"/>
              <w:rPr>
                <w:rFonts w:ascii="宋体" w:hAnsi="宋体"/>
                <w:b/>
                <w:bCs/>
              </w:rPr>
            </w:pPr>
            <w:r>
              <w:rPr>
                <w:rFonts w:hint="eastAsia" w:ascii="宋体" w:hAnsi="宋体"/>
                <w:b/>
                <w:bCs/>
              </w:rPr>
              <w:t>序号</w:t>
            </w:r>
          </w:p>
        </w:tc>
        <w:tc>
          <w:tcPr>
            <w:tcW w:w="2160" w:type="dxa"/>
            <w:vAlign w:val="center"/>
          </w:tcPr>
          <w:p>
            <w:pPr>
              <w:jc w:val="center"/>
              <w:rPr>
                <w:rFonts w:ascii="宋体" w:hAnsi="宋体"/>
                <w:b/>
                <w:bCs/>
              </w:rPr>
            </w:pPr>
            <w:r>
              <w:rPr>
                <w:rFonts w:hint="eastAsia" w:ascii="宋体" w:hAnsi="宋体"/>
                <w:b/>
                <w:bCs/>
              </w:rPr>
              <w:t>内   容</w:t>
            </w:r>
          </w:p>
        </w:tc>
        <w:tc>
          <w:tcPr>
            <w:tcW w:w="5400" w:type="dxa"/>
            <w:vAlign w:val="center"/>
          </w:tcPr>
          <w:p>
            <w:pPr>
              <w:jc w:val="center"/>
              <w:rPr>
                <w:rFonts w:ascii="宋体" w:hAnsi="宋体"/>
                <w:b/>
                <w:bCs/>
              </w:rPr>
            </w:pPr>
            <w:r>
              <w:rPr>
                <w:rFonts w:hint="eastAsia" w:ascii="宋体" w:hAnsi="宋体"/>
                <w:b/>
                <w:bCs/>
              </w:rPr>
              <w:t>规      定</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567" w:hRule="atLeast"/>
          <w:jc w:val="center"/>
        </w:trPr>
        <w:tc>
          <w:tcPr>
            <w:tcW w:w="807" w:type="dxa"/>
            <w:vAlign w:val="center"/>
          </w:tcPr>
          <w:p>
            <w:pPr>
              <w:jc w:val="center"/>
              <w:rPr>
                <w:rFonts w:ascii="宋体" w:hAnsi="宋体"/>
              </w:rPr>
            </w:pPr>
            <w:r>
              <w:rPr>
                <w:rFonts w:hint="eastAsia" w:ascii="宋体" w:hAnsi="宋体"/>
              </w:rPr>
              <w:t>1</w:t>
            </w:r>
          </w:p>
        </w:tc>
        <w:tc>
          <w:tcPr>
            <w:tcW w:w="2160" w:type="dxa"/>
            <w:vAlign w:val="center"/>
          </w:tcPr>
          <w:p>
            <w:pPr>
              <w:jc w:val="center"/>
            </w:pPr>
            <w:r>
              <w:rPr>
                <w:rFonts w:hint="eastAsia"/>
              </w:rPr>
              <w:t>联合体投标</w:t>
            </w:r>
          </w:p>
        </w:tc>
        <w:tc>
          <w:tcPr>
            <w:tcW w:w="5400" w:type="dxa"/>
            <w:vAlign w:val="center"/>
          </w:tcPr>
          <w:p>
            <w:pPr>
              <w:rPr>
                <w:rFonts w:ascii="宋体" w:hAnsi="宋体"/>
                <w:snapToGrid w:val="0"/>
                <w:kern w:val="0"/>
                <w:szCs w:val="32"/>
                <w:lang w:val="zh-CN"/>
              </w:rPr>
            </w:pPr>
            <w:r>
              <w:rPr>
                <w:rFonts w:hint="eastAsia" w:ascii="宋体" w:hAnsi="宋体"/>
                <w:snapToGrid w:val="0"/>
                <w:kern w:val="0"/>
                <w:szCs w:val="32"/>
                <w:lang w:val="zh-CN"/>
              </w:rPr>
              <w:t>见《招标公告》中“投标人资格要求”部分的相关内容</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567" w:hRule="atLeast"/>
          <w:jc w:val="center"/>
        </w:trPr>
        <w:tc>
          <w:tcPr>
            <w:tcW w:w="807" w:type="dxa"/>
            <w:vAlign w:val="center"/>
          </w:tcPr>
          <w:p>
            <w:pPr>
              <w:jc w:val="center"/>
              <w:rPr>
                <w:rFonts w:ascii="宋体" w:hAnsi="宋体"/>
              </w:rPr>
            </w:pPr>
            <w:r>
              <w:rPr>
                <w:rFonts w:hint="eastAsia" w:ascii="宋体" w:hAnsi="宋体"/>
              </w:rPr>
              <w:t>2</w:t>
            </w:r>
          </w:p>
        </w:tc>
        <w:tc>
          <w:tcPr>
            <w:tcW w:w="2160" w:type="dxa"/>
            <w:vAlign w:val="center"/>
          </w:tcPr>
          <w:p>
            <w:pPr>
              <w:jc w:val="center"/>
              <w:rPr>
                <w:rFonts w:ascii="宋体" w:hAnsi="宋体"/>
              </w:rPr>
            </w:pPr>
            <w:r>
              <w:rPr>
                <w:rFonts w:hint="eastAsia" w:ascii="宋体" w:hAnsi="宋体"/>
              </w:rPr>
              <w:t>投标有效期</w:t>
            </w:r>
          </w:p>
        </w:tc>
        <w:tc>
          <w:tcPr>
            <w:tcW w:w="5400" w:type="dxa"/>
            <w:vAlign w:val="center"/>
          </w:tcPr>
          <w:p>
            <w:pPr>
              <w:rPr>
                <w:rFonts w:ascii="宋体" w:hAnsi="宋体"/>
              </w:rPr>
            </w:pPr>
            <w:r>
              <w:rPr>
                <w:rFonts w:hint="eastAsia" w:ascii="宋体" w:hAnsi="宋体"/>
                <w:u w:val="single"/>
              </w:rPr>
              <w:t>120</w:t>
            </w:r>
            <w:r>
              <w:rPr>
                <w:rFonts w:ascii="宋体" w:hAnsi="宋体"/>
                <w:u w:val="single"/>
              </w:rPr>
              <w:t>日历天</w:t>
            </w:r>
            <w:r>
              <w:rPr>
                <w:rFonts w:ascii="宋体" w:hAnsi="宋体"/>
              </w:rPr>
              <w:t>（从投标截止之日算起）</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567" w:hRule="atLeast"/>
          <w:jc w:val="center"/>
        </w:trPr>
        <w:tc>
          <w:tcPr>
            <w:tcW w:w="807" w:type="dxa"/>
            <w:tcBorders>
              <w:top w:val="single" w:color="auto" w:sz="6" w:space="0"/>
              <w:left w:val="double" w:color="auto" w:sz="4" w:space="0"/>
              <w:bottom w:val="single" w:color="auto" w:sz="6" w:space="0"/>
              <w:right w:val="single" w:color="auto" w:sz="6" w:space="0"/>
            </w:tcBorders>
            <w:vAlign w:val="center"/>
          </w:tcPr>
          <w:p>
            <w:pPr>
              <w:jc w:val="center"/>
              <w:rPr>
                <w:rFonts w:ascii="宋体" w:hAnsi="宋体"/>
              </w:rPr>
            </w:pPr>
            <w:r>
              <w:rPr>
                <w:rFonts w:hint="eastAsia" w:ascii="宋体" w:hAnsi="宋体"/>
              </w:rPr>
              <w:t>3</w:t>
            </w:r>
          </w:p>
        </w:tc>
        <w:tc>
          <w:tcPr>
            <w:tcW w:w="2160"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rPr>
            </w:pPr>
            <w:r>
              <w:rPr>
                <w:rFonts w:hint="eastAsia" w:ascii="宋体" w:hAnsi="宋体"/>
              </w:rPr>
              <w:t>投标文件的投递</w:t>
            </w:r>
          </w:p>
        </w:tc>
        <w:tc>
          <w:tcPr>
            <w:tcW w:w="5400" w:type="dxa"/>
            <w:tcBorders>
              <w:top w:val="single" w:color="auto" w:sz="6" w:space="0"/>
              <w:left w:val="single" w:color="auto" w:sz="6" w:space="0"/>
              <w:bottom w:val="single" w:color="auto" w:sz="6" w:space="0"/>
              <w:right w:val="double" w:color="auto" w:sz="4" w:space="0"/>
            </w:tcBorders>
            <w:vAlign w:val="center"/>
          </w:tcPr>
          <w:p>
            <w:pPr>
              <w:spacing w:line="360" w:lineRule="auto"/>
              <w:rPr>
                <w:rFonts w:ascii="宋体" w:hAnsi="宋体"/>
              </w:rPr>
            </w:pPr>
            <w:r>
              <w:rPr>
                <w:rFonts w:hint="eastAsia" w:ascii="宋体" w:hAnsi="宋体"/>
              </w:rPr>
              <w:t>投标人必须在招标文件规定的投标截止时间前将密封的投标文件递送到深圳大学招投标管理中心</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567" w:hRule="atLeast"/>
          <w:jc w:val="center"/>
        </w:trPr>
        <w:tc>
          <w:tcPr>
            <w:tcW w:w="807" w:type="dxa"/>
            <w:tcBorders>
              <w:top w:val="single" w:color="auto" w:sz="6" w:space="0"/>
              <w:left w:val="double" w:color="auto" w:sz="4" w:space="0"/>
              <w:bottom w:val="single" w:color="auto" w:sz="6" w:space="0"/>
              <w:right w:val="single" w:color="auto" w:sz="6" w:space="0"/>
            </w:tcBorders>
            <w:vAlign w:val="center"/>
          </w:tcPr>
          <w:p>
            <w:pPr>
              <w:jc w:val="center"/>
              <w:rPr>
                <w:rFonts w:ascii="宋体" w:hAnsi="宋体"/>
              </w:rPr>
            </w:pPr>
            <w:r>
              <w:rPr>
                <w:rFonts w:hint="eastAsia" w:ascii="宋体" w:hAnsi="宋体"/>
              </w:rPr>
              <w:t>4</w:t>
            </w:r>
          </w:p>
        </w:tc>
        <w:tc>
          <w:tcPr>
            <w:tcW w:w="2160"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rPr>
            </w:pPr>
            <w:r>
              <w:rPr>
                <w:rFonts w:hint="eastAsia" w:ascii="宋体" w:hAnsi="宋体"/>
              </w:rPr>
              <w:t>履约担保金额</w:t>
            </w:r>
          </w:p>
        </w:tc>
        <w:tc>
          <w:tcPr>
            <w:tcW w:w="5400" w:type="dxa"/>
            <w:tcBorders>
              <w:top w:val="single" w:color="auto" w:sz="6" w:space="0"/>
              <w:left w:val="single" w:color="auto" w:sz="6" w:space="0"/>
              <w:bottom w:val="single" w:color="auto" w:sz="6" w:space="0"/>
              <w:right w:val="double" w:color="auto" w:sz="4" w:space="0"/>
            </w:tcBorders>
            <w:vAlign w:val="center"/>
          </w:tcPr>
          <w:p>
            <w:pPr>
              <w:rPr>
                <w:rFonts w:ascii="宋体" w:hAnsi="宋体"/>
              </w:rPr>
            </w:pPr>
            <w:r>
              <w:rPr>
                <w:rFonts w:hint="eastAsia" w:ascii="宋体" w:hAnsi="宋体"/>
              </w:rPr>
              <w:t>无</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567" w:hRule="atLeast"/>
          <w:jc w:val="center"/>
        </w:trPr>
        <w:tc>
          <w:tcPr>
            <w:tcW w:w="807" w:type="dxa"/>
            <w:tcBorders>
              <w:top w:val="single" w:color="auto" w:sz="6" w:space="0"/>
              <w:left w:val="double" w:color="auto" w:sz="4" w:space="0"/>
              <w:bottom w:val="single" w:color="auto" w:sz="6" w:space="0"/>
              <w:right w:val="single" w:color="auto" w:sz="6" w:space="0"/>
            </w:tcBorders>
            <w:vAlign w:val="center"/>
          </w:tcPr>
          <w:p>
            <w:pPr>
              <w:jc w:val="center"/>
              <w:rPr>
                <w:rFonts w:ascii="宋体" w:hAnsi="宋体"/>
              </w:rPr>
            </w:pPr>
            <w:r>
              <w:rPr>
                <w:rFonts w:hint="eastAsia" w:ascii="宋体" w:hAnsi="宋体"/>
              </w:rPr>
              <w:t>5</w:t>
            </w:r>
          </w:p>
        </w:tc>
        <w:tc>
          <w:tcPr>
            <w:tcW w:w="2160"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rPr>
            </w:pPr>
            <w:r>
              <w:rPr>
                <w:rFonts w:hint="eastAsia" w:ascii="宋体" w:hAnsi="宋体"/>
              </w:rPr>
              <w:t>投标文件</w:t>
            </w:r>
          </w:p>
        </w:tc>
        <w:tc>
          <w:tcPr>
            <w:tcW w:w="5400" w:type="dxa"/>
            <w:tcBorders>
              <w:top w:val="single" w:color="auto" w:sz="6" w:space="0"/>
              <w:left w:val="single" w:color="auto" w:sz="6" w:space="0"/>
              <w:bottom w:val="single" w:color="auto" w:sz="6" w:space="0"/>
              <w:right w:val="double" w:color="auto" w:sz="4" w:space="0"/>
            </w:tcBorders>
            <w:vAlign w:val="center"/>
          </w:tcPr>
          <w:p>
            <w:pPr>
              <w:spacing w:line="360" w:lineRule="auto"/>
              <w:rPr>
                <w:rFonts w:ascii="宋体" w:hAnsi="宋体"/>
              </w:rPr>
            </w:pPr>
            <w:r>
              <w:rPr>
                <w:rFonts w:hint="eastAsia" w:ascii="宋体" w:hAnsi="宋体"/>
              </w:rPr>
              <w:t>投标文件正本一份，副本</w:t>
            </w:r>
            <w:r>
              <w:rPr>
                <w:rFonts w:hint="eastAsia" w:ascii="宋体" w:hAnsi="宋体"/>
                <w:color w:val="FF0000"/>
              </w:rPr>
              <w:t xml:space="preserve"> 四 </w:t>
            </w:r>
            <w:r>
              <w:rPr>
                <w:rFonts w:hint="eastAsia" w:ascii="宋体" w:hAnsi="宋体"/>
              </w:rPr>
              <w:t>份，投标一览表需再单独密封提交一份</w:t>
            </w:r>
          </w:p>
        </w:tc>
      </w:tr>
    </w:tbl>
    <w:p>
      <w:pPr>
        <w:rPr>
          <w:b/>
          <w:color w:val="FF0000"/>
        </w:rPr>
      </w:pPr>
      <w:r>
        <w:rPr>
          <w:rFonts w:hint="eastAsia"/>
          <w:szCs w:val="21"/>
        </w:rPr>
        <w:t>备注：本表为通用条款相关内容的补充和明确，如与通用条款相冲突的以本表为准。</w:t>
      </w:r>
    </w:p>
    <w:p>
      <w:pPr>
        <w:rPr>
          <w:b/>
          <w:color w:val="FF0000"/>
        </w:rPr>
      </w:pPr>
    </w:p>
    <w:p>
      <w:pPr>
        <w:pStyle w:val="5"/>
        <w:spacing w:before="120" w:beforeLines="50" w:after="120" w:afterLines="50"/>
        <w:rPr>
          <w:sz w:val="28"/>
          <w:szCs w:val="28"/>
        </w:rPr>
      </w:pPr>
      <w:bookmarkStart w:id="10" w:name="_Toc128884461"/>
      <w:r>
        <w:rPr>
          <w:rFonts w:hint="eastAsia"/>
          <w:sz w:val="28"/>
          <w:szCs w:val="28"/>
        </w:rPr>
        <w:t>二、招标项目概况</w:t>
      </w:r>
      <w:bookmarkEnd w:id="10"/>
    </w:p>
    <w:p>
      <w:pPr>
        <w:spacing w:line="360" w:lineRule="auto"/>
        <w:ind w:firstLine="420" w:firstLineChars="200"/>
        <w:rPr>
          <w:szCs w:val="21"/>
        </w:rPr>
      </w:pPr>
      <w:r>
        <w:rPr>
          <w:szCs w:val="21"/>
        </w:rPr>
        <w:t>1、项目概况</w:t>
      </w:r>
    </w:p>
    <w:p>
      <w:pPr>
        <w:spacing w:line="360" w:lineRule="auto"/>
        <w:ind w:left="-359" w:leftChars="-171" w:firstLine="616" w:firstLineChars="280"/>
        <w:rPr>
          <w:rFonts w:ascii="等线" w:hAnsi="等线" w:eastAsia="等线" w:cs="等线"/>
          <w:color w:val="000000"/>
          <w:kern w:val="0"/>
          <w:sz w:val="22"/>
          <w:szCs w:val="22"/>
        </w:rPr>
      </w:pPr>
      <w:r>
        <w:rPr>
          <w:rFonts w:hint="eastAsia" w:ascii="等线" w:hAnsi="等线" w:eastAsia="等线" w:cs="等线"/>
          <w:color w:val="000000"/>
          <w:kern w:val="0"/>
          <w:sz w:val="22"/>
          <w:szCs w:val="22"/>
        </w:rPr>
        <w:t>铲除油漆面；满刮腻子；抹灰面油漆；贴网格玻纤布；成品保护等。</w:t>
      </w:r>
    </w:p>
    <w:p>
      <w:pPr>
        <w:spacing w:line="360" w:lineRule="auto"/>
        <w:ind w:left="-359" w:leftChars="-171" w:firstLine="590" w:firstLineChars="280"/>
        <w:rPr>
          <w:b/>
          <w:szCs w:val="21"/>
        </w:rPr>
      </w:pPr>
    </w:p>
    <w:p>
      <w:pPr>
        <w:spacing w:line="360" w:lineRule="auto"/>
        <w:ind w:left="-359" w:leftChars="-171" w:firstLine="590" w:firstLineChars="280"/>
        <w:rPr>
          <w:b/>
          <w:szCs w:val="21"/>
        </w:rPr>
      </w:pPr>
      <w:r>
        <w:rPr>
          <w:b/>
          <w:szCs w:val="21"/>
        </w:rPr>
        <w:t xml:space="preserve">设计单位名称： </w:t>
      </w:r>
      <w:r>
        <w:rPr>
          <w:rFonts w:hint="eastAsia"/>
          <w:b/>
          <w:szCs w:val="21"/>
        </w:rPr>
        <w:t>无。</w:t>
      </w:r>
    </w:p>
    <w:p>
      <w:pPr>
        <w:spacing w:line="360" w:lineRule="auto"/>
        <w:ind w:firstLine="420" w:firstLineChars="200"/>
        <w:rPr>
          <w:szCs w:val="21"/>
        </w:rPr>
      </w:pPr>
      <w:r>
        <w:rPr>
          <w:szCs w:val="21"/>
        </w:rPr>
        <w:t>2、采购人：</w:t>
      </w:r>
      <w:r>
        <w:t>深圳大学</w:t>
      </w:r>
      <w:r>
        <w:rPr>
          <w:szCs w:val="21"/>
        </w:rPr>
        <w:t xml:space="preserve"> </w:t>
      </w:r>
    </w:p>
    <w:p>
      <w:pPr>
        <w:spacing w:line="360" w:lineRule="auto"/>
        <w:ind w:firstLine="420" w:firstLineChars="200"/>
        <w:rPr>
          <w:szCs w:val="21"/>
        </w:rPr>
      </w:pPr>
      <w:r>
        <w:rPr>
          <w:szCs w:val="21"/>
        </w:rPr>
        <w:t>3、工期要求：</w:t>
      </w:r>
      <w:r>
        <w:rPr>
          <w:rFonts w:hint="eastAsia" w:ascii="宋体" w:hAnsi="宋体" w:cs="宋体"/>
          <w:color w:val="000000"/>
          <w:kern w:val="0"/>
          <w:sz w:val="22"/>
        </w:rPr>
        <w:t>总工期为</w:t>
      </w:r>
      <w:r>
        <w:rPr>
          <w:rFonts w:ascii="宋体" w:hAnsi="宋体" w:cs="宋体"/>
          <w:color w:val="000000"/>
          <w:kern w:val="0"/>
          <w:sz w:val="22"/>
        </w:rPr>
        <w:t>25</w:t>
      </w:r>
      <w:r>
        <w:rPr>
          <w:rFonts w:hint="eastAsia" w:ascii="宋体" w:hAnsi="宋体" w:cs="宋体"/>
          <w:color w:val="000000"/>
          <w:kern w:val="0"/>
          <w:sz w:val="22"/>
        </w:rPr>
        <w:t>天以内，具体开工时间以建设方通知为准。</w:t>
      </w:r>
    </w:p>
    <w:p>
      <w:pPr>
        <w:spacing w:line="360" w:lineRule="auto"/>
        <w:ind w:firstLine="420" w:firstLineChars="200"/>
        <w:rPr>
          <w:szCs w:val="21"/>
        </w:rPr>
      </w:pPr>
      <w:r>
        <w:rPr>
          <w:szCs w:val="21"/>
        </w:rPr>
        <w:t>4、合同方式：</w:t>
      </w:r>
      <w:bookmarkStart w:id="11" w:name="合同方式"/>
      <w:r>
        <w:rPr>
          <w:rStyle w:val="64"/>
          <w:rFonts w:hint="eastAsia" w:ascii="宋体"/>
          <w:kern w:val="0"/>
        </w:rPr>
        <w:t>固定单价合同。</w:t>
      </w:r>
    </w:p>
    <w:p>
      <w:pPr>
        <w:pStyle w:val="7"/>
        <w:spacing w:before="60" w:beforeLines="25" w:after="60" w:afterLines="25" w:line="360" w:lineRule="auto"/>
        <w:ind w:firstLine="392" w:firstLineChars="187"/>
        <w:rPr>
          <w:szCs w:val="21"/>
        </w:rPr>
      </w:pPr>
      <w:r>
        <w:rPr>
          <w:szCs w:val="21"/>
        </w:rPr>
        <w:t>固定单价合同，</w:t>
      </w:r>
      <w:bookmarkEnd w:id="11"/>
      <w:r>
        <w:rPr>
          <w:szCs w:val="21"/>
        </w:rPr>
        <w:t xml:space="preserve">工程结算时，项目单价不做调整，按实际完成的工程量结算； </w:t>
      </w:r>
    </w:p>
    <w:p>
      <w:pPr>
        <w:pStyle w:val="7"/>
        <w:spacing w:before="60" w:beforeLines="25" w:after="60" w:afterLines="25"/>
        <w:ind w:firstLine="392" w:firstLineChars="187"/>
        <w:rPr>
          <w:szCs w:val="21"/>
        </w:rPr>
      </w:pPr>
    </w:p>
    <w:p>
      <w:pPr>
        <w:pStyle w:val="5"/>
        <w:spacing w:before="120" w:beforeLines="50" w:after="120" w:afterLines="50"/>
        <w:rPr>
          <w:rFonts w:ascii="Times New Roman" w:hAnsi="Times New Roman"/>
          <w:sz w:val="28"/>
          <w:szCs w:val="28"/>
        </w:rPr>
      </w:pPr>
      <w:r>
        <w:rPr>
          <w:rFonts w:ascii="Times New Roman" w:hAnsi="Times New Roman"/>
          <w:sz w:val="28"/>
          <w:szCs w:val="28"/>
        </w:rPr>
        <w:t>三、项目技术要求</w:t>
      </w:r>
    </w:p>
    <w:p>
      <w:pPr>
        <w:spacing w:line="360" w:lineRule="auto"/>
        <w:ind w:left="-2" w:leftChars="-1" w:firstLine="105" w:firstLineChars="50"/>
        <w:rPr>
          <w:highlight w:val="yellow"/>
          <w:u w:val="single"/>
        </w:rPr>
      </w:pPr>
      <w:r>
        <w:rPr>
          <w:u w:val="single"/>
        </w:rPr>
        <w:t>主材参考品牌如下：</w:t>
      </w:r>
    </w:p>
    <w:tbl>
      <w:tblPr>
        <w:tblStyle w:val="54"/>
        <w:tblW w:w="6960" w:type="dxa"/>
        <w:tblInd w:w="93" w:type="dxa"/>
        <w:tblLayout w:type="fixed"/>
        <w:tblCellMar>
          <w:top w:w="0" w:type="dxa"/>
          <w:left w:w="108" w:type="dxa"/>
          <w:bottom w:w="0" w:type="dxa"/>
          <w:right w:w="108" w:type="dxa"/>
        </w:tblCellMar>
      </w:tblPr>
      <w:tblGrid>
        <w:gridCol w:w="760"/>
        <w:gridCol w:w="2820"/>
        <w:gridCol w:w="3380"/>
      </w:tblGrid>
      <w:tr>
        <w:tblPrEx>
          <w:tblCellMar>
            <w:top w:w="0" w:type="dxa"/>
            <w:left w:w="108" w:type="dxa"/>
            <w:bottom w:w="0" w:type="dxa"/>
            <w:right w:w="108" w:type="dxa"/>
          </w:tblCellMar>
        </w:tblPrEx>
        <w:trPr>
          <w:trHeight w:val="439" w:hRule="atLeast"/>
        </w:trPr>
        <w:tc>
          <w:tcPr>
            <w:tcW w:w="760" w:type="dxa"/>
            <w:tcBorders>
              <w:top w:val="single" w:color="auto" w:sz="8" w:space="0"/>
              <w:left w:val="single" w:color="auto" w:sz="8" w:space="0"/>
              <w:bottom w:val="single" w:color="auto" w:sz="4" w:space="0"/>
              <w:right w:val="single" w:color="auto" w:sz="4" w:space="0"/>
            </w:tcBorders>
            <w:vAlign w:val="center"/>
          </w:tcPr>
          <w:p>
            <w:pPr>
              <w:widowControl/>
              <w:jc w:val="center"/>
              <w:rPr>
                <w:rFonts w:ascii="黑体" w:hAnsi="宋体" w:eastAsia="黑体" w:cs="宋体"/>
                <w:b/>
                <w:bCs/>
                <w:kern w:val="0"/>
                <w:sz w:val="22"/>
                <w:szCs w:val="22"/>
              </w:rPr>
            </w:pPr>
            <w:r>
              <w:rPr>
                <w:rFonts w:hint="eastAsia" w:ascii="黑体" w:hAnsi="宋体" w:eastAsia="黑体" w:cs="宋体"/>
                <w:b/>
                <w:bCs/>
                <w:kern w:val="0"/>
                <w:sz w:val="22"/>
                <w:szCs w:val="22"/>
              </w:rPr>
              <w:t>序号</w:t>
            </w:r>
          </w:p>
        </w:tc>
        <w:tc>
          <w:tcPr>
            <w:tcW w:w="2820" w:type="dxa"/>
            <w:tcBorders>
              <w:top w:val="single" w:color="auto" w:sz="8" w:space="0"/>
              <w:left w:val="nil"/>
              <w:bottom w:val="single" w:color="auto" w:sz="4" w:space="0"/>
              <w:right w:val="single" w:color="auto" w:sz="4" w:space="0"/>
            </w:tcBorders>
            <w:vAlign w:val="center"/>
          </w:tcPr>
          <w:p>
            <w:pPr>
              <w:widowControl/>
              <w:jc w:val="center"/>
              <w:rPr>
                <w:rFonts w:ascii="黑体" w:hAnsi="宋体" w:eastAsia="黑体" w:cs="宋体"/>
                <w:b/>
                <w:bCs/>
                <w:kern w:val="0"/>
                <w:sz w:val="22"/>
                <w:szCs w:val="22"/>
              </w:rPr>
            </w:pPr>
            <w:r>
              <w:rPr>
                <w:rFonts w:hint="eastAsia" w:ascii="黑体" w:hAnsi="宋体" w:eastAsia="黑体" w:cs="宋体"/>
                <w:b/>
                <w:bCs/>
                <w:kern w:val="0"/>
                <w:sz w:val="22"/>
                <w:szCs w:val="22"/>
              </w:rPr>
              <w:t>名称</w:t>
            </w:r>
          </w:p>
        </w:tc>
        <w:tc>
          <w:tcPr>
            <w:tcW w:w="3380" w:type="dxa"/>
            <w:tcBorders>
              <w:top w:val="single" w:color="auto" w:sz="4" w:space="0"/>
              <w:left w:val="nil"/>
              <w:bottom w:val="single" w:color="auto" w:sz="4" w:space="0"/>
              <w:right w:val="single" w:color="auto" w:sz="4" w:space="0"/>
            </w:tcBorders>
            <w:vAlign w:val="center"/>
          </w:tcPr>
          <w:p>
            <w:pPr>
              <w:widowControl/>
              <w:jc w:val="center"/>
              <w:rPr>
                <w:rFonts w:ascii="黑体" w:hAnsi="宋体" w:eastAsia="黑体" w:cs="宋体"/>
                <w:b/>
                <w:bCs/>
                <w:kern w:val="0"/>
                <w:sz w:val="22"/>
                <w:szCs w:val="22"/>
              </w:rPr>
            </w:pPr>
            <w:r>
              <w:rPr>
                <w:rFonts w:hint="eastAsia" w:ascii="黑体" w:hAnsi="宋体" w:eastAsia="黑体" w:cs="宋体"/>
                <w:b/>
                <w:bCs/>
                <w:kern w:val="0"/>
                <w:sz w:val="22"/>
                <w:szCs w:val="22"/>
              </w:rPr>
              <w:t>推荐材料品牌(三个同等品牌)</w:t>
            </w:r>
          </w:p>
        </w:tc>
      </w:tr>
      <w:tr>
        <w:tblPrEx>
          <w:tblCellMar>
            <w:top w:w="0" w:type="dxa"/>
            <w:left w:w="108" w:type="dxa"/>
            <w:bottom w:w="0" w:type="dxa"/>
            <w:right w:w="108" w:type="dxa"/>
          </w:tblCellMar>
        </w:tblPrEx>
        <w:trPr>
          <w:trHeight w:val="439" w:hRule="atLeast"/>
        </w:trPr>
        <w:tc>
          <w:tcPr>
            <w:tcW w:w="760" w:type="dxa"/>
            <w:tcBorders>
              <w:top w:val="nil"/>
              <w:left w:val="single" w:color="auto" w:sz="8" w:space="0"/>
              <w:bottom w:val="single" w:color="auto" w:sz="4" w:space="0"/>
              <w:right w:val="single" w:color="auto" w:sz="4" w:space="0"/>
            </w:tcBorders>
            <w:vAlign w:val="center"/>
          </w:tcPr>
          <w:p>
            <w:pPr>
              <w:widowControl/>
              <w:jc w:val="center"/>
              <w:rPr>
                <w:rFonts w:ascii="黑体" w:hAnsi="宋体" w:eastAsia="黑体" w:cs="宋体"/>
                <w:kern w:val="0"/>
                <w:sz w:val="22"/>
                <w:szCs w:val="22"/>
              </w:rPr>
            </w:pPr>
            <w:r>
              <w:rPr>
                <w:rFonts w:hint="eastAsia" w:ascii="黑体" w:hAnsi="宋体" w:eastAsia="黑体" w:cs="宋体"/>
                <w:kern w:val="0"/>
                <w:sz w:val="22"/>
                <w:szCs w:val="22"/>
              </w:rPr>
              <w:t>1</w:t>
            </w:r>
          </w:p>
        </w:tc>
        <w:tc>
          <w:tcPr>
            <w:tcW w:w="2820" w:type="dxa"/>
            <w:tcBorders>
              <w:top w:val="nil"/>
              <w:left w:val="nil"/>
              <w:bottom w:val="single" w:color="auto" w:sz="4" w:space="0"/>
              <w:right w:val="single" w:color="auto" w:sz="4" w:space="0"/>
            </w:tcBorders>
            <w:vAlign w:val="center"/>
          </w:tcPr>
          <w:p>
            <w:pPr>
              <w:autoSpaceDE w:val="0"/>
              <w:rPr>
                <w:szCs w:val="21"/>
              </w:rPr>
            </w:pPr>
            <w:r>
              <w:rPr>
                <w:rFonts w:hint="eastAsia" w:ascii="宋体" w:hAnsi="宋体"/>
              </w:rPr>
              <w:t>水泥</w:t>
            </w:r>
          </w:p>
        </w:tc>
        <w:tc>
          <w:tcPr>
            <w:tcW w:w="3380" w:type="dxa"/>
            <w:tcBorders>
              <w:top w:val="nil"/>
              <w:left w:val="nil"/>
              <w:bottom w:val="single" w:color="auto" w:sz="4" w:space="0"/>
              <w:right w:val="single" w:color="auto" w:sz="4" w:space="0"/>
            </w:tcBorders>
            <w:vAlign w:val="center"/>
          </w:tcPr>
          <w:p>
            <w:pPr>
              <w:autoSpaceDE w:val="0"/>
              <w:rPr>
                <w:rFonts w:ascii="Arial" w:hAnsi="Arial"/>
                <w:szCs w:val="21"/>
              </w:rPr>
            </w:pPr>
            <w:r>
              <w:rPr>
                <w:rFonts w:hint="eastAsia" w:ascii="宋体" w:hAnsi="宋体"/>
              </w:rPr>
              <w:t>海螺、南方水泥、中材、华新堡垒、华润水泥</w:t>
            </w:r>
          </w:p>
        </w:tc>
      </w:tr>
      <w:tr>
        <w:tblPrEx>
          <w:tblCellMar>
            <w:top w:w="0" w:type="dxa"/>
            <w:left w:w="108" w:type="dxa"/>
            <w:bottom w:w="0" w:type="dxa"/>
            <w:right w:w="108" w:type="dxa"/>
          </w:tblCellMar>
        </w:tblPrEx>
        <w:trPr>
          <w:trHeight w:val="439" w:hRule="atLeast"/>
        </w:trPr>
        <w:tc>
          <w:tcPr>
            <w:tcW w:w="760" w:type="dxa"/>
            <w:tcBorders>
              <w:top w:val="single" w:color="auto" w:sz="4" w:space="0"/>
              <w:left w:val="single" w:color="auto" w:sz="8" w:space="0"/>
              <w:bottom w:val="single" w:color="auto" w:sz="4" w:space="0"/>
              <w:right w:val="single" w:color="auto" w:sz="4" w:space="0"/>
            </w:tcBorders>
            <w:vAlign w:val="center"/>
          </w:tcPr>
          <w:p>
            <w:pPr>
              <w:widowControl/>
              <w:jc w:val="center"/>
              <w:rPr>
                <w:rFonts w:ascii="黑体" w:hAnsi="宋体" w:eastAsia="黑体" w:cs="宋体"/>
                <w:kern w:val="0"/>
                <w:sz w:val="22"/>
                <w:szCs w:val="22"/>
              </w:rPr>
            </w:pPr>
            <w:r>
              <w:rPr>
                <w:rFonts w:hint="eastAsia" w:ascii="黑体" w:hAnsi="宋体" w:eastAsia="黑体" w:cs="宋体"/>
                <w:kern w:val="0"/>
                <w:sz w:val="22"/>
                <w:szCs w:val="22"/>
              </w:rPr>
              <w:t>2</w:t>
            </w:r>
          </w:p>
        </w:tc>
        <w:tc>
          <w:tcPr>
            <w:tcW w:w="2820" w:type="dxa"/>
            <w:tcBorders>
              <w:top w:val="single" w:color="auto" w:sz="4" w:space="0"/>
              <w:left w:val="nil"/>
              <w:bottom w:val="single" w:color="auto" w:sz="4" w:space="0"/>
              <w:right w:val="single" w:color="auto" w:sz="4" w:space="0"/>
            </w:tcBorders>
            <w:vAlign w:val="center"/>
          </w:tcPr>
          <w:p>
            <w:pPr>
              <w:autoSpaceDE w:val="0"/>
              <w:rPr>
                <w:szCs w:val="21"/>
              </w:rPr>
            </w:pPr>
            <w:r>
              <w:rPr>
                <w:rFonts w:hint="eastAsia" w:ascii="宋体" w:hAnsi="宋体"/>
              </w:rPr>
              <w:t>内墙涂料</w:t>
            </w:r>
          </w:p>
        </w:tc>
        <w:tc>
          <w:tcPr>
            <w:tcW w:w="3380" w:type="dxa"/>
            <w:tcBorders>
              <w:top w:val="single" w:color="auto" w:sz="4" w:space="0"/>
              <w:left w:val="nil"/>
              <w:bottom w:val="single" w:color="auto" w:sz="4" w:space="0"/>
              <w:right w:val="single" w:color="auto" w:sz="4" w:space="0"/>
            </w:tcBorders>
            <w:vAlign w:val="center"/>
          </w:tcPr>
          <w:p>
            <w:pPr>
              <w:autoSpaceDE w:val="0"/>
              <w:rPr>
                <w:b/>
                <w:bCs/>
                <w:szCs w:val="21"/>
              </w:rPr>
            </w:pPr>
            <w:r>
              <w:rPr>
                <w:rFonts w:hint="eastAsia" w:ascii="宋体" w:hAnsi="宋体"/>
              </w:rPr>
              <w:t>多乐士、立邦、嘉宝莉、美涂士、华润/威士伯</w:t>
            </w:r>
          </w:p>
        </w:tc>
      </w:tr>
      <w:tr>
        <w:tblPrEx>
          <w:tblCellMar>
            <w:top w:w="0" w:type="dxa"/>
            <w:left w:w="108" w:type="dxa"/>
            <w:bottom w:w="0" w:type="dxa"/>
            <w:right w:w="108" w:type="dxa"/>
          </w:tblCellMar>
        </w:tblPrEx>
        <w:trPr>
          <w:trHeight w:val="439" w:hRule="atLeast"/>
        </w:trPr>
        <w:tc>
          <w:tcPr>
            <w:tcW w:w="760" w:type="dxa"/>
            <w:tcBorders>
              <w:top w:val="nil"/>
              <w:left w:val="single" w:color="auto" w:sz="8" w:space="0"/>
              <w:bottom w:val="single" w:color="auto" w:sz="4" w:space="0"/>
              <w:right w:val="single" w:color="auto" w:sz="4" w:space="0"/>
            </w:tcBorders>
            <w:vAlign w:val="center"/>
          </w:tcPr>
          <w:p>
            <w:pPr>
              <w:widowControl/>
              <w:jc w:val="center"/>
              <w:rPr>
                <w:rFonts w:ascii="黑体" w:hAnsi="宋体" w:eastAsia="黑体" w:cs="宋体"/>
                <w:kern w:val="0"/>
                <w:sz w:val="22"/>
                <w:szCs w:val="22"/>
              </w:rPr>
            </w:pPr>
            <w:r>
              <w:rPr>
                <w:rFonts w:hint="eastAsia" w:ascii="黑体" w:hAnsi="宋体" w:eastAsia="黑体" w:cs="宋体"/>
                <w:kern w:val="0"/>
                <w:sz w:val="22"/>
                <w:szCs w:val="22"/>
              </w:rPr>
              <w:t>3</w:t>
            </w:r>
          </w:p>
        </w:tc>
        <w:tc>
          <w:tcPr>
            <w:tcW w:w="2820" w:type="dxa"/>
            <w:tcBorders>
              <w:top w:val="nil"/>
              <w:left w:val="nil"/>
              <w:bottom w:val="single" w:color="auto" w:sz="4" w:space="0"/>
              <w:right w:val="single" w:color="auto" w:sz="4" w:space="0"/>
            </w:tcBorders>
            <w:vAlign w:val="center"/>
          </w:tcPr>
          <w:p>
            <w:pPr>
              <w:autoSpaceDE w:val="0"/>
              <w:rPr>
                <w:szCs w:val="21"/>
              </w:rPr>
            </w:pPr>
            <w:r>
              <w:rPr>
                <w:rFonts w:hint="eastAsia" w:ascii="宋体" w:hAnsi="宋体"/>
              </w:rPr>
              <w:t>外墙涂料</w:t>
            </w:r>
          </w:p>
        </w:tc>
        <w:tc>
          <w:tcPr>
            <w:tcW w:w="3380" w:type="dxa"/>
            <w:tcBorders>
              <w:top w:val="nil"/>
              <w:left w:val="nil"/>
              <w:bottom w:val="single" w:color="auto" w:sz="4" w:space="0"/>
              <w:right w:val="single" w:color="auto" w:sz="4" w:space="0"/>
            </w:tcBorders>
            <w:vAlign w:val="center"/>
          </w:tcPr>
          <w:p>
            <w:pPr>
              <w:autoSpaceDE w:val="0"/>
              <w:rPr>
                <w:rFonts w:ascii="宋体" w:hAnsi="宋体"/>
                <w:szCs w:val="21"/>
              </w:rPr>
            </w:pPr>
            <w:r>
              <w:rPr>
                <w:rFonts w:hint="eastAsia" w:ascii="宋体" w:hAnsi="宋体"/>
              </w:rPr>
              <w:t>立邦、嘉宝莉、美涂士、华润、海虹</w:t>
            </w:r>
          </w:p>
        </w:tc>
      </w:tr>
    </w:tbl>
    <w:p>
      <w:pPr>
        <w:rPr>
          <w:rFonts w:ascii="宋体" w:hAnsi="宋体"/>
          <w:color w:val="000000"/>
          <w:szCs w:val="21"/>
        </w:rPr>
      </w:pPr>
    </w:p>
    <w:p>
      <w:pPr>
        <w:pStyle w:val="5"/>
        <w:numPr>
          <w:ilvl w:val="0"/>
          <w:numId w:val="5"/>
        </w:numPr>
        <w:spacing w:before="120" w:beforeLines="50" w:after="120" w:afterLines="50"/>
        <w:rPr>
          <w:sz w:val="30"/>
          <w:szCs w:val="28"/>
        </w:rPr>
      </w:pPr>
      <w:r>
        <w:rPr>
          <w:rFonts w:hint="eastAsia"/>
          <w:sz w:val="28"/>
          <w:szCs w:val="28"/>
        </w:rPr>
        <w:t>补充条款</w:t>
      </w:r>
    </w:p>
    <w:p>
      <w:pPr>
        <w:numPr>
          <w:ilvl w:val="0"/>
          <w:numId w:val="6"/>
        </w:numPr>
        <w:spacing w:line="320" w:lineRule="exact"/>
        <w:rPr>
          <w:rFonts w:ascii="宋体" w:hAnsi="宋体"/>
          <w:bCs/>
          <w:szCs w:val="21"/>
        </w:rPr>
      </w:pPr>
      <w:r>
        <w:rPr>
          <w:rFonts w:hint="eastAsia" w:ascii="宋体" w:hAnsi="宋体"/>
          <w:bCs/>
          <w:szCs w:val="21"/>
        </w:rPr>
        <w:t>本工程不支付预付款，当工程施工完成50%时，甲方按合同价款支付30%给乙方，当工程完成通过验收并提交结算资料后，甲方再按合同价款付30%给乙方，余款待工程结算审核完毕后，提交保修款（3%）后一次性付清。</w:t>
      </w:r>
    </w:p>
    <w:p>
      <w:pPr>
        <w:numPr>
          <w:ilvl w:val="0"/>
          <w:numId w:val="7"/>
        </w:numPr>
        <w:spacing w:line="320" w:lineRule="exact"/>
        <w:ind w:left="720" w:hanging="720"/>
        <w:rPr>
          <w:szCs w:val="21"/>
        </w:rPr>
      </w:pPr>
      <w:r>
        <w:rPr>
          <w:rFonts w:hint="eastAsia"/>
          <w:szCs w:val="21"/>
        </w:rPr>
        <w:t xml:space="preserve"> 全部工程造价按下列约定计算：</w:t>
      </w:r>
    </w:p>
    <w:p>
      <w:pPr>
        <w:numPr>
          <w:ilvl w:val="0"/>
          <w:numId w:val="8"/>
        </w:numPr>
        <w:spacing w:line="320" w:lineRule="exact"/>
        <w:rPr>
          <w:szCs w:val="21"/>
        </w:rPr>
      </w:pPr>
      <w:r>
        <w:rPr>
          <w:rFonts w:hint="eastAsia"/>
          <w:szCs w:val="21"/>
        </w:rPr>
        <w:t>工程量以招标文件中的工程量清单为准，如有增减，以甲、乙方及监理三方共同现场签证为准。</w:t>
      </w:r>
    </w:p>
    <w:p>
      <w:pPr>
        <w:numPr>
          <w:ilvl w:val="0"/>
          <w:numId w:val="8"/>
        </w:numPr>
        <w:adjustRightInd w:val="0"/>
        <w:snapToGrid w:val="0"/>
        <w:spacing w:line="320" w:lineRule="exact"/>
        <w:rPr>
          <w:szCs w:val="21"/>
        </w:rPr>
      </w:pPr>
      <w:r>
        <w:rPr>
          <w:rFonts w:hint="eastAsia"/>
          <w:szCs w:val="21"/>
        </w:rPr>
        <w:t>工程量如有增减，对于提交了“投标文件”并按照投标文件评审后中标的中标人，有投标报价的按照投标报价计取，没有投标报价的项目综合单价按照</w:t>
      </w:r>
      <w:r>
        <w:rPr>
          <w:rFonts w:hint="eastAsia"/>
          <w:szCs w:val="21"/>
          <w:u w:val="single"/>
        </w:rPr>
        <w:t xml:space="preserve">        </w:t>
      </w:r>
      <w:r>
        <w:rPr>
          <w:rFonts w:hint="eastAsia"/>
          <w:szCs w:val="21"/>
        </w:rPr>
        <w:t>年</w:t>
      </w:r>
      <w:r>
        <w:rPr>
          <w:rFonts w:hint="eastAsia"/>
          <w:szCs w:val="21"/>
          <w:u w:val="single"/>
        </w:rPr>
        <w:t xml:space="preserve">    </w:t>
      </w:r>
      <w:r>
        <w:rPr>
          <w:rFonts w:hint="eastAsia"/>
          <w:szCs w:val="21"/>
        </w:rPr>
        <w:t xml:space="preserve"> 期定额价乘以中标人中标价的下浮率计取；</w:t>
      </w:r>
    </w:p>
    <w:p>
      <w:pPr>
        <w:numPr>
          <w:ilvl w:val="0"/>
          <w:numId w:val="8"/>
        </w:numPr>
        <w:spacing w:line="320" w:lineRule="exact"/>
        <w:rPr>
          <w:szCs w:val="21"/>
        </w:rPr>
      </w:pPr>
      <w:r>
        <w:rPr>
          <w:rFonts w:hint="eastAsia"/>
          <w:szCs w:val="21"/>
        </w:rPr>
        <w:t>施工措施费用的核算：实际施工时，施工措施发生了变化时，由造价机构按照实际施工的措施进行造价后对原</w:t>
      </w:r>
      <w:r>
        <w:rPr>
          <w:szCs w:val="21"/>
        </w:rPr>
        <w:t>“</w:t>
      </w:r>
      <w:r>
        <w:rPr>
          <w:rFonts w:hint="eastAsia"/>
          <w:szCs w:val="21"/>
        </w:rPr>
        <w:t>标底</w:t>
      </w:r>
      <w:r>
        <w:rPr>
          <w:szCs w:val="21"/>
        </w:rPr>
        <w:t>”</w:t>
      </w:r>
      <w:r>
        <w:rPr>
          <w:rFonts w:hint="eastAsia"/>
          <w:szCs w:val="21"/>
        </w:rPr>
        <w:t>中的措施费部分进行调整，并按照中标人中标价的下浮率折算后结算。</w:t>
      </w:r>
    </w:p>
    <w:p>
      <w:pPr>
        <w:numPr>
          <w:ilvl w:val="0"/>
          <w:numId w:val="8"/>
        </w:numPr>
        <w:spacing w:line="320" w:lineRule="exact"/>
        <w:rPr>
          <w:szCs w:val="21"/>
        </w:rPr>
      </w:pPr>
      <w:r>
        <w:rPr>
          <w:rFonts w:hint="eastAsia"/>
          <w:szCs w:val="21"/>
        </w:rPr>
        <w:t>本工程原则上不作增减调整，严格按照招标文件内容和图纸进行施工。施工过程中，乙方如发现工作内容与招标文件中的工程量清单不符时，应立即停止并通知甲方现场解决，不得任意更改工作项目，在有关部门还没处理完毕之前不能施工，此间处理过程的工期按实际顺延。</w:t>
      </w:r>
    </w:p>
    <w:p>
      <w:pPr>
        <w:numPr>
          <w:ilvl w:val="0"/>
          <w:numId w:val="8"/>
        </w:numPr>
        <w:spacing w:line="320" w:lineRule="exact"/>
        <w:rPr>
          <w:szCs w:val="21"/>
        </w:rPr>
      </w:pPr>
      <w:r>
        <w:rPr>
          <w:rFonts w:hint="eastAsia"/>
          <w:szCs w:val="21"/>
        </w:rPr>
        <w:t>工程量以招标文件的工程量清单为准，施工中如遇与工程量清单不符时参照本补充条款第2条进行结算。</w:t>
      </w:r>
    </w:p>
    <w:p>
      <w:pPr>
        <w:numPr>
          <w:ilvl w:val="0"/>
          <w:numId w:val="8"/>
        </w:numPr>
        <w:spacing w:line="320" w:lineRule="exact"/>
        <w:rPr>
          <w:szCs w:val="21"/>
        </w:rPr>
      </w:pPr>
      <w:r>
        <w:rPr>
          <w:rFonts w:hint="eastAsia"/>
          <w:szCs w:val="21"/>
        </w:rPr>
        <w:t>施工过程中的会议纪要作为合同附件。</w:t>
      </w:r>
    </w:p>
    <w:p>
      <w:pPr>
        <w:numPr>
          <w:ilvl w:val="0"/>
          <w:numId w:val="7"/>
        </w:numPr>
        <w:spacing w:line="320" w:lineRule="exact"/>
        <w:ind w:left="720" w:hanging="720"/>
        <w:rPr>
          <w:szCs w:val="21"/>
        </w:rPr>
      </w:pPr>
      <w:r>
        <w:rPr>
          <w:rFonts w:hint="eastAsia"/>
          <w:szCs w:val="21"/>
        </w:rPr>
        <w:t xml:space="preserve">  质量保修的支付：</w:t>
      </w:r>
    </w:p>
    <w:p>
      <w:pPr>
        <w:numPr>
          <w:ilvl w:val="0"/>
          <w:numId w:val="9"/>
        </w:numPr>
        <w:spacing w:line="320" w:lineRule="exact"/>
        <w:rPr>
          <w:szCs w:val="21"/>
        </w:rPr>
      </w:pPr>
      <w:r>
        <w:rPr>
          <w:rFonts w:hint="eastAsia"/>
          <w:szCs w:val="21"/>
        </w:rPr>
        <w:t>本工程约定的工程质量保修金为施工合同价款的3%；</w:t>
      </w:r>
    </w:p>
    <w:p>
      <w:pPr>
        <w:numPr>
          <w:ilvl w:val="0"/>
          <w:numId w:val="9"/>
        </w:numPr>
        <w:spacing w:line="320" w:lineRule="exact"/>
        <w:rPr>
          <w:szCs w:val="21"/>
        </w:rPr>
      </w:pPr>
      <w:r>
        <w:rPr>
          <w:rFonts w:hint="eastAsia"/>
          <w:szCs w:val="21"/>
        </w:rPr>
        <w:t>本工程双方约定承包方向发包方支付工程质量保修金金额为（人民币:大写）</w:t>
      </w:r>
      <w:r>
        <w:rPr>
          <w:rFonts w:hint="eastAsia"/>
          <w:szCs w:val="21"/>
          <w:u w:val="single"/>
        </w:rPr>
        <w:t xml:space="preserve">                  ; </w:t>
      </w:r>
    </w:p>
    <w:p>
      <w:pPr>
        <w:spacing w:line="320" w:lineRule="exact"/>
        <w:ind w:left="720"/>
        <w:rPr>
          <w:rFonts w:ascii="宋体" w:hAnsi="宋体"/>
          <w:szCs w:val="21"/>
        </w:rPr>
      </w:pPr>
      <w:r>
        <w:rPr>
          <w:rFonts w:hint="eastAsia"/>
          <w:szCs w:val="21"/>
        </w:rPr>
        <w:t>(小写):</w:t>
      </w:r>
      <w:r>
        <w:rPr>
          <w:rFonts w:hint="eastAsia"/>
          <w:szCs w:val="21"/>
          <w:u w:val="single"/>
        </w:rPr>
        <w:t xml:space="preserve">           元.</w:t>
      </w:r>
      <w:r>
        <w:rPr>
          <w:rFonts w:hint="eastAsia" w:ascii="宋体" w:hAnsi="宋体"/>
          <w:szCs w:val="21"/>
        </w:rPr>
        <w:t xml:space="preserve"> 由承包方以转帐方式转入甲方帐号（不计利息）。</w:t>
      </w:r>
    </w:p>
    <w:p>
      <w:pPr>
        <w:numPr>
          <w:ilvl w:val="0"/>
          <w:numId w:val="9"/>
        </w:numPr>
        <w:spacing w:line="320" w:lineRule="exact"/>
        <w:ind w:left="735" w:hanging="735" w:hangingChars="350"/>
        <w:rPr>
          <w:rFonts w:ascii="宋体" w:hAnsi="宋体"/>
          <w:szCs w:val="21"/>
        </w:rPr>
      </w:pPr>
      <w:r>
        <w:rPr>
          <w:rFonts w:hint="eastAsia" w:ascii="宋体" w:hAnsi="宋体"/>
          <w:szCs w:val="21"/>
        </w:rPr>
        <w:t>属于保修范围内的项目，在保修期内，承包人应在接到保修通知之日后７天内派人修理。承包人不在约定期限内派人修理，发包人可委托其他人员修理，由此造成的费用损失及修理费用，全部由承包人承担，并在工程质量保修金中扣除。</w:t>
      </w:r>
    </w:p>
    <w:p>
      <w:pPr>
        <w:numPr>
          <w:ilvl w:val="0"/>
          <w:numId w:val="10"/>
        </w:numPr>
        <w:spacing w:line="320" w:lineRule="exact"/>
        <w:rPr>
          <w:rFonts w:ascii="宋体" w:hAnsi="宋体" w:cs="宋体"/>
          <w:szCs w:val="21"/>
        </w:rPr>
      </w:pPr>
      <w:r>
        <w:rPr>
          <w:rFonts w:hint="eastAsia" w:ascii="宋体" w:hAnsi="宋体" w:cs="宋体"/>
          <w:szCs w:val="21"/>
        </w:rPr>
        <w:t xml:space="preserve">  项目管理班组</w:t>
      </w:r>
    </w:p>
    <w:p>
      <w:pPr>
        <w:numPr>
          <w:ilvl w:val="0"/>
          <w:numId w:val="11"/>
        </w:numPr>
        <w:adjustRightInd w:val="0"/>
        <w:snapToGrid w:val="0"/>
        <w:spacing w:line="320" w:lineRule="exact"/>
        <w:rPr>
          <w:rFonts w:ascii="宋体" w:hAnsi="宋体"/>
          <w:color w:val="FF0000"/>
          <w:kern w:val="0"/>
          <w:szCs w:val="21"/>
        </w:rPr>
      </w:pPr>
      <w:r>
        <w:rPr>
          <w:rFonts w:hint="eastAsia" w:ascii="宋体" w:hAnsi="宋体"/>
          <w:color w:val="FF0000"/>
          <w:kern w:val="0"/>
          <w:szCs w:val="21"/>
        </w:rPr>
        <w:t xml:space="preserve">   项目经理的姓名：</w:t>
      </w:r>
      <w:r>
        <w:rPr>
          <w:rFonts w:ascii="宋体" w:hAnsi="宋体"/>
          <w:color w:val="FF0000"/>
          <w:kern w:val="0"/>
          <w:szCs w:val="21"/>
        </w:rPr>
        <w:t xml:space="preserve"> </w:t>
      </w:r>
    </w:p>
    <w:p>
      <w:pPr>
        <w:numPr>
          <w:ilvl w:val="0"/>
          <w:numId w:val="11"/>
        </w:numPr>
        <w:adjustRightInd w:val="0"/>
        <w:snapToGrid w:val="0"/>
        <w:spacing w:line="320" w:lineRule="exact"/>
        <w:rPr>
          <w:rFonts w:ascii="宋体" w:hAnsi="宋体"/>
          <w:kern w:val="0"/>
          <w:szCs w:val="21"/>
        </w:rPr>
      </w:pPr>
      <w:r>
        <w:rPr>
          <w:rFonts w:hint="eastAsia" w:ascii="宋体" w:hAnsi="宋体"/>
          <w:kern w:val="0"/>
          <w:szCs w:val="21"/>
        </w:rPr>
        <w:t xml:space="preserve">   项目经理与投标文件承诺不一致或未及时到位发包人将按照下列方式对承包人进行处罚：</w:t>
      </w:r>
    </w:p>
    <w:p>
      <w:pPr>
        <w:adjustRightInd w:val="0"/>
        <w:snapToGrid w:val="0"/>
        <w:spacing w:line="320" w:lineRule="exact"/>
        <w:ind w:left="716" w:leftChars="300" w:hanging="86" w:hangingChars="41"/>
        <w:rPr>
          <w:rFonts w:ascii="宋体" w:hAnsi="宋体"/>
          <w:kern w:val="0"/>
          <w:szCs w:val="21"/>
        </w:rPr>
      </w:pPr>
      <w:r>
        <w:rPr>
          <w:rFonts w:hint="eastAsia" w:ascii="宋体" w:hAnsi="宋体"/>
          <w:kern w:val="0"/>
          <w:szCs w:val="21"/>
        </w:rPr>
        <w:t>（</w:t>
      </w:r>
      <w:r>
        <w:rPr>
          <w:rFonts w:ascii="宋体" w:hAnsi="宋体"/>
          <w:kern w:val="0"/>
          <w:szCs w:val="21"/>
        </w:rPr>
        <w:t>1）施工方不得随意变更项目经理（除非有不可抗力的原因），未经建设方同意变更一次罚款50000元人民币。</w:t>
      </w:r>
    </w:p>
    <w:p>
      <w:pPr>
        <w:adjustRightInd w:val="0"/>
        <w:snapToGrid w:val="0"/>
        <w:spacing w:line="320" w:lineRule="exact"/>
        <w:ind w:firstLine="630" w:firstLineChars="300"/>
        <w:rPr>
          <w:rFonts w:ascii="宋体" w:hAnsi="宋体"/>
          <w:kern w:val="0"/>
          <w:szCs w:val="21"/>
        </w:rPr>
      </w:pPr>
      <w:r>
        <w:rPr>
          <w:rFonts w:hint="eastAsia" w:ascii="宋体" w:hAnsi="宋体"/>
          <w:kern w:val="0"/>
          <w:szCs w:val="21"/>
        </w:rPr>
        <w:t>（</w:t>
      </w:r>
      <w:r>
        <w:rPr>
          <w:rFonts w:ascii="宋体" w:hAnsi="宋体"/>
          <w:kern w:val="0"/>
          <w:szCs w:val="21"/>
        </w:rPr>
        <w:t>2）建设方对项目经理不满意，可以提出更换，施工方必须立即更换。</w:t>
      </w:r>
    </w:p>
    <w:p>
      <w:pPr>
        <w:adjustRightInd w:val="0"/>
        <w:snapToGrid w:val="0"/>
        <w:spacing w:line="320" w:lineRule="exact"/>
        <w:ind w:firstLine="630" w:firstLineChars="300"/>
        <w:rPr>
          <w:rFonts w:ascii="宋体" w:hAnsi="宋体"/>
          <w:kern w:val="0"/>
          <w:szCs w:val="21"/>
        </w:rPr>
      </w:pPr>
      <w:r>
        <w:rPr>
          <w:rFonts w:hint="eastAsia" w:ascii="宋体" w:hAnsi="宋体"/>
          <w:kern w:val="0"/>
          <w:szCs w:val="21"/>
        </w:rPr>
        <w:t>（</w:t>
      </w:r>
      <w:r>
        <w:rPr>
          <w:rFonts w:ascii="宋体" w:hAnsi="宋体"/>
          <w:kern w:val="0"/>
          <w:szCs w:val="21"/>
        </w:rPr>
        <w:t>3）未经建设方同意，项目经理缺席工程例会一次，罚款10000元人民币。</w:t>
      </w:r>
    </w:p>
    <w:p>
      <w:pPr>
        <w:adjustRightInd w:val="0"/>
        <w:snapToGrid w:val="0"/>
        <w:spacing w:line="320" w:lineRule="exact"/>
        <w:ind w:left="840" w:leftChars="300" w:hanging="210" w:hangingChars="100"/>
        <w:rPr>
          <w:rFonts w:ascii="宋体" w:hAnsi="宋体"/>
          <w:kern w:val="0"/>
          <w:szCs w:val="21"/>
        </w:rPr>
      </w:pPr>
      <w:r>
        <w:rPr>
          <w:rFonts w:hint="eastAsia" w:ascii="宋体" w:hAnsi="宋体"/>
          <w:kern w:val="0"/>
          <w:szCs w:val="21"/>
        </w:rPr>
        <w:t>（4</w:t>
      </w:r>
      <w:r>
        <w:rPr>
          <w:rFonts w:ascii="宋体" w:hAnsi="宋体"/>
          <w:kern w:val="0"/>
          <w:szCs w:val="21"/>
        </w:rPr>
        <w:t>）施工方必须保证不出现与本项目有关的任何形式的闹事，发生一次，罚款</w:t>
      </w:r>
      <w:r>
        <w:rPr>
          <w:rFonts w:hint="eastAsia" w:ascii="宋体" w:hAnsi="宋体"/>
          <w:kern w:val="0"/>
          <w:szCs w:val="21"/>
        </w:rPr>
        <w:t>5</w:t>
      </w:r>
      <w:r>
        <w:rPr>
          <w:rFonts w:ascii="宋体" w:hAnsi="宋体"/>
          <w:kern w:val="0"/>
          <w:szCs w:val="21"/>
        </w:rPr>
        <w:t>0000元人民币。</w:t>
      </w:r>
    </w:p>
    <w:p>
      <w:pPr>
        <w:adjustRightInd w:val="0"/>
        <w:snapToGrid w:val="0"/>
        <w:spacing w:line="320" w:lineRule="exact"/>
        <w:ind w:left="840" w:leftChars="300" w:hanging="210" w:hangingChars="100"/>
        <w:rPr>
          <w:rFonts w:ascii="宋体" w:hAnsi="宋体"/>
          <w:kern w:val="0"/>
          <w:szCs w:val="21"/>
        </w:rPr>
      </w:pPr>
      <w:r>
        <w:rPr>
          <w:rFonts w:hint="eastAsia" w:ascii="宋体" w:hAnsi="宋体"/>
          <w:kern w:val="0"/>
          <w:szCs w:val="21"/>
        </w:rPr>
        <w:t>（5</w:t>
      </w:r>
      <w:r>
        <w:rPr>
          <w:rFonts w:ascii="宋体" w:hAnsi="宋体"/>
          <w:kern w:val="0"/>
          <w:szCs w:val="21"/>
        </w:rPr>
        <w:t>）</w:t>
      </w:r>
      <w:r>
        <w:rPr>
          <w:rFonts w:hint="eastAsia" w:ascii="宋体" w:hAnsi="宋体"/>
          <w:kern w:val="0"/>
          <w:szCs w:val="21"/>
        </w:rPr>
        <w:t>施工方</w:t>
      </w:r>
      <w:r>
        <w:rPr>
          <w:rFonts w:ascii="宋体" w:hAnsi="宋体"/>
          <w:kern w:val="0"/>
          <w:szCs w:val="21"/>
        </w:rPr>
        <w:t>应充分了解本工程的紧迫性和重要性，</w:t>
      </w:r>
      <w:r>
        <w:rPr>
          <w:rFonts w:hint="eastAsia" w:ascii="宋体" w:hAnsi="宋体"/>
          <w:kern w:val="0"/>
          <w:szCs w:val="21"/>
        </w:rPr>
        <w:t>施工方</w:t>
      </w:r>
      <w:r>
        <w:rPr>
          <w:rFonts w:ascii="宋体" w:hAnsi="宋体"/>
          <w:kern w:val="0"/>
          <w:szCs w:val="21"/>
        </w:rPr>
        <w:t>应为本项目配备专业工程师、施工员、预算员、质检员、安全员、材料员和资料员等</w:t>
      </w:r>
      <w:r>
        <w:rPr>
          <w:rFonts w:hint="eastAsia" w:ascii="宋体" w:hAnsi="宋体"/>
          <w:kern w:val="0"/>
          <w:szCs w:val="21"/>
        </w:rPr>
        <w:t>工程管理必需人员。</w:t>
      </w:r>
    </w:p>
    <w:p>
      <w:pPr>
        <w:adjustRightInd w:val="0"/>
        <w:snapToGrid w:val="0"/>
        <w:spacing w:line="320" w:lineRule="exact"/>
        <w:ind w:left="720" w:hanging="720"/>
        <w:rPr>
          <w:rFonts w:ascii="宋体" w:hAnsi="宋体"/>
          <w:kern w:val="0"/>
          <w:szCs w:val="21"/>
        </w:rPr>
      </w:pPr>
      <w:r>
        <w:rPr>
          <w:rFonts w:hint="eastAsia" w:ascii="宋体" w:hAnsi="宋体"/>
          <w:kern w:val="0"/>
          <w:szCs w:val="21"/>
        </w:rPr>
        <w:t>五、   工程验收合格后，施工方30个工作日内向甲方递送结算资料。如过期未递送结算资料，由此产生的结果由施工方负责。</w:t>
      </w:r>
    </w:p>
    <w:p>
      <w:pPr>
        <w:spacing w:line="320" w:lineRule="exact"/>
        <w:ind w:left="420" w:hanging="420" w:hangingChars="200"/>
        <w:rPr>
          <w:szCs w:val="21"/>
        </w:rPr>
      </w:pPr>
      <w:r>
        <w:rPr>
          <w:rFonts w:hint="eastAsia"/>
          <w:szCs w:val="21"/>
        </w:rPr>
        <w:t>六、   中标价为未经审核的最高限价。</w:t>
      </w:r>
    </w:p>
    <w:p>
      <w:pPr>
        <w:spacing w:line="320" w:lineRule="exact"/>
        <w:ind w:left="420" w:hanging="420" w:hangingChars="200"/>
        <w:rPr>
          <w:rFonts w:ascii="宋体" w:hAnsi="宋体" w:cs="宋体"/>
          <w:kern w:val="0"/>
          <w:szCs w:val="21"/>
        </w:rPr>
      </w:pPr>
      <w:r>
        <w:rPr>
          <w:rFonts w:hint="eastAsia"/>
          <w:szCs w:val="21"/>
        </w:rPr>
        <w:t xml:space="preserve">七、   </w:t>
      </w:r>
      <w:r>
        <w:rPr>
          <w:rFonts w:hint="eastAsia" w:ascii="宋体" w:hAnsi="宋体" w:cs="宋体"/>
          <w:kern w:val="0"/>
          <w:szCs w:val="21"/>
        </w:rPr>
        <w:t>施工过程中产生所用的水、电费用由乙方承担。</w:t>
      </w:r>
    </w:p>
    <w:p>
      <w:pPr>
        <w:spacing w:line="320" w:lineRule="exact"/>
        <w:ind w:left="420" w:hanging="420" w:hangingChars="200"/>
        <w:rPr>
          <w:szCs w:val="21"/>
        </w:rPr>
      </w:pPr>
      <w:r>
        <w:rPr>
          <w:rFonts w:hint="eastAsia" w:ascii="宋体" w:hAnsi="宋体" w:cs="宋体"/>
          <w:kern w:val="0"/>
          <w:szCs w:val="21"/>
        </w:rPr>
        <w:t xml:space="preserve">八、   </w:t>
      </w:r>
      <w:r>
        <w:rPr>
          <w:rFonts w:hint="eastAsia"/>
          <w:szCs w:val="21"/>
        </w:rPr>
        <w:t>合同文本条款与“补充条款”约定有冲突时，以补充条款为准。</w:t>
      </w:r>
    </w:p>
    <w:p>
      <w:pPr>
        <w:pStyle w:val="7"/>
        <w:spacing w:before="60" w:beforeLines="25" w:after="60" w:afterLines="25"/>
        <w:ind w:firstLineChars="200"/>
        <w:rPr>
          <w:rFonts w:ascii="宋体" w:hAnsi="宋体"/>
          <w:szCs w:val="21"/>
        </w:rPr>
      </w:pPr>
    </w:p>
    <w:p/>
    <w:p>
      <w:pPr>
        <w:pStyle w:val="5"/>
        <w:spacing w:before="120" w:beforeLines="50" w:after="120" w:afterLines="50"/>
        <w:rPr>
          <w:sz w:val="28"/>
          <w:szCs w:val="28"/>
        </w:rPr>
      </w:pPr>
      <w:r>
        <w:rPr>
          <w:rFonts w:hint="eastAsia"/>
          <w:sz w:val="28"/>
          <w:szCs w:val="28"/>
        </w:rPr>
        <w:t>五、图纸(见附件)</w:t>
      </w:r>
    </w:p>
    <w:p>
      <w:pPr>
        <w:pStyle w:val="5"/>
        <w:spacing w:before="120" w:beforeLines="50" w:after="120" w:afterLines="50"/>
        <w:rPr>
          <w:b w:val="0"/>
        </w:rPr>
      </w:pPr>
      <w:r>
        <w:rPr>
          <w:rFonts w:hint="eastAsia"/>
          <w:sz w:val="28"/>
          <w:szCs w:val="28"/>
        </w:rPr>
        <w:t>六、工程量清单（见附件）</w:t>
      </w:r>
    </w:p>
    <w:p>
      <w:pPr>
        <w:pStyle w:val="30"/>
        <w:spacing w:line="360" w:lineRule="auto"/>
        <w:rPr>
          <w:rFonts w:hAnsi="宋体"/>
          <w:b/>
          <w:bCs/>
          <w:snapToGrid w:val="0"/>
          <w:kern w:val="0"/>
          <w:szCs w:val="21"/>
          <w:lang w:val="zh-CN"/>
        </w:rPr>
      </w:pPr>
    </w:p>
    <w:p>
      <w:pPr>
        <w:adjustRightInd w:val="0"/>
        <w:snapToGrid w:val="0"/>
        <w:spacing w:line="360" w:lineRule="auto"/>
        <w:jc w:val="left"/>
        <w:rPr>
          <w:b/>
          <w:bCs/>
          <w:snapToGrid w:val="0"/>
          <w:kern w:val="0"/>
          <w:szCs w:val="21"/>
          <w:lang w:val="zh-CN"/>
        </w:rPr>
      </w:pPr>
      <w:r>
        <w:rPr>
          <w:b/>
          <w:bCs/>
          <w:snapToGrid w:val="0"/>
          <w:kern w:val="0"/>
          <w:szCs w:val="21"/>
          <w:lang w:val="zh-CN"/>
        </w:rPr>
        <w:t>要求：</w:t>
      </w:r>
    </w:p>
    <w:p>
      <w:pPr>
        <w:adjustRightInd w:val="0"/>
        <w:snapToGrid w:val="0"/>
        <w:spacing w:line="360" w:lineRule="auto"/>
        <w:ind w:firstLine="392" w:firstLineChars="187"/>
        <w:jc w:val="left"/>
        <w:rPr>
          <w:color w:val="000000"/>
          <w:szCs w:val="21"/>
        </w:rPr>
      </w:pPr>
      <w:r>
        <w:rPr>
          <w:color w:val="000000"/>
          <w:szCs w:val="21"/>
        </w:rPr>
        <w:t>1、工程计价办法：</w:t>
      </w:r>
      <w:r>
        <w:rPr>
          <w:b/>
          <w:color w:val="000000"/>
          <w:szCs w:val="21"/>
          <w:u w:val="single"/>
        </w:rPr>
        <w:t>综合单价法</w:t>
      </w:r>
      <w:r>
        <w:rPr>
          <w:color w:val="000000"/>
          <w:szCs w:val="21"/>
        </w:rPr>
        <w:t>。</w:t>
      </w:r>
    </w:p>
    <w:p>
      <w:pPr>
        <w:adjustRightInd w:val="0"/>
        <w:snapToGrid w:val="0"/>
        <w:spacing w:line="360" w:lineRule="auto"/>
        <w:ind w:firstLine="392" w:firstLineChars="187"/>
        <w:jc w:val="left"/>
        <w:rPr>
          <w:color w:val="000000"/>
          <w:szCs w:val="21"/>
        </w:rPr>
      </w:pPr>
      <w:r>
        <w:rPr>
          <w:color w:val="000000"/>
          <w:szCs w:val="21"/>
        </w:rPr>
        <w:t>2.工程量清单应与投标须知、合同条件、工程建设标准及技术要求和图纸等文件结合起来理解或解释。</w:t>
      </w:r>
    </w:p>
    <w:p>
      <w:pPr>
        <w:adjustRightInd w:val="0"/>
        <w:snapToGrid w:val="0"/>
        <w:spacing w:line="360" w:lineRule="auto"/>
        <w:ind w:firstLine="392" w:firstLineChars="187"/>
        <w:jc w:val="left"/>
        <w:rPr>
          <w:color w:val="000000"/>
          <w:szCs w:val="21"/>
        </w:rPr>
      </w:pPr>
      <w:r>
        <w:rPr>
          <w:color w:val="000000"/>
          <w:szCs w:val="21"/>
        </w:rPr>
        <w:t>3、本工程量清单是采购人委托相关单位根据本招标文件中所提供的设计文件编制的。</w:t>
      </w:r>
    </w:p>
    <w:p>
      <w:pPr>
        <w:adjustRightInd w:val="0"/>
        <w:snapToGrid w:val="0"/>
        <w:spacing w:line="360" w:lineRule="auto"/>
        <w:ind w:firstLine="392" w:firstLineChars="187"/>
        <w:jc w:val="left"/>
        <w:rPr>
          <w:color w:val="000000"/>
          <w:szCs w:val="21"/>
        </w:rPr>
      </w:pPr>
      <w:r>
        <w:rPr>
          <w:color w:val="000000"/>
          <w:szCs w:val="21"/>
        </w:rPr>
        <w:t>4.按照《建设工程工程量清单计价规范》的规定，“工程量清单格式”主要包括以下几个部分，但不局限于以下部分：</w:t>
      </w:r>
    </w:p>
    <w:p>
      <w:pPr>
        <w:adjustRightInd w:val="0"/>
        <w:snapToGrid w:val="0"/>
        <w:spacing w:line="360" w:lineRule="auto"/>
        <w:ind w:firstLine="392" w:firstLineChars="187"/>
        <w:jc w:val="left"/>
        <w:rPr>
          <w:color w:val="000000"/>
          <w:szCs w:val="21"/>
        </w:rPr>
      </w:pPr>
      <w:r>
        <w:rPr>
          <w:color w:val="000000"/>
          <w:szCs w:val="21"/>
        </w:rPr>
        <w:t>（1）清单封面；</w:t>
      </w:r>
    </w:p>
    <w:p>
      <w:pPr>
        <w:adjustRightInd w:val="0"/>
        <w:snapToGrid w:val="0"/>
        <w:spacing w:line="360" w:lineRule="auto"/>
        <w:ind w:firstLine="392" w:firstLineChars="187"/>
        <w:jc w:val="left"/>
        <w:rPr>
          <w:color w:val="000000"/>
          <w:szCs w:val="21"/>
        </w:rPr>
      </w:pPr>
      <w:r>
        <w:rPr>
          <w:color w:val="000000"/>
          <w:szCs w:val="21"/>
        </w:rPr>
        <w:t>（2）总说明；</w:t>
      </w:r>
    </w:p>
    <w:p>
      <w:pPr>
        <w:adjustRightInd w:val="0"/>
        <w:snapToGrid w:val="0"/>
        <w:spacing w:line="360" w:lineRule="auto"/>
        <w:ind w:firstLine="392" w:firstLineChars="187"/>
        <w:jc w:val="left"/>
        <w:rPr>
          <w:color w:val="000000"/>
          <w:szCs w:val="21"/>
        </w:rPr>
      </w:pPr>
      <w:r>
        <w:rPr>
          <w:color w:val="000000"/>
          <w:szCs w:val="21"/>
        </w:rPr>
        <w:t>包括：工程概况、工程招标范围、工程量清单编制依据、工程质量、材料、施工的特殊要求、预留金及暂定金额的情况等。</w:t>
      </w:r>
    </w:p>
    <w:p>
      <w:pPr>
        <w:adjustRightInd w:val="0"/>
        <w:snapToGrid w:val="0"/>
        <w:spacing w:line="360" w:lineRule="auto"/>
        <w:ind w:firstLine="392" w:firstLineChars="187"/>
        <w:jc w:val="left"/>
        <w:rPr>
          <w:color w:val="000000"/>
          <w:szCs w:val="21"/>
        </w:rPr>
      </w:pPr>
      <w:r>
        <w:rPr>
          <w:color w:val="000000"/>
          <w:szCs w:val="21"/>
        </w:rPr>
        <w:t>（3）工程项目清单；</w:t>
      </w:r>
    </w:p>
    <w:p>
      <w:pPr>
        <w:adjustRightInd w:val="0"/>
        <w:snapToGrid w:val="0"/>
        <w:spacing w:line="360" w:lineRule="auto"/>
        <w:ind w:firstLine="392" w:firstLineChars="187"/>
        <w:jc w:val="left"/>
        <w:rPr>
          <w:color w:val="000000"/>
          <w:szCs w:val="21"/>
        </w:rPr>
      </w:pPr>
      <w:r>
        <w:rPr>
          <w:color w:val="000000"/>
          <w:szCs w:val="21"/>
        </w:rPr>
        <w:t>指本次招标的工程项目所包含的单项工程及每个单项工程所包含的单位工程，只有一个单位工程时可不填此表。</w:t>
      </w:r>
    </w:p>
    <w:p>
      <w:pPr>
        <w:adjustRightInd w:val="0"/>
        <w:snapToGrid w:val="0"/>
        <w:spacing w:line="360" w:lineRule="auto"/>
        <w:ind w:firstLine="392" w:firstLineChars="187"/>
        <w:jc w:val="left"/>
        <w:rPr>
          <w:color w:val="000000"/>
          <w:szCs w:val="21"/>
        </w:rPr>
      </w:pPr>
      <w:r>
        <w:rPr>
          <w:color w:val="000000"/>
          <w:szCs w:val="21"/>
        </w:rPr>
        <w:t>（4）分部分项工程量清单；</w:t>
      </w:r>
    </w:p>
    <w:p>
      <w:pPr>
        <w:adjustRightInd w:val="0"/>
        <w:snapToGrid w:val="0"/>
        <w:spacing w:line="360" w:lineRule="auto"/>
        <w:ind w:firstLine="392" w:firstLineChars="187"/>
        <w:jc w:val="left"/>
        <w:rPr>
          <w:color w:val="000000"/>
          <w:szCs w:val="21"/>
        </w:rPr>
      </w:pPr>
      <w:r>
        <w:rPr>
          <w:color w:val="000000"/>
          <w:szCs w:val="21"/>
        </w:rPr>
        <w:t>（5）措施项目清单；</w:t>
      </w:r>
    </w:p>
    <w:p>
      <w:pPr>
        <w:adjustRightInd w:val="0"/>
        <w:snapToGrid w:val="0"/>
        <w:spacing w:line="360" w:lineRule="auto"/>
        <w:ind w:firstLine="392" w:firstLineChars="187"/>
        <w:jc w:val="left"/>
        <w:rPr>
          <w:color w:val="000000"/>
          <w:szCs w:val="21"/>
        </w:rPr>
      </w:pPr>
      <w:r>
        <w:rPr>
          <w:color w:val="000000"/>
          <w:szCs w:val="21"/>
        </w:rPr>
        <w:t>（6）其他项目清单；</w:t>
      </w:r>
    </w:p>
    <w:p>
      <w:pPr>
        <w:adjustRightInd w:val="0"/>
        <w:snapToGrid w:val="0"/>
        <w:spacing w:line="360" w:lineRule="auto"/>
        <w:ind w:firstLine="392" w:firstLineChars="187"/>
        <w:jc w:val="left"/>
        <w:rPr>
          <w:color w:val="000000"/>
          <w:szCs w:val="21"/>
        </w:rPr>
      </w:pPr>
      <w:r>
        <w:rPr>
          <w:color w:val="000000"/>
          <w:szCs w:val="21"/>
        </w:rPr>
        <w:t>该表分为采购人部分和投标人部分，采购人部分可采购人另行招标采购材料设备费用等，由采购人填写；投标人部分可包括总承包服务费、零星工作项目费等，由投标人根据工程情况，投标报价时填写。</w:t>
      </w:r>
    </w:p>
    <w:p>
      <w:pPr>
        <w:adjustRightInd w:val="0"/>
        <w:snapToGrid w:val="0"/>
        <w:spacing w:line="360" w:lineRule="auto"/>
        <w:ind w:firstLine="392" w:firstLineChars="187"/>
        <w:jc w:val="left"/>
        <w:rPr>
          <w:color w:val="000000"/>
          <w:szCs w:val="21"/>
        </w:rPr>
      </w:pPr>
      <w:r>
        <w:rPr>
          <w:color w:val="000000"/>
          <w:szCs w:val="21"/>
        </w:rPr>
        <w:t>（7）.零星工作项目表；</w:t>
      </w:r>
    </w:p>
    <w:p>
      <w:pPr>
        <w:adjustRightInd w:val="0"/>
        <w:snapToGrid w:val="0"/>
        <w:spacing w:line="360" w:lineRule="auto"/>
        <w:ind w:firstLine="392" w:firstLineChars="187"/>
        <w:jc w:val="left"/>
        <w:rPr>
          <w:color w:val="000000"/>
          <w:szCs w:val="21"/>
        </w:rPr>
      </w:pPr>
      <w:r>
        <w:rPr>
          <w:color w:val="000000"/>
          <w:szCs w:val="21"/>
        </w:rPr>
        <w:t>指采购人提出的工程量暂估的零星工作项目，该表费用由投标人计算后汇入其他项目清单的投标人部分。</w:t>
      </w:r>
    </w:p>
    <w:p>
      <w:pPr>
        <w:adjustRightInd w:val="0"/>
        <w:snapToGrid w:val="0"/>
        <w:spacing w:line="360" w:lineRule="auto"/>
        <w:ind w:firstLine="392" w:firstLineChars="187"/>
        <w:jc w:val="left"/>
        <w:rPr>
          <w:color w:val="000000"/>
          <w:szCs w:val="21"/>
        </w:rPr>
      </w:pPr>
      <w:r>
        <w:rPr>
          <w:color w:val="000000"/>
          <w:szCs w:val="21"/>
        </w:rPr>
        <w:t>5.本工程要求采用的工程量计算规则，应作为本工程招投标双方进行工程招投标和结算计量、计价的共同依据。</w:t>
      </w:r>
    </w:p>
    <w:p>
      <w:pPr>
        <w:adjustRightInd w:val="0"/>
        <w:snapToGrid w:val="0"/>
        <w:spacing w:line="360" w:lineRule="auto"/>
        <w:ind w:firstLine="392" w:firstLineChars="187"/>
        <w:jc w:val="left"/>
        <w:rPr>
          <w:color w:val="000000"/>
          <w:szCs w:val="21"/>
        </w:rPr>
      </w:pPr>
      <w:r>
        <w:rPr>
          <w:color w:val="000000"/>
          <w:szCs w:val="21"/>
        </w:rPr>
        <w:t>6.本工程要求采用的工程量计算规则是《建设工程工程量清单计价规范》（GB50500-2013）及深圳市补充规范；</w:t>
      </w:r>
    </w:p>
    <w:p>
      <w:pPr>
        <w:adjustRightInd w:val="0"/>
        <w:snapToGrid w:val="0"/>
        <w:spacing w:line="360" w:lineRule="auto"/>
        <w:ind w:firstLine="392" w:firstLineChars="187"/>
        <w:jc w:val="left"/>
        <w:rPr>
          <w:color w:val="000000"/>
          <w:szCs w:val="21"/>
        </w:rPr>
      </w:pPr>
      <w:r>
        <w:rPr>
          <w:color w:val="000000"/>
          <w:szCs w:val="21"/>
        </w:rPr>
        <w:t>7.对“分部分项工程量清单”的说明和报价要求</w:t>
      </w:r>
    </w:p>
    <w:p>
      <w:pPr>
        <w:adjustRightInd w:val="0"/>
        <w:snapToGrid w:val="0"/>
        <w:spacing w:line="360" w:lineRule="auto"/>
        <w:ind w:firstLine="392" w:firstLineChars="187"/>
        <w:jc w:val="left"/>
        <w:rPr>
          <w:color w:val="000000"/>
          <w:szCs w:val="21"/>
        </w:rPr>
      </w:pPr>
      <w:r>
        <w:rPr>
          <w:color w:val="000000"/>
          <w:szCs w:val="21"/>
        </w:rPr>
        <w:t>（1）该清单所列的工程量系采购人的估算，是临时的，作为投标报价的共同基础。不应被理解为是对采购人要求工作内容的全部定义，也不能作为投标人应完成的实际工程量。结算时，应以由承包人和采购人或由采购人授权委托的工程师共同计量、核实的实际完成的工程量为准。</w:t>
      </w:r>
    </w:p>
    <w:p>
      <w:pPr>
        <w:adjustRightInd w:val="0"/>
        <w:snapToGrid w:val="0"/>
        <w:spacing w:line="360" w:lineRule="auto"/>
        <w:ind w:firstLine="392" w:firstLineChars="187"/>
        <w:jc w:val="left"/>
        <w:rPr>
          <w:color w:val="000000"/>
          <w:szCs w:val="21"/>
        </w:rPr>
      </w:pPr>
      <w:r>
        <w:rPr>
          <w:color w:val="000000"/>
          <w:szCs w:val="21"/>
        </w:rPr>
        <w:t>（2）该清单中所填入的综合单价和合价应包括直接成本（即人工、材料、机械）和费用（管理费、利润）、风险金等全部费用。但涉及到采购人自行采购的设备材料的项目不得计入材料设备的价格。</w:t>
      </w:r>
    </w:p>
    <w:p>
      <w:pPr>
        <w:adjustRightInd w:val="0"/>
        <w:snapToGrid w:val="0"/>
        <w:spacing w:line="360" w:lineRule="auto"/>
        <w:ind w:firstLine="392" w:firstLineChars="187"/>
        <w:jc w:val="left"/>
        <w:rPr>
          <w:color w:val="000000"/>
          <w:szCs w:val="21"/>
        </w:rPr>
      </w:pPr>
      <w:r>
        <w:rPr>
          <w:color w:val="000000"/>
          <w:szCs w:val="21"/>
        </w:rPr>
        <w:t>（3） 该清单中不再重复或概括工程及材料的一般说明，在编制和填写工程量清单的每一项的综合单价和合价时应参考投标须知和合同条件的有关条款。</w:t>
      </w:r>
    </w:p>
    <w:p>
      <w:pPr>
        <w:adjustRightInd w:val="0"/>
        <w:snapToGrid w:val="0"/>
        <w:spacing w:line="360" w:lineRule="auto"/>
        <w:ind w:firstLine="392" w:firstLineChars="187"/>
        <w:jc w:val="left"/>
        <w:rPr>
          <w:color w:val="000000"/>
          <w:szCs w:val="21"/>
        </w:rPr>
      </w:pPr>
      <w:r>
        <w:rPr>
          <w:color w:val="000000"/>
          <w:szCs w:val="21"/>
        </w:rPr>
        <w:t>（4）该清单的各项目说明中含有“暂定材料设备单价”的，应明确说明此单价是否包括运输费、采保费等费用。投标时投标人不得修改。结算时，应按本招标文件的合同条件中约定的方法调整。</w:t>
      </w:r>
    </w:p>
    <w:p>
      <w:pPr>
        <w:adjustRightInd w:val="0"/>
        <w:snapToGrid w:val="0"/>
        <w:spacing w:line="360" w:lineRule="auto"/>
        <w:ind w:firstLine="392" w:firstLineChars="187"/>
        <w:jc w:val="left"/>
        <w:rPr>
          <w:color w:val="000000"/>
          <w:szCs w:val="21"/>
        </w:rPr>
      </w:pPr>
      <w:r>
        <w:rPr>
          <w:color w:val="000000"/>
          <w:szCs w:val="21"/>
        </w:rPr>
        <w:t>（5）针对该清单，投标人报价时应提供 “分部分项工程量清单综合单价分析表（简表）”。</w:t>
      </w:r>
    </w:p>
    <w:p>
      <w:pPr>
        <w:adjustRightInd w:val="0"/>
        <w:snapToGrid w:val="0"/>
        <w:spacing w:line="360" w:lineRule="auto"/>
        <w:ind w:firstLine="392" w:firstLineChars="187"/>
        <w:jc w:val="left"/>
        <w:rPr>
          <w:color w:val="000000"/>
          <w:szCs w:val="21"/>
        </w:rPr>
      </w:pPr>
      <w:r>
        <w:rPr>
          <w:color w:val="000000"/>
          <w:szCs w:val="21"/>
        </w:rPr>
        <w:t>8.对“措施项目清单”的说明和报价要求：</w:t>
      </w:r>
    </w:p>
    <w:p>
      <w:pPr>
        <w:adjustRightInd w:val="0"/>
        <w:snapToGrid w:val="0"/>
        <w:spacing w:line="360" w:lineRule="auto"/>
        <w:ind w:firstLine="392" w:firstLineChars="187"/>
        <w:jc w:val="left"/>
        <w:rPr>
          <w:color w:val="000000"/>
          <w:szCs w:val="21"/>
        </w:rPr>
      </w:pPr>
      <w:r>
        <w:rPr>
          <w:color w:val="000000"/>
          <w:szCs w:val="21"/>
        </w:rPr>
        <w:t>（1）该清单所列项目均以“一项”提出，是采购人根据一般情况估计的项目，投标人实际措施项目不同的，可以对具体列项内容进行调整。</w:t>
      </w:r>
    </w:p>
    <w:p>
      <w:pPr>
        <w:adjustRightInd w:val="0"/>
        <w:snapToGrid w:val="0"/>
        <w:spacing w:line="360" w:lineRule="auto"/>
        <w:ind w:firstLine="392" w:firstLineChars="187"/>
        <w:jc w:val="left"/>
        <w:rPr>
          <w:color w:val="000000"/>
          <w:szCs w:val="21"/>
        </w:rPr>
      </w:pPr>
      <w:r>
        <w:rPr>
          <w:color w:val="000000"/>
          <w:szCs w:val="21"/>
        </w:rPr>
        <w:t>（2）该清单的报价为包干费用，除非合同条件中有明确的约定，该费用不得调整。</w:t>
      </w:r>
    </w:p>
    <w:p>
      <w:pPr>
        <w:adjustRightInd w:val="0"/>
        <w:snapToGrid w:val="0"/>
        <w:spacing w:line="360" w:lineRule="auto"/>
        <w:ind w:firstLine="392" w:firstLineChars="187"/>
        <w:jc w:val="left"/>
        <w:rPr>
          <w:color w:val="000000"/>
          <w:szCs w:val="21"/>
        </w:rPr>
      </w:pPr>
      <w:r>
        <w:rPr>
          <w:color w:val="000000"/>
          <w:szCs w:val="21"/>
        </w:rPr>
        <w:t>（3）如该清单中列入了“施工单位现场安全文明施工措施费”，该费用包括临时设施费、安全施工费、文明施工费，作为非竞争性费用。如该清单未列入此项费用，投标人应以“分部分项清单计价表”、“其他项目清单计价表”以及“措施项目清单计价表”中的“混凝土、钢筋混凝土模板及支架”、“脚手架”、“垂直运输机械费”、“大型机械设备进出场及安拆”的费用合计为计算基础，并根据本企业的成本，参照相关规定进行计算。</w:t>
      </w:r>
    </w:p>
    <w:p>
      <w:pPr>
        <w:adjustRightInd w:val="0"/>
        <w:snapToGrid w:val="0"/>
        <w:spacing w:line="360" w:lineRule="auto"/>
        <w:ind w:firstLine="420" w:firstLineChars="200"/>
        <w:jc w:val="left"/>
        <w:rPr>
          <w:b/>
          <w:color w:val="FF0000"/>
        </w:rPr>
      </w:pPr>
      <w:r>
        <w:rPr>
          <w:color w:val="000000"/>
          <w:szCs w:val="21"/>
        </w:rPr>
        <w:t>9．如发现采购人提供的工程量清单的项目及工程量与图纸实际不符时，除招标文件另有要求外，投标人应在答疑期间提出，采购人应进行复核并在网上发出修正。如没有做出修正，投标人仍应按原提供的项目及工程量报价，并将项差与量差体现在报价中，并在备注中注明，但不得对工程量清单进行修改。</w:t>
      </w:r>
    </w:p>
    <w:p>
      <w:pPr>
        <w:rPr>
          <w:b/>
          <w:color w:val="FF0000"/>
        </w:rPr>
      </w:pPr>
    </w:p>
    <w:p>
      <w:pPr>
        <w:ind w:firstLine="411" w:firstLineChars="196"/>
        <w:rPr>
          <w:color w:val="000000"/>
          <w:szCs w:val="21"/>
        </w:rPr>
      </w:pPr>
    </w:p>
    <w:p>
      <w:pPr>
        <w:keepNext/>
        <w:keepLines/>
        <w:adjustRightInd w:val="0"/>
        <w:spacing w:before="120" w:beforeLines="50" w:after="120" w:afterLines="50"/>
        <w:jc w:val="center"/>
        <w:textAlignment w:val="baseline"/>
        <w:outlineLvl w:val="1"/>
        <w:rPr>
          <w:b/>
          <w:bCs/>
          <w:kern w:val="0"/>
          <w:sz w:val="28"/>
          <w:szCs w:val="28"/>
        </w:rPr>
      </w:pPr>
      <w:r>
        <w:rPr>
          <w:rFonts w:hint="eastAsia"/>
          <w:b/>
          <w:bCs/>
          <w:kern w:val="0"/>
          <w:sz w:val="28"/>
          <w:szCs w:val="28"/>
        </w:rPr>
        <w:t>七</w:t>
      </w:r>
      <w:r>
        <w:rPr>
          <w:b/>
          <w:bCs/>
          <w:kern w:val="0"/>
          <w:sz w:val="28"/>
          <w:szCs w:val="28"/>
        </w:rPr>
        <w:t>、投标报价</w:t>
      </w:r>
    </w:p>
    <w:p>
      <w:pPr>
        <w:adjustRightInd w:val="0"/>
        <w:snapToGrid w:val="0"/>
        <w:spacing w:line="360" w:lineRule="auto"/>
        <w:ind w:firstLine="411" w:firstLineChars="196"/>
        <w:jc w:val="left"/>
        <w:rPr>
          <w:szCs w:val="21"/>
        </w:rPr>
      </w:pPr>
      <w:r>
        <w:rPr>
          <w:szCs w:val="21"/>
        </w:rPr>
        <w:t>1、本工程的工程量清单的投标单价</w:t>
      </w:r>
      <w:bookmarkStart w:id="12" w:name="工程量清单计价方式"/>
      <w:r>
        <w:rPr>
          <w:szCs w:val="21"/>
        </w:rPr>
        <w:t>按综合单价方式</w:t>
      </w:r>
      <w:bookmarkEnd w:id="12"/>
      <w:r>
        <w:rPr>
          <w:szCs w:val="21"/>
        </w:rPr>
        <w:t>进行报价；</w:t>
      </w:r>
    </w:p>
    <w:p>
      <w:pPr>
        <w:adjustRightInd w:val="0"/>
        <w:snapToGrid w:val="0"/>
        <w:spacing w:line="360" w:lineRule="auto"/>
        <w:ind w:firstLine="411" w:firstLineChars="196"/>
        <w:jc w:val="left"/>
        <w:rPr>
          <w:szCs w:val="21"/>
        </w:rPr>
      </w:pPr>
      <w:r>
        <w:rPr>
          <w:szCs w:val="21"/>
        </w:rPr>
        <w:t>2、</w:t>
      </w:r>
      <w:r>
        <w:rPr>
          <w:rFonts w:hint="eastAsia"/>
          <w:szCs w:val="21"/>
        </w:rPr>
        <w:t>评审委员会认为投标人的报价明显低于其他通过符合性审查投标人的报价，有可能影响产品质量或者不能诚信履约的，投标人不能在合理的时间内提供书面说明，或无法提交相关证明材料，投标人不能证明其报价合理性的（若评审委员会成员对是否须由投标人作出报价合理性说明，以及书面说明是否采纳等判断不一致的，按照“少数服从多数”的原则确定评审委员会的意见）；</w:t>
      </w:r>
    </w:p>
    <w:p>
      <w:pPr>
        <w:adjustRightInd w:val="0"/>
        <w:snapToGrid w:val="0"/>
        <w:spacing w:line="360" w:lineRule="auto"/>
        <w:ind w:firstLine="411" w:firstLineChars="196"/>
        <w:jc w:val="left"/>
        <w:rPr>
          <w:szCs w:val="21"/>
        </w:rPr>
      </w:pPr>
      <w:r>
        <w:rPr>
          <w:szCs w:val="21"/>
        </w:rPr>
        <w:t>3、投标人的投标总报价不得超过财政预算限额；</w:t>
      </w:r>
    </w:p>
    <w:p>
      <w:pPr>
        <w:adjustRightInd w:val="0"/>
        <w:snapToGrid w:val="0"/>
        <w:spacing w:line="360" w:lineRule="auto"/>
        <w:ind w:firstLine="411" w:firstLineChars="196"/>
        <w:jc w:val="left"/>
        <w:rPr>
          <w:szCs w:val="21"/>
        </w:rPr>
      </w:pPr>
      <w:r>
        <w:rPr>
          <w:szCs w:val="21"/>
        </w:rPr>
        <w:t>4、投标人的投标报价，应是本项目招标范围和招标文件及合同条款上所列的各项内容中所述的全部，不得以任何理由予以重复，并以投标人在工程量清单中提出的综合单价或总价为依据；</w:t>
      </w:r>
    </w:p>
    <w:p>
      <w:pPr>
        <w:adjustRightInd w:val="0"/>
        <w:snapToGrid w:val="0"/>
        <w:spacing w:line="360" w:lineRule="auto"/>
        <w:ind w:firstLine="411" w:firstLineChars="196"/>
        <w:jc w:val="left"/>
        <w:rPr>
          <w:szCs w:val="21"/>
        </w:rPr>
      </w:pPr>
      <w:r>
        <w:rPr>
          <w:szCs w:val="21"/>
        </w:rPr>
        <w:t>5、除非深圳大学招投标管理中心通过修改招标文件予以更正，否则，投标人应毫无例外地按工程量清单中列出的工程项目和数量填报综合单价和合价。投标人未填综合单价或合价的项目，在实施后，将不得以支付，并视作该项费用已包括在其它有价款的综合单价或合价内；</w:t>
      </w:r>
    </w:p>
    <w:p>
      <w:pPr>
        <w:adjustRightInd w:val="0"/>
        <w:snapToGrid w:val="0"/>
        <w:spacing w:line="360" w:lineRule="auto"/>
        <w:ind w:firstLine="411" w:firstLineChars="196"/>
        <w:jc w:val="left"/>
        <w:rPr>
          <w:szCs w:val="21"/>
        </w:rPr>
      </w:pPr>
      <w:r>
        <w:rPr>
          <w:szCs w:val="21"/>
        </w:rPr>
        <w:t>6、投标人应先到工地踏勘以充分了解工地的位置、情况、道路、储存空间、装卸限制及任何其它足以影响投标报价的情况，任何因忽视或误解工地情况而导致的索赔或工期延长申请将不获批准；</w:t>
      </w:r>
    </w:p>
    <w:p>
      <w:pPr>
        <w:adjustRightInd w:val="0"/>
        <w:snapToGrid w:val="0"/>
        <w:spacing w:line="360" w:lineRule="auto"/>
        <w:ind w:firstLine="411" w:firstLineChars="196"/>
        <w:jc w:val="left"/>
        <w:rPr>
          <w:szCs w:val="21"/>
        </w:rPr>
      </w:pPr>
      <w:r>
        <w:rPr>
          <w:szCs w:val="21"/>
        </w:rPr>
        <w:t>7、投标人不得期望通过索赔、签证等方式获取补偿，否则，除可能遭到拒绝外，还可能将被作为不良行为记录在案，并可能影响其以后参加深圳大学采购的项目投标。各投标人在投标报价时，应充分考虑投标报价的风险。</w:t>
      </w:r>
    </w:p>
    <w:p>
      <w:pPr>
        <w:adjustRightInd w:val="0"/>
        <w:snapToGrid w:val="0"/>
        <w:spacing w:line="360" w:lineRule="auto"/>
        <w:ind w:firstLine="411" w:firstLineChars="196"/>
        <w:jc w:val="left"/>
        <w:rPr>
          <w:szCs w:val="21"/>
        </w:rPr>
      </w:pPr>
      <w:r>
        <w:rPr>
          <w:szCs w:val="21"/>
        </w:rPr>
        <w:t>8、投标人投标报价总额一经中标后，即作为中标单位与采购单位签订该项目合同的总价。合同方式见第一章相关条款。</w:t>
      </w:r>
    </w:p>
    <w:p>
      <w:pPr>
        <w:adjustRightInd w:val="0"/>
        <w:snapToGrid w:val="0"/>
        <w:spacing w:line="360" w:lineRule="auto"/>
        <w:ind w:firstLine="411" w:firstLineChars="196"/>
        <w:jc w:val="left"/>
        <w:rPr>
          <w:szCs w:val="21"/>
        </w:rPr>
      </w:pPr>
      <w:r>
        <w:rPr>
          <w:szCs w:val="21"/>
        </w:rPr>
        <w:t>（1）如本项目采用固定总价合同。投标人所投报的投标报价为图纸内容与工程量清单的总包干价格，对没有填写综合单价与合价的项目费用，应视为已包括在工程量清单的其他综合单价与合价之中。如有工程量清单未包含图纸内容的漏项，视同已包含在其他项目中，总价与单价不予调整。</w:t>
      </w:r>
    </w:p>
    <w:p>
      <w:pPr>
        <w:adjustRightInd w:val="0"/>
        <w:snapToGrid w:val="0"/>
        <w:spacing w:line="360" w:lineRule="auto"/>
        <w:ind w:firstLine="411" w:firstLineChars="196"/>
        <w:jc w:val="left"/>
        <w:rPr>
          <w:szCs w:val="21"/>
        </w:rPr>
      </w:pPr>
      <w:r>
        <w:rPr>
          <w:szCs w:val="21"/>
        </w:rPr>
        <w:t>（2）如本项目采用固定单价合同。工程量清单所列的工程量系采购单位的估算，是临时的，作为投标报价的共同基础，不应被理解为是对采购单位要求工作内容的全部定义，也不能作为投标人应完成的实际工程量。承包人必须按图纸及有关标准、规范的要求进行施工，实际完成的工程量与分部分项工程量清单中的差异结算时可作调整。凡超出图纸范围又未经变更审批程序的内容，都不予计量；未施工的项目，经监理工程师核实后予以扣减。</w:t>
      </w:r>
    </w:p>
    <w:p>
      <w:pPr>
        <w:adjustRightInd w:val="0"/>
        <w:snapToGrid w:val="0"/>
        <w:spacing w:line="360" w:lineRule="auto"/>
        <w:ind w:firstLine="411" w:firstLineChars="196"/>
        <w:jc w:val="left"/>
        <w:rPr>
          <w:szCs w:val="21"/>
        </w:rPr>
      </w:pPr>
      <w:r>
        <w:rPr>
          <w:szCs w:val="21"/>
        </w:rPr>
        <w:t>（3）投标人的投标报价必须充分考虑到在施工中实施的施工组织设计对工程造价的影响,并在投标报价中反映出来。</w:t>
      </w:r>
    </w:p>
    <w:p>
      <w:pPr>
        <w:adjustRightInd w:val="0"/>
        <w:snapToGrid w:val="0"/>
        <w:spacing w:line="360" w:lineRule="auto"/>
        <w:ind w:firstLine="411" w:firstLineChars="196"/>
        <w:jc w:val="left"/>
        <w:rPr>
          <w:szCs w:val="21"/>
        </w:rPr>
      </w:pPr>
      <w:r>
        <w:rPr>
          <w:szCs w:val="21"/>
        </w:rPr>
        <w:t>9、本项目不接受总价优惠折扣形式的报价，投标人应将对项目的优惠直接在清单报价中体现出来。</w:t>
      </w:r>
    </w:p>
    <w:p>
      <w:pPr>
        <w:adjustRightInd w:val="0"/>
        <w:snapToGrid w:val="0"/>
        <w:spacing w:line="360" w:lineRule="auto"/>
        <w:ind w:firstLine="411" w:firstLineChars="196"/>
        <w:jc w:val="left"/>
        <w:rPr>
          <w:szCs w:val="21"/>
        </w:rPr>
      </w:pPr>
      <w:r>
        <w:rPr>
          <w:szCs w:val="21"/>
        </w:rPr>
        <w:t>10、采购单位委托承包人办理的保险事项：</w:t>
      </w:r>
      <w:bookmarkStart w:id="13" w:name="发包人委托承包人办理的保险事项"/>
      <w:r>
        <w:rPr>
          <w:szCs w:val="21"/>
        </w:rPr>
        <w:t>建设工程一切险和第三者责任险，所需的保险费应包含在投标价中</w:t>
      </w:r>
      <w:bookmarkEnd w:id="13"/>
      <w:r>
        <w:rPr>
          <w:szCs w:val="21"/>
        </w:rPr>
        <w:t>，施工中若发生安全事故，一切责任及费用由施工单位负责。</w:t>
      </w:r>
    </w:p>
    <w:p>
      <w:pPr>
        <w:adjustRightInd w:val="0"/>
        <w:snapToGrid w:val="0"/>
        <w:spacing w:line="360" w:lineRule="auto"/>
        <w:ind w:firstLine="411" w:firstLineChars="196"/>
        <w:jc w:val="left"/>
        <w:rPr>
          <w:szCs w:val="21"/>
        </w:rPr>
      </w:pPr>
      <w:r>
        <w:rPr>
          <w:szCs w:val="21"/>
        </w:rPr>
        <w:t>11、工程完工后，承包人应恢复修建前的原有状态（工程量按实计算），并使监理工程师和采购单位满意，满足深圳大学管理部门的规定和要求。</w:t>
      </w:r>
    </w:p>
    <w:p>
      <w:pPr>
        <w:adjustRightInd w:val="0"/>
        <w:snapToGrid w:val="0"/>
        <w:spacing w:line="360" w:lineRule="auto"/>
        <w:ind w:firstLine="411" w:firstLineChars="196"/>
        <w:jc w:val="left"/>
        <w:rPr>
          <w:szCs w:val="21"/>
        </w:rPr>
      </w:pPr>
      <w:r>
        <w:rPr>
          <w:szCs w:val="21"/>
        </w:rPr>
        <w:t>12、如本工程涉及取土和弃土项目，地点、时间、路线承包人应取得国土、城管部门的同意，不得由此带给采购人任何费用的增加。凡是因承包人措施不当而引起的罚款、索赔和指控等由承包人自行承担。投标价不因取土或弃土实际运距与分部分项工程量清单不同而作调整。土方回填料必须满足国家技术规范之要求，绿化填土面层必须选用适宜种植的填土。</w:t>
      </w:r>
    </w:p>
    <w:p>
      <w:pPr>
        <w:adjustRightInd w:val="0"/>
        <w:snapToGrid w:val="0"/>
        <w:spacing w:line="360" w:lineRule="auto"/>
        <w:ind w:firstLine="411" w:firstLineChars="196"/>
        <w:jc w:val="left"/>
        <w:rPr>
          <w:szCs w:val="21"/>
        </w:rPr>
      </w:pPr>
      <w:r>
        <w:rPr>
          <w:szCs w:val="21"/>
        </w:rPr>
        <w:t>13、一切与施工相关的检验实验费（政府有关部门规定由建设单位支付的检验实验费除外）已含在投标价中。</w:t>
      </w:r>
    </w:p>
    <w:p>
      <w:pPr>
        <w:adjustRightInd w:val="0"/>
        <w:snapToGrid w:val="0"/>
        <w:spacing w:line="360" w:lineRule="auto"/>
        <w:ind w:firstLine="392" w:firstLineChars="187"/>
        <w:jc w:val="left"/>
        <w:rPr>
          <w:szCs w:val="21"/>
        </w:rPr>
      </w:pPr>
      <w:r>
        <w:rPr>
          <w:szCs w:val="21"/>
        </w:rPr>
        <w:t>14、承包人的交通维护方案必须保证施工期间的交通组织符合深圳市公安交通管理的有关规定，保证小区车辆运行通畅和施工安全，其费用已含在投标价中。</w:t>
      </w:r>
    </w:p>
    <w:p>
      <w:pPr>
        <w:keepNext/>
        <w:keepLines/>
        <w:adjustRightInd w:val="0"/>
        <w:spacing w:before="120" w:beforeLines="50" w:after="120" w:afterLines="50"/>
        <w:jc w:val="center"/>
        <w:textAlignment w:val="baseline"/>
        <w:outlineLvl w:val="1"/>
        <w:rPr>
          <w:b/>
          <w:bCs/>
          <w:kern w:val="0"/>
          <w:sz w:val="28"/>
          <w:szCs w:val="28"/>
        </w:rPr>
      </w:pPr>
      <w:r>
        <w:rPr>
          <w:rFonts w:hint="eastAsia"/>
          <w:b/>
          <w:bCs/>
          <w:kern w:val="0"/>
          <w:sz w:val="28"/>
          <w:szCs w:val="28"/>
        </w:rPr>
        <w:t>八</w:t>
      </w:r>
      <w:r>
        <w:rPr>
          <w:b/>
          <w:bCs/>
          <w:kern w:val="0"/>
          <w:sz w:val="28"/>
          <w:szCs w:val="28"/>
        </w:rPr>
        <w:t>、注意事项</w:t>
      </w:r>
    </w:p>
    <w:p>
      <w:pPr>
        <w:adjustRightInd w:val="0"/>
        <w:snapToGrid w:val="0"/>
        <w:spacing w:line="360" w:lineRule="auto"/>
        <w:ind w:firstLine="392" w:firstLineChars="187"/>
        <w:jc w:val="left"/>
        <w:rPr>
          <w:color w:val="000000"/>
          <w:szCs w:val="21"/>
        </w:rPr>
      </w:pPr>
      <w:r>
        <w:rPr>
          <w:color w:val="000000"/>
          <w:szCs w:val="21"/>
        </w:rPr>
        <w:t>1、中标人不得将项目非法分包或转包给任何单位和个人。否则，采购单位有权即刻终止合同，并要求中标人赔偿相应损失。</w:t>
      </w:r>
    </w:p>
    <w:p>
      <w:pPr>
        <w:adjustRightInd w:val="0"/>
        <w:snapToGrid w:val="0"/>
        <w:spacing w:line="360" w:lineRule="auto"/>
        <w:ind w:firstLine="392" w:firstLineChars="187"/>
        <w:jc w:val="left"/>
        <w:rPr>
          <w:color w:val="000000"/>
          <w:szCs w:val="21"/>
        </w:rPr>
      </w:pPr>
      <w:r>
        <w:rPr>
          <w:color w:val="000000"/>
          <w:szCs w:val="21"/>
        </w:rPr>
        <w:t>2、投标人若认为招标文件的技术要求或其他要求有倾向性或不公正性，可在招标答疑阶段提出，以维护招标行为的公平、公正。</w:t>
      </w:r>
    </w:p>
    <w:p>
      <w:pPr>
        <w:adjustRightInd w:val="0"/>
        <w:snapToGrid w:val="0"/>
        <w:spacing w:line="360" w:lineRule="auto"/>
        <w:ind w:firstLine="392" w:firstLineChars="187"/>
        <w:jc w:val="left"/>
        <w:rPr>
          <w:color w:val="000000"/>
          <w:szCs w:val="21"/>
        </w:rPr>
      </w:pPr>
      <w:r>
        <w:rPr>
          <w:color w:val="000000"/>
          <w:szCs w:val="21"/>
        </w:rPr>
        <w:t>3、投标人使用的标准必须是国际公认或国家、或地方政府颁布的同等或更高的标准，如投标人使用的标准低于上述标准,评标委员会将有权不予接受，投标人必须列表将明显的差异详细说明。</w:t>
      </w:r>
    </w:p>
    <w:p>
      <w:pPr>
        <w:jc w:val="left"/>
        <w:rPr>
          <w:b/>
          <w:color w:val="000000"/>
          <w:szCs w:val="21"/>
        </w:rPr>
      </w:pPr>
      <w:r>
        <w:rPr>
          <w:rFonts w:hint="eastAsia"/>
          <w:b/>
          <w:color w:val="000000"/>
          <w:szCs w:val="21"/>
        </w:rPr>
        <w:t>4</w:t>
      </w:r>
      <w:r>
        <w:rPr>
          <w:b/>
          <w:color w:val="000000"/>
          <w:szCs w:val="21"/>
        </w:rPr>
        <w:t>、招标文件、图纸、工程量清单中出现的材料、设备品牌均为投标参考，投标人可根据项目情况结合自身实际选择不低于参考品牌的材料、设备投标。</w:t>
      </w:r>
    </w:p>
    <w:p>
      <w:pPr>
        <w:jc w:val="left"/>
        <w:rPr>
          <w:b/>
          <w:color w:val="000000"/>
          <w:szCs w:val="21"/>
        </w:rPr>
      </w:pPr>
    </w:p>
    <w:p>
      <w:pPr>
        <w:jc w:val="left"/>
        <w:rPr>
          <w:b/>
          <w:sz w:val="24"/>
        </w:rPr>
      </w:pPr>
    </w:p>
    <w:p>
      <w:pPr>
        <w:pStyle w:val="5"/>
        <w:rPr>
          <w:rFonts w:ascii="Times New Roman" w:hAnsi="Times New Roman"/>
          <w:kern w:val="2"/>
        </w:rPr>
      </w:pPr>
      <w:bookmarkStart w:id="14" w:name="_Toc73517685"/>
      <w:bookmarkStart w:id="15" w:name="_Toc101074886"/>
      <w:bookmarkStart w:id="16" w:name="_Toc100052414"/>
      <w:bookmarkStart w:id="17" w:name="_Toc73518163"/>
      <w:bookmarkStart w:id="18" w:name="_Toc73521680"/>
      <w:bookmarkStart w:id="19" w:name="_Toc84303603"/>
      <w:bookmarkStart w:id="20" w:name="_Toc73521592"/>
      <w:r>
        <w:rPr>
          <w:rFonts w:ascii="Times New Roman" w:hAnsi="Times New Roman"/>
          <w:kern w:val="2"/>
        </w:rPr>
        <w:t>第三章  合同条款及格式（</w:t>
      </w:r>
      <w:r>
        <w:rPr>
          <w:rFonts w:ascii="Times New Roman" w:hAnsi="Times New Roman"/>
          <w:color w:val="FF0000"/>
          <w:kern w:val="2"/>
        </w:rPr>
        <w:t>仅供参考</w:t>
      </w:r>
      <w:r>
        <w:rPr>
          <w:rFonts w:ascii="Times New Roman" w:hAnsi="Times New Roman"/>
          <w:kern w:val="2"/>
        </w:rPr>
        <w:t>）</w:t>
      </w:r>
    </w:p>
    <w:p>
      <w:pPr>
        <w:pStyle w:val="4"/>
        <w:jc w:val="center"/>
        <w:rPr>
          <w:rFonts w:ascii="Times New Roman" w:hAnsi="Times New Roman" w:eastAsia="宋体"/>
        </w:rPr>
      </w:pPr>
      <w:r>
        <w:rPr>
          <w:rFonts w:ascii="Times New Roman" w:hAnsi="Times New Roman" w:eastAsia="宋体"/>
        </w:rPr>
        <w:t>有专业类别的格式合同范本请选择相应的合同</w:t>
      </w:r>
    </w:p>
    <w:p>
      <w:pPr>
        <w:pStyle w:val="3"/>
        <w:spacing w:before="120" w:after="120"/>
        <w:jc w:val="center"/>
        <w:rPr>
          <w:rFonts w:ascii="Times New Roman" w:hAnsi="Times New Roman"/>
        </w:rPr>
      </w:pPr>
      <w:r>
        <w:rPr>
          <w:rFonts w:ascii="Times New Roman" w:hAnsi="Times New Roman"/>
        </w:rPr>
        <w:t>一、合同条款</w:t>
      </w:r>
      <w:bookmarkEnd w:id="14"/>
      <w:bookmarkEnd w:id="15"/>
      <w:bookmarkEnd w:id="16"/>
      <w:bookmarkEnd w:id="17"/>
      <w:bookmarkEnd w:id="18"/>
      <w:bookmarkEnd w:id="19"/>
      <w:bookmarkEnd w:id="20"/>
    </w:p>
    <w:p>
      <w:pPr>
        <w:jc w:val="center"/>
      </w:pPr>
      <w:r>
        <w:rPr>
          <w:b/>
          <w:bCs/>
        </w:rPr>
        <w:t>详见《深圳市建筑工程施工合同》范本</w:t>
      </w:r>
    </w:p>
    <w:p>
      <w:pPr>
        <w:widowControl/>
        <w:jc w:val="center"/>
        <w:rPr>
          <w:b/>
          <w:color w:val="000000"/>
          <w:sz w:val="24"/>
        </w:rPr>
      </w:pPr>
      <w:bookmarkStart w:id="21" w:name="bt建筑工程质量保修书"/>
      <w:bookmarkEnd w:id="21"/>
      <w:r>
        <w:rPr>
          <w:b/>
          <w:color w:val="000000"/>
          <w:sz w:val="24"/>
        </w:rPr>
        <w:br w:type="page"/>
      </w:r>
    </w:p>
    <w:p>
      <w:pPr>
        <w:pStyle w:val="5"/>
        <w:rPr>
          <w:kern w:val="2"/>
        </w:rPr>
      </w:pPr>
      <w:bookmarkStart w:id="22" w:name="bt附件"/>
      <w:bookmarkEnd w:id="22"/>
      <w:bookmarkStart w:id="23" w:name="bt投标书"/>
      <w:bookmarkEnd w:id="23"/>
      <w:r>
        <w:rPr>
          <w:rFonts w:hint="eastAsia"/>
          <w:kern w:val="2"/>
        </w:rPr>
        <w:t>第四章  投标文件格式</w:t>
      </w:r>
    </w:p>
    <w:p>
      <w:pPr>
        <w:ind w:firstLine="480" w:firstLineChars="200"/>
        <w:rPr>
          <w:rFonts w:ascii="仿宋_GB2312" w:eastAsia="仿宋_GB2312"/>
          <w:color w:val="FF0000"/>
          <w:sz w:val="24"/>
        </w:rPr>
      </w:pPr>
      <w:r>
        <w:rPr>
          <w:rStyle w:val="70"/>
          <w:rFonts w:hint="eastAsia"/>
          <w:sz w:val="24"/>
        </w:rPr>
        <w:t>特别提醒：</w:t>
      </w:r>
      <w:r>
        <w:rPr>
          <w:rFonts w:hint="eastAsia" w:ascii="仿宋_GB2312" w:eastAsia="仿宋_GB2312"/>
          <w:color w:val="FF0000"/>
          <w:sz w:val="24"/>
        </w:rPr>
        <w:t>投标人在编辑投标文件时，在投标文件目录中属于本节点内容的必须在本节点中填写，填写到其他节点或附件的将可能导致投标</w:t>
      </w:r>
      <w:r>
        <w:rPr>
          <w:rFonts w:ascii="仿宋_GB2312" w:eastAsia="仿宋_GB2312"/>
          <w:color w:val="FF0000"/>
          <w:sz w:val="24"/>
        </w:rPr>
        <w:t>无效</w:t>
      </w:r>
      <w:r>
        <w:rPr>
          <w:rFonts w:hint="eastAsia" w:ascii="仿宋_GB2312" w:eastAsia="仿宋_GB2312"/>
          <w:color w:val="FF0000"/>
          <w:sz w:val="24"/>
        </w:rPr>
        <w:t>，一切后果由供应商自行承担。</w:t>
      </w:r>
    </w:p>
    <w:p>
      <w:pPr>
        <w:rPr>
          <w:rFonts w:ascii="仿宋_GB2312" w:eastAsia="仿宋_GB2312"/>
          <w:color w:val="FF0000"/>
          <w:sz w:val="24"/>
        </w:rPr>
      </w:pPr>
      <w:r>
        <w:rPr>
          <w:rFonts w:hint="eastAsia" w:ascii="仿宋_GB2312" w:eastAsia="仿宋_GB2312"/>
          <w:color w:val="FF0000"/>
          <w:sz w:val="24"/>
        </w:rPr>
        <w:t xml:space="preserve">    </w:t>
      </w:r>
    </w:p>
    <w:p>
      <w:pPr>
        <w:rPr>
          <w:rFonts w:ascii="宋体" w:hAnsi="宋体"/>
          <w:sz w:val="24"/>
        </w:rPr>
      </w:pPr>
    </w:p>
    <w:p>
      <w:pPr>
        <w:ind w:firstLine="480" w:firstLineChars="200"/>
        <w:rPr>
          <w:rFonts w:ascii="宋体" w:hAnsi="宋体"/>
          <w:sz w:val="24"/>
        </w:rPr>
      </w:pPr>
      <w:r>
        <w:rPr>
          <w:rFonts w:hint="eastAsia" w:ascii="宋体" w:hAnsi="宋体"/>
          <w:sz w:val="24"/>
        </w:rPr>
        <w:t>投标文件组成：</w:t>
      </w:r>
    </w:p>
    <w:p>
      <w:pPr>
        <w:pStyle w:val="7"/>
        <w:ind w:firstLine="1619" w:firstLineChars="771"/>
        <w:rPr>
          <w:rFonts w:ascii="宋体" w:hAnsi="宋体"/>
          <w:color w:val="000000"/>
          <w:szCs w:val="21"/>
        </w:rPr>
      </w:pPr>
      <w:r>
        <w:rPr>
          <w:rFonts w:hint="eastAsia" w:ascii="宋体" w:hAnsi="宋体"/>
          <w:color w:val="000000"/>
          <w:szCs w:val="21"/>
        </w:rPr>
        <w:t>1、投标文件封面</w:t>
      </w:r>
    </w:p>
    <w:p>
      <w:pPr>
        <w:pStyle w:val="7"/>
        <w:ind w:firstLine="1619" w:firstLineChars="771"/>
        <w:rPr>
          <w:rFonts w:ascii="宋体" w:hAnsi="宋体"/>
          <w:color w:val="000000"/>
          <w:szCs w:val="21"/>
        </w:rPr>
      </w:pPr>
      <w:r>
        <w:rPr>
          <w:rFonts w:hint="eastAsia" w:ascii="宋体" w:hAnsi="宋体"/>
          <w:color w:val="000000"/>
          <w:szCs w:val="21"/>
        </w:rPr>
        <w:t>2</w:t>
      </w:r>
      <w:r>
        <w:rPr>
          <w:rFonts w:ascii="宋体" w:hAnsi="宋体"/>
          <w:color w:val="000000"/>
          <w:szCs w:val="21"/>
        </w:rPr>
        <w:t>、</w:t>
      </w:r>
      <w:r>
        <w:rPr>
          <w:rFonts w:hint="eastAsia" w:ascii="宋体" w:hAnsi="宋体"/>
          <w:color w:val="000000"/>
          <w:szCs w:val="21"/>
        </w:rPr>
        <w:t>目录</w:t>
      </w:r>
    </w:p>
    <w:p>
      <w:pPr>
        <w:pStyle w:val="7"/>
        <w:ind w:firstLine="1619" w:firstLineChars="771"/>
        <w:rPr>
          <w:rFonts w:ascii="宋体" w:hAnsi="宋体"/>
          <w:color w:val="000000"/>
          <w:szCs w:val="21"/>
        </w:rPr>
      </w:pPr>
      <w:r>
        <w:rPr>
          <w:rFonts w:ascii="宋体" w:hAnsi="宋体"/>
          <w:color w:val="000000"/>
          <w:szCs w:val="21"/>
        </w:rPr>
        <w:t>3</w:t>
      </w:r>
      <w:r>
        <w:rPr>
          <w:rFonts w:hint="eastAsia" w:ascii="宋体" w:hAnsi="宋体"/>
          <w:color w:val="000000"/>
          <w:szCs w:val="21"/>
        </w:rPr>
        <w:t>、投标文件第一部分，主要包括以下内容：</w:t>
      </w:r>
    </w:p>
    <w:p>
      <w:pPr>
        <w:pStyle w:val="7"/>
        <w:ind w:firstLine="1619" w:firstLineChars="771"/>
        <w:rPr>
          <w:rFonts w:ascii="宋体" w:hAnsi="宋体"/>
          <w:color w:val="000000"/>
          <w:szCs w:val="21"/>
        </w:rPr>
      </w:pPr>
      <w:r>
        <w:rPr>
          <w:rFonts w:hint="eastAsia" w:ascii="宋体" w:hAnsi="宋体"/>
          <w:color w:val="000000"/>
          <w:szCs w:val="21"/>
        </w:rPr>
        <w:t xml:space="preserve">  （1</w:t>
      </w:r>
      <w:r>
        <w:rPr>
          <w:rFonts w:ascii="宋体" w:hAnsi="宋体"/>
          <w:color w:val="000000"/>
          <w:szCs w:val="21"/>
        </w:rPr>
        <w:t>）</w:t>
      </w:r>
      <w:r>
        <w:rPr>
          <w:rFonts w:hint="eastAsia" w:ascii="宋体" w:hAnsi="宋体"/>
          <w:color w:val="000000"/>
          <w:szCs w:val="21"/>
        </w:rPr>
        <w:t>投标</w:t>
      </w:r>
      <w:r>
        <w:rPr>
          <w:rFonts w:ascii="宋体" w:hAnsi="宋体"/>
          <w:color w:val="000000"/>
          <w:szCs w:val="21"/>
        </w:rPr>
        <w:t>一览表</w:t>
      </w:r>
    </w:p>
    <w:p>
      <w:pPr>
        <w:pStyle w:val="7"/>
        <w:ind w:left="210" w:leftChars="100" w:firstLine="1619" w:firstLineChars="771"/>
        <w:rPr>
          <w:rFonts w:ascii="宋体" w:hAnsi="宋体"/>
          <w:szCs w:val="21"/>
        </w:rPr>
      </w:pPr>
      <w:r>
        <w:rPr>
          <w:rFonts w:hint="eastAsia" w:ascii="宋体" w:hAnsi="宋体"/>
          <w:szCs w:val="21"/>
        </w:rPr>
        <w:t>（</w:t>
      </w:r>
      <w:r>
        <w:rPr>
          <w:rFonts w:ascii="宋体" w:hAnsi="宋体"/>
          <w:szCs w:val="21"/>
        </w:rPr>
        <w:t>2</w:t>
      </w:r>
      <w:r>
        <w:rPr>
          <w:rFonts w:hint="eastAsia" w:ascii="宋体" w:hAnsi="宋体"/>
          <w:szCs w:val="21"/>
        </w:rPr>
        <w:t>）法定代表人资格证明书</w:t>
      </w:r>
    </w:p>
    <w:p>
      <w:pPr>
        <w:pStyle w:val="7"/>
        <w:ind w:left="210" w:leftChars="100" w:firstLine="1619" w:firstLineChars="771"/>
        <w:rPr>
          <w:rFonts w:ascii="宋体" w:hAnsi="宋体"/>
          <w:szCs w:val="21"/>
        </w:rPr>
      </w:pPr>
      <w:r>
        <w:rPr>
          <w:rFonts w:hint="eastAsia" w:ascii="宋体" w:hAnsi="宋体"/>
          <w:szCs w:val="21"/>
        </w:rPr>
        <w:t>（</w:t>
      </w:r>
      <w:r>
        <w:rPr>
          <w:rFonts w:ascii="宋体" w:hAnsi="宋体"/>
          <w:szCs w:val="21"/>
        </w:rPr>
        <w:t>3</w:t>
      </w:r>
      <w:r>
        <w:rPr>
          <w:rFonts w:hint="eastAsia" w:ascii="宋体" w:hAnsi="宋体"/>
          <w:szCs w:val="21"/>
        </w:rPr>
        <w:t>）投标文件签署授权委托书</w:t>
      </w:r>
    </w:p>
    <w:p>
      <w:pPr>
        <w:pStyle w:val="7"/>
        <w:ind w:left="210" w:leftChars="100" w:firstLine="1619" w:firstLineChars="771"/>
        <w:rPr>
          <w:rFonts w:ascii="宋体" w:hAnsi="宋体"/>
          <w:szCs w:val="21"/>
        </w:rPr>
      </w:pPr>
      <w:r>
        <w:rPr>
          <w:rFonts w:hint="eastAsia" w:ascii="宋体" w:hAnsi="宋体"/>
          <w:szCs w:val="21"/>
        </w:rPr>
        <w:t>（</w:t>
      </w:r>
      <w:r>
        <w:rPr>
          <w:rFonts w:ascii="宋体" w:hAnsi="宋体"/>
          <w:szCs w:val="21"/>
        </w:rPr>
        <w:t>4</w:t>
      </w:r>
      <w:r>
        <w:rPr>
          <w:rFonts w:hint="eastAsia" w:ascii="宋体" w:hAnsi="宋体"/>
          <w:szCs w:val="21"/>
        </w:rPr>
        <w:t>）投标函</w:t>
      </w:r>
    </w:p>
    <w:p>
      <w:pPr>
        <w:pStyle w:val="7"/>
        <w:ind w:left="210" w:leftChars="100" w:firstLine="1619" w:firstLineChars="771"/>
        <w:rPr>
          <w:rFonts w:ascii="宋体" w:hAnsi="宋体"/>
          <w:szCs w:val="21"/>
        </w:rPr>
      </w:pPr>
      <w:r>
        <w:rPr>
          <w:rFonts w:hint="eastAsia" w:ascii="宋体" w:hAnsi="宋体"/>
          <w:szCs w:val="21"/>
        </w:rPr>
        <w:t>（</w:t>
      </w:r>
      <w:r>
        <w:rPr>
          <w:rFonts w:ascii="宋体" w:hAnsi="宋体"/>
          <w:szCs w:val="21"/>
        </w:rPr>
        <w:t>5</w:t>
      </w:r>
      <w:r>
        <w:rPr>
          <w:rFonts w:hint="eastAsia" w:ascii="宋体" w:hAnsi="宋体"/>
          <w:szCs w:val="21"/>
        </w:rPr>
        <w:t>）承诺函</w:t>
      </w:r>
    </w:p>
    <w:p>
      <w:pPr>
        <w:pStyle w:val="7"/>
        <w:ind w:left="210" w:leftChars="100" w:firstLine="1619" w:firstLineChars="771"/>
        <w:rPr>
          <w:rFonts w:ascii="宋体" w:hAnsi="宋体"/>
          <w:szCs w:val="21"/>
        </w:rPr>
      </w:pPr>
      <w:r>
        <w:rPr>
          <w:rFonts w:hint="eastAsia" w:ascii="宋体" w:hAnsi="宋体"/>
          <w:szCs w:val="21"/>
        </w:rPr>
        <w:t>（</w:t>
      </w:r>
      <w:r>
        <w:rPr>
          <w:rFonts w:ascii="宋体" w:hAnsi="宋体"/>
          <w:szCs w:val="21"/>
        </w:rPr>
        <w:t>6）</w:t>
      </w:r>
      <w:r>
        <w:rPr>
          <w:rFonts w:hint="eastAsia" w:ascii="宋体" w:hAnsi="宋体"/>
          <w:szCs w:val="21"/>
        </w:rPr>
        <w:t>无违法</w:t>
      </w:r>
      <w:r>
        <w:rPr>
          <w:rFonts w:ascii="宋体" w:hAnsi="宋体"/>
          <w:szCs w:val="21"/>
        </w:rPr>
        <w:t>违规行为承诺函</w:t>
      </w:r>
    </w:p>
    <w:p>
      <w:pPr>
        <w:pStyle w:val="7"/>
        <w:ind w:left="2339" w:leftChars="871" w:hanging="510" w:hangingChars="243"/>
        <w:rPr>
          <w:rFonts w:ascii="宋体" w:hAnsi="宋体"/>
          <w:szCs w:val="21"/>
        </w:rPr>
      </w:pPr>
      <w:r>
        <w:rPr>
          <w:rFonts w:hint="eastAsia" w:ascii="宋体" w:hAnsi="宋体"/>
          <w:szCs w:val="21"/>
        </w:rPr>
        <w:t>（</w:t>
      </w:r>
      <w:r>
        <w:rPr>
          <w:rFonts w:ascii="宋体" w:hAnsi="宋体"/>
          <w:szCs w:val="21"/>
        </w:rPr>
        <w:t>7</w:t>
      </w:r>
      <w:r>
        <w:rPr>
          <w:rFonts w:hint="eastAsia" w:ascii="宋体" w:hAnsi="宋体"/>
          <w:szCs w:val="21"/>
        </w:rPr>
        <w:t>）投标人情况介绍及相关资质材料</w:t>
      </w:r>
    </w:p>
    <w:p>
      <w:pPr>
        <w:pStyle w:val="7"/>
        <w:ind w:left="2339" w:leftChars="871" w:hanging="510" w:hangingChars="243"/>
        <w:rPr>
          <w:rFonts w:ascii="宋体" w:hAnsi="宋体"/>
          <w:szCs w:val="21"/>
        </w:rPr>
      </w:pPr>
      <w:r>
        <w:rPr>
          <w:rFonts w:hint="eastAsia" w:ascii="宋体" w:hAnsi="宋体"/>
          <w:szCs w:val="21"/>
        </w:rPr>
        <w:t>（</w:t>
      </w:r>
      <w:r>
        <w:rPr>
          <w:rFonts w:ascii="宋体" w:hAnsi="宋体"/>
          <w:szCs w:val="21"/>
        </w:rPr>
        <w:t>8</w:t>
      </w:r>
      <w:r>
        <w:rPr>
          <w:rFonts w:hint="eastAsia" w:ascii="宋体" w:hAnsi="宋体"/>
          <w:szCs w:val="21"/>
        </w:rPr>
        <w:t>）投标人奖项（荣誉、表彰）情况（格式自定）</w:t>
      </w:r>
    </w:p>
    <w:p>
      <w:pPr>
        <w:pStyle w:val="7"/>
        <w:ind w:left="210" w:leftChars="100" w:firstLine="1619" w:firstLineChars="771"/>
        <w:rPr>
          <w:rFonts w:ascii="宋体" w:hAnsi="宋体"/>
          <w:szCs w:val="21"/>
        </w:rPr>
      </w:pPr>
      <w:r>
        <w:rPr>
          <w:rFonts w:hint="eastAsia" w:ascii="宋体" w:hAnsi="宋体"/>
          <w:szCs w:val="21"/>
        </w:rPr>
        <w:t>（</w:t>
      </w:r>
      <w:r>
        <w:rPr>
          <w:rFonts w:ascii="宋体" w:hAnsi="宋体"/>
          <w:szCs w:val="21"/>
        </w:rPr>
        <w:t>9</w:t>
      </w:r>
      <w:r>
        <w:rPr>
          <w:rFonts w:hint="eastAsia" w:ascii="宋体" w:hAnsi="宋体"/>
          <w:szCs w:val="21"/>
        </w:rPr>
        <w:t>）招标文件要求的其它内容及投标人认为需要补充的其它内容（格式自定）</w:t>
      </w:r>
    </w:p>
    <w:p>
      <w:pPr>
        <w:pStyle w:val="7"/>
        <w:ind w:left="210" w:leftChars="100" w:firstLine="1619" w:firstLineChars="771"/>
        <w:rPr>
          <w:rFonts w:ascii="宋体" w:hAnsi="宋体"/>
          <w:color w:val="000000"/>
          <w:szCs w:val="21"/>
        </w:rPr>
      </w:pPr>
    </w:p>
    <w:p>
      <w:pPr>
        <w:pStyle w:val="7"/>
        <w:ind w:left="210" w:leftChars="100" w:firstLine="1619" w:firstLineChars="771"/>
        <w:rPr>
          <w:rFonts w:ascii="宋体" w:hAnsi="宋体"/>
          <w:color w:val="000000"/>
          <w:szCs w:val="21"/>
        </w:rPr>
      </w:pPr>
      <w:r>
        <w:rPr>
          <w:rFonts w:ascii="宋体" w:hAnsi="宋体"/>
          <w:color w:val="000000"/>
          <w:szCs w:val="21"/>
        </w:rPr>
        <w:t>4</w:t>
      </w:r>
      <w:r>
        <w:rPr>
          <w:rFonts w:hint="eastAsia" w:ascii="宋体" w:hAnsi="宋体"/>
          <w:color w:val="000000"/>
          <w:szCs w:val="21"/>
        </w:rPr>
        <w:t>、投标文件第二</w:t>
      </w:r>
      <w:r>
        <w:rPr>
          <w:rFonts w:ascii="宋体" w:hAnsi="宋体"/>
          <w:color w:val="000000"/>
          <w:szCs w:val="21"/>
        </w:rPr>
        <w:t>部分</w:t>
      </w:r>
      <w:r>
        <w:rPr>
          <w:rFonts w:hint="eastAsia" w:ascii="宋体" w:hAnsi="宋体"/>
          <w:color w:val="000000"/>
          <w:szCs w:val="21"/>
        </w:rPr>
        <w:t>，主要包括下列内容：</w:t>
      </w:r>
    </w:p>
    <w:p>
      <w:pPr>
        <w:pStyle w:val="7"/>
        <w:ind w:left="210" w:leftChars="100" w:firstLine="1619" w:firstLineChars="771"/>
        <w:rPr>
          <w:rFonts w:ascii="宋体" w:hAnsi="宋体"/>
          <w:szCs w:val="21"/>
        </w:rPr>
      </w:pPr>
      <w:r>
        <w:rPr>
          <w:rFonts w:hint="eastAsia" w:ascii="宋体" w:hAnsi="宋体"/>
          <w:szCs w:val="21"/>
        </w:rPr>
        <w:t>（1）授权委托代理人联系方式</w:t>
      </w:r>
    </w:p>
    <w:p>
      <w:pPr>
        <w:pStyle w:val="7"/>
        <w:ind w:left="210" w:leftChars="100" w:firstLine="1619" w:firstLineChars="771"/>
        <w:rPr>
          <w:rFonts w:ascii="宋体" w:hAnsi="宋体"/>
          <w:szCs w:val="21"/>
        </w:rPr>
      </w:pPr>
      <w:r>
        <w:rPr>
          <w:rFonts w:hint="eastAsia" w:ascii="宋体" w:hAnsi="宋体"/>
          <w:szCs w:val="21"/>
        </w:rPr>
        <w:t>（2）工程量清单报价格式</w:t>
      </w:r>
    </w:p>
    <w:p>
      <w:pPr>
        <w:pStyle w:val="7"/>
        <w:ind w:left="210" w:leftChars="100" w:firstLine="1619" w:firstLineChars="771"/>
        <w:rPr>
          <w:rFonts w:ascii="宋体" w:hAnsi="宋体"/>
          <w:szCs w:val="21"/>
        </w:rPr>
      </w:pPr>
      <w:r>
        <w:rPr>
          <w:rFonts w:hint="eastAsia" w:ascii="宋体" w:hAnsi="宋体"/>
          <w:szCs w:val="21"/>
        </w:rPr>
        <w:t>（3）拟采用材料品牌型号表</w:t>
      </w:r>
    </w:p>
    <w:p>
      <w:pPr>
        <w:pStyle w:val="7"/>
        <w:ind w:left="210" w:leftChars="100" w:firstLine="1619" w:firstLineChars="771"/>
        <w:rPr>
          <w:rFonts w:ascii="宋体" w:hAnsi="宋体"/>
          <w:color w:val="FF0000"/>
          <w:szCs w:val="21"/>
        </w:rPr>
      </w:pPr>
      <w:r>
        <w:rPr>
          <w:rFonts w:hint="eastAsia" w:ascii="宋体" w:hAnsi="宋体"/>
          <w:color w:val="000000"/>
          <w:szCs w:val="21"/>
        </w:rPr>
        <w:t>（</w:t>
      </w:r>
      <w:r>
        <w:rPr>
          <w:rFonts w:ascii="宋体" w:hAnsi="宋体"/>
          <w:color w:val="000000"/>
          <w:szCs w:val="21"/>
        </w:rPr>
        <w:t>4</w:t>
      </w:r>
      <w:r>
        <w:rPr>
          <w:rFonts w:hint="eastAsia" w:ascii="宋体" w:hAnsi="宋体"/>
          <w:color w:val="000000"/>
          <w:szCs w:val="21"/>
        </w:rPr>
        <w:t>）</w:t>
      </w:r>
      <w:r>
        <w:rPr>
          <w:rFonts w:hint="eastAsia" w:ascii="宋体" w:hAnsi="宋体"/>
          <w:szCs w:val="21"/>
        </w:rPr>
        <w:t>项目总体概述及理解</w:t>
      </w:r>
      <w:r>
        <w:rPr>
          <w:rFonts w:hint="eastAsia" w:ascii="宋体" w:hAnsi="宋体"/>
          <w:color w:val="000000"/>
          <w:szCs w:val="21"/>
        </w:rPr>
        <w:t>(格式自定)</w:t>
      </w:r>
    </w:p>
    <w:p>
      <w:pPr>
        <w:pStyle w:val="7"/>
        <w:ind w:left="210" w:leftChars="100" w:firstLine="1619" w:firstLineChars="771"/>
        <w:rPr>
          <w:rFonts w:ascii="宋体" w:hAnsi="宋体"/>
          <w:color w:val="FF0000"/>
          <w:szCs w:val="21"/>
        </w:rPr>
      </w:pPr>
      <w:r>
        <w:rPr>
          <w:rFonts w:hint="eastAsia" w:ascii="宋体" w:hAnsi="宋体"/>
          <w:color w:val="000000"/>
          <w:szCs w:val="21"/>
        </w:rPr>
        <w:t>（</w:t>
      </w:r>
      <w:r>
        <w:rPr>
          <w:rFonts w:ascii="宋体" w:hAnsi="宋体"/>
          <w:color w:val="000000"/>
          <w:szCs w:val="21"/>
        </w:rPr>
        <w:t>5</w:t>
      </w:r>
      <w:r>
        <w:rPr>
          <w:rFonts w:hint="eastAsia" w:ascii="宋体" w:hAnsi="宋体"/>
          <w:color w:val="000000"/>
          <w:szCs w:val="21"/>
        </w:rPr>
        <w:t>）</w:t>
      </w:r>
      <w:r>
        <w:rPr>
          <w:rFonts w:hint="eastAsia" w:ascii="宋体" w:hAnsi="宋体"/>
          <w:szCs w:val="21"/>
        </w:rPr>
        <w:t>施工组织计划、施工技术、施工工艺及相关的合理化建议</w:t>
      </w:r>
      <w:r>
        <w:rPr>
          <w:rFonts w:hint="eastAsia" w:ascii="宋体" w:hAnsi="宋体"/>
          <w:color w:val="000000"/>
          <w:szCs w:val="21"/>
        </w:rPr>
        <w:t>(格式自定)</w:t>
      </w:r>
    </w:p>
    <w:p>
      <w:pPr>
        <w:pStyle w:val="7"/>
        <w:ind w:left="210" w:leftChars="100" w:firstLine="1619" w:firstLineChars="771"/>
        <w:rPr>
          <w:rFonts w:ascii="宋体" w:hAnsi="宋体"/>
          <w:color w:val="FF0000"/>
          <w:szCs w:val="21"/>
        </w:rPr>
      </w:pPr>
      <w:r>
        <w:rPr>
          <w:rFonts w:hint="eastAsia" w:ascii="宋体" w:hAnsi="宋体"/>
          <w:color w:val="000000"/>
          <w:szCs w:val="21"/>
        </w:rPr>
        <w:t>（</w:t>
      </w:r>
      <w:r>
        <w:rPr>
          <w:rFonts w:ascii="宋体" w:hAnsi="宋体"/>
          <w:color w:val="000000"/>
          <w:szCs w:val="21"/>
        </w:rPr>
        <w:t>6</w:t>
      </w:r>
      <w:r>
        <w:rPr>
          <w:rFonts w:hint="eastAsia" w:ascii="宋体" w:hAnsi="宋体"/>
          <w:color w:val="000000"/>
          <w:szCs w:val="21"/>
        </w:rPr>
        <w:t>）</w:t>
      </w:r>
      <w:r>
        <w:rPr>
          <w:rFonts w:hint="eastAsia" w:ascii="宋体" w:hAnsi="宋体"/>
          <w:szCs w:val="21"/>
        </w:rPr>
        <w:t>项目实施关键施工技术（重点难点）分析及解决方案</w:t>
      </w:r>
      <w:r>
        <w:rPr>
          <w:rFonts w:hint="eastAsia" w:ascii="宋体" w:hAnsi="宋体"/>
          <w:color w:val="000000"/>
          <w:szCs w:val="21"/>
        </w:rPr>
        <w:t>（格式自定）</w:t>
      </w:r>
    </w:p>
    <w:p>
      <w:pPr>
        <w:pStyle w:val="7"/>
        <w:ind w:left="210" w:leftChars="100" w:firstLine="1619" w:firstLineChars="771"/>
        <w:rPr>
          <w:rFonts w:ascii="宋体" w:hAnsi="宋体"/>
          <w:color w:val="FF0000"/>
          <w:szCs w:val="21"/>
        </w:rPr>
      </w:pPr>
      <w:r>
        <w:rPr>
          <w:rFonts w:hint="eastAsia" w:ascii="宋体" w:hAnsi="宋体"/>
          <w:szCs w:val="21"/>
        </w:rPr>
        <w:t>（</w:t>
      </w:r>
      <w:r>
        <w:rPr>
          <w:rFonts w:ascii="宋体" w:hAnsi="宋体"/>
          <w:szCs w:val="21"/>
        </w:rPr>
        <w:t>7</w:t>
      </w:r>
      <w:r>
        <w:rPr>
          <w:rFonts w:hint="eastAsia" w:ascii="宋体" w:hAnsi="宋体"/>
          <w:szCs w:val="21"/>
        </w:rPr>
        <w:t>）拟采用施工材料（设备）的性能（节能环保情况）、品牌档次及质量可靠性</w:t>
      </w:r>
      <w:r>
        <w:rPr>
          <w:rFonts w:hint="eastAsia" w:ascii="宋体" w:hAnsi="宋体"/>
          <w:color w:val="000000"/>
          <w:szCs w:val="21"/>
        </w:rPr>
        <w:t>（格式自定）</w:t>
      </w:r>
    </w:p>
    <w:p>
      <w:pPr>
        <w:pStyle w:val="7"/>
        <w:ind w:left="210" w:leftChars="100" w:firstLine="1619" w:firstLineChars="771"/>
        <w:rPr>
          <w:rFonts w:ascii="宋体" w:hAnsi="宋体"/>
          <w:color w:val="FF0000"/>
          <w:szCs w:val="21"/>
        </w:rPr>
      </w:pPr>
      <w:r>
        <w:rPr>
          <w:rFonts w:hint="eastAsia" w:ascii="宋体" w:hAnsi="宋体"/>
          <w:color w:val="000000"/>
          <w:szCs w:val="21"/>
        </w:rPr>
        <w:t>（</w:t>
      </w:r>
      <w:r>
        <w:rPr>
          <w:rFonts w:ascii="宋体" w:hAnsi="宋体"/>
          <w:color w:val="000000"/>
          <w:szCs w:val="21"/>
        </w:rPr>
        <w:t>8</w:t>
      </w:r>
      <w:r>
        <w:rPr>
          <w:rFonts w:hint="eastAsia" w:ascii="宋体" w:hAnsi="宋体"/>
          <w:color w:val="000000"/>
          <w:szCs w:val="21"/>
        </w:rPr>
        <w:t>）</w:t>
      </w:r>
      <w:r>
        <w:rPr>
          <w:rFonts w:hint="eastAsia" w:ascii="宋体" w:hAnsi="宋体"/>
          <w:szCs w:val="21"/>
        </w:rPr>
        <w:t>拟投入劳动力（项目经理、技术人员、管理班子、机械设备、场地）情况</w:t>
      </w:r>
      <w:r>
        <w:rPr>
          <w:rFonts w:hint="eastAsia" w:ascii="宋体" w:hAnsi="宋体"/>
          <w:color w:val="000000"/>
          <w:szCs w:val="21"/>
        </w:rPr>
        <w:t>（格式自定）</w:t>
      </w:r>
    </w:p>
    <w:p>
      <w:pPr>
        <w:pStyle w:val="7"/>
        <w:ind w:left="210" w:leftChars="100" w:firstLine="1619" w:firstLineChars="771"/>
        <w:rPr>
          <w:rFonts w:ascii="宋体" w:hAnsi="宋体"/>
          <w:color w:val="000000"/>
          <w:szCs w:val="21"/>
        </w:rPr>
      </w:pPr>
      <w:r>
        <w:rPr>
          <w:rFonts w:hint="eastAsia" w:ascii="宋体" w:hAnsi="宋体"/>
          <w:color w:val="000000"/>
          <w:szCs w:val="21"/>
        </w:rPr>
        <w:t>（</w:t>
      </w:r>
      <w:r>
        <w:rPr>
          <w:rFonts w:ascii="宋体" w:hAnsi="宋体"/>
          <w:color w:val="000000"/>
          <w:szCs w:val="21"/>
        </w:rPr>
        <w:t>9</w:t>
      </w:r>
      <w:r>
        <w:rPr>
          <w:rFonts w:hint="eastAsia" w:ascii="宋体" w:hAnsi="宋体"/>
          <w:color w:val="000000"/>
          <w:szCs w:val="21"/>
        </w:rPr>
        <w:t>）施工质量（环保、工期、售后服务）保障措施及相关的违约承诺（格式自定）</w:t>
      </w:r>
    </w:p>
    <w:p>
      <w:pPr>
        <w:rPr>
          <w:rFonts w:ascii="仿宋_GB2312" w:eastAsia="仿宋_GB2312"/>
          <w:color w:val="FF0000"/>
          <w:sz w:val="24"/>
        </w:rPr>
      </w:pPr>
      <w:r>
        <w:rPr>
          <w:rFonts w:hint="eastAsia" w:ascii="仿宋_GB2312" w:eastAsia="仿宋_GB2312"/>
          <w:color w:val="FF0000"/>
          <w:sz w:val="24"/>
        </w:rPr>
        <w:t xml:space="preserve">    </w:t>
      </w:r>
    </w:p>
    <w:p>
      <w:r>
        <w:br w:type="page"/>
      </w:r>
    </w:p>
    <w:p>
      <w:pPr>
        <w:rPr>
          <w:rFonts w:asciiTheme="minorEastAsia" w:hAnsiTheme="minorEastAsia" w:eastAsiaTheme="minorEastAsia"/>
          <w:b/>
          <w:color w:val="FF0000"/>
          <w:sz w:val="30"/>
          <w:szCs w:val="30"/>
        </w:rPr>
      </w:pPr>
      <w:r>
        <w:rPr>
          <w:rFonts w:hint="eastAsia" w:asciiTheme="minorEastAsia" w:hAnsiTheme="minorEastAsia" w:eastAsiaTheme="minorEastAsia"/>
          <w:b/>
          <w:color w:val="FF0000"/>
          <w:sz w:val="30"/>
          <w:szCs w:val="30"/>
        </w:rPr>
        <w:t>封面</w:t>
      </w:r>
    </w:p>
    <w:p>
      <w:pPr>
        <w:rPr>
          <w:rFonts w:asciiTheme="minorEastAsia" w:hAnsiTheme="minorEastAsia" w:eastAsiaTheme="minorEastAsia"/>
          <w:b/>
          <w:color w:val="FF0000"/>
          <w:sz w:val="30"/>
          <w:szCs w:val="30"/>
        </w:rPr>
      </w:pPr>
    </w:p>
    <w:p>
      <w:pPr>
        <w:jc w:val="right"/>
        <w:rPr>
          <w:rFonts w:asciiTheme="minorEastAsia" w:hAnsiTheme="minorEastAsia" w:eastAsiaTheme="minorEastAsia"/>
          <w:b/>
          <w:sz w:val="36"/>
          <w:szCs w:val="36"/>
        </w:rPr>
      </w:pPr>
      <w:r>
        <w:rPr>
          <w:rFonts w:hint="eastAsia" w:asciiTheme="minorEastAsia" w:hAnsiTheme="minorEastAsia" w:eastAsiaTheme="minorEastAsia"/>
          <w:b/>
          <w:sz w:val="36"/>
          <w:szCs w:val="36"/>
          <w:highlight w:val="yellow"/>
        </w:rPr>
        <w:t>正本</w:t>
      </w:r>
      <w:r>
        <w:rPr>
          <w:rFonts w:asciiTheme="minorEastAsia" w:hAnsiTheme="minorEastAsia" w:eastAsiaTheme="minorEastAsia"/>
          <w:b/>
          <w:sz w:val="36"/>
          <w:szCs w:val="36"/>
          <w:highlight w:val="yellow"/>
        </w:rPr>
        <w:t>/副本</w:t>
      </w:r>
    </w:p>
    <w:p>
      <w:pPr>
        <w:jc w:val="center"/>
        <w:rPr>
          <w:rFonts w:asciiTheme="minorEastAsia" w:hAnsiTheme="minorEastAsia" w:eastAsiaTheme="minorEastAsia"/>
          <w:b/>
          <w:sz w:val="52"/>
          <w:szCs w:val="52"/>
        </w:rPr>
      </w:pPr>
    </w:p>
    <w:p>
      <w:pPr>
        <w:jc w:val="center"/>
        <w:rPr>
          <w:rFonts w:asciiTheme="minorEastAsia" w:hAnsiTheme="minorEastAsia" w:eastAsiaTheme="minorEastAsia"/>
          <w:b/>
          <w:sz w:val="52"/>
          <w:szCs w:val="52"/>
        </w:rPr>
      </w:pPr>
    </w:p>
    <w:p>
      <w:pPr>
        <w:jc w:val="center"/>
        <w:rPr>
          <w:rFonts w:asciiTheme="minorEastAsia" w:hAnsiTheme="minorEastAsia" w:eastAsiaTheme="minorEastAsia"/>
          <w:b/>
          <w:sz w:val="84"/>
          <w:szCs w:val="84"/>
        </w:rPr>
      </w:pPr>
      <w:r>
        <w:rPr>
          <w:rFonts w:hint="eastAsia" w:asciiTheme="minorEastAsia" w:hAnsiTheme="minorEastAsia" w:eastAsiaTheme="minorEastAsia"/>
          <w:b/>
          <w:sz w:val="84"/>
          <w:szCs w:val="84"/>
        </w:rPr>
        <w:t>投 标 文 件</w:t>
      </w:r>
    </w:p>
    <w:p>
      <w:pPr>
        <w:rPr>
          <w:rFonts w:asciiTheme="minorEastAsia" w:hAnsiTheme="minorEastAsia" w:eastAsiaTheme="minorEastAsia"/>
          <w:b/>
          <w:sz w:val="30"/>
          <w:szCs w:val="30"/>
        </w:rPr>
      </w:pPr>
    </w:p>
    <w:p>
      <w:pPr>
        <w:rPr>
          <w:rFonts w:asciiTheme="minorEastAsia" w:hAnsiTheme="minorEastAsia" w:eastAsiaTheme="minorEastAsia"/>
          <w:b/>
          <w:sz w:val="30"/>
          <w:szCs w:val="30"/>
        </w:rPr>
      </w:pPr>
    </w:p>
    <w:p>
      <w:pPr>
        <w:rPr>
          <w:rFonts w:asciiTheme="minorEastAsia" w:hAnsiTheme="minorEastAsia" w:eastAsiaTheme="minorEastAsia"/>
          <w:b/>
          <w:sz w:val="30"/>
          <w:szCs w:val="30"/>
        </w:rPr>
      </w:pPr>
    </w:p>
    <w:p>
      <w:pPr>
        <w:rPr>
          <w:rFonts w:asciiTheme="minorEastAsia" w:hAnsiTheme="minorEastAsia" w:eastAsiaTheme="minorEastAsia"/>
          <w:b/>
          <w:sz w:val="32"/>
          <w:szCs w:val="32"/>
        </w:rPr>
      </w:pPr>
      <w:r>
        <w:rPr>
          <w:rFonts w:hint="eastAsia" w:asciiTheme="minorEastAsia" w:hAnsiTheme="minorEastAsia" w:eastAsiaTheme="minorEastAsia"/>
          <w:b/>
          <w:sz w:val="32"/>
          <w:szCs w:val="32"/>
        </w:rPr>
        <w:t>项目编号：</w:t>
      </w:r>
    </w:p>
    <w:p>
      <w:pPr>
        <w:rPr>
          <w:rFonts w:asciiTheme="minorEastAsia" w:hAnsiTheme="minorEastAsia" w:eastAsiaTheme="minorEastAsia"/>
          <w:b/>
          <w:sz w:val="32"/>
          <w:szCs w:val="32"/>
        </w:rPr>
      </w:pPr>
    </w:p>
    <w:p>
      <w:pPr>
        <w:rPr>
          <w:rFonts w:asciiTheme="minorEastAsia" w:hAnsiTheme="minorEastAsia" w:eastAsiaTheme="minorEastAsia"/>
          <w:b/>
          <w:sz w:val="32"/>
          <w:szCs w:val="32"/>
        </w:rPr>
      </w:pPr>
      <w:r>
        <w:rPr>
          <w:rFonts w:hint="eastAsia" w:asciiTheme="minorEastAsia" w:hAnsiTheme="minorEastAsia" w:eastAsiaTheme="minorEastAsia"/>
          <w:b/>
          <w:sz w:val="32"/>
          <w:szCs w:val="32"/>
        </w:rPr>
        <w:t>项目</w:t>
      </w:r>
      <w:r>
        <w:rPr>
          <w:rFonts w:asciiTheme="minorEastAsia" w:hAnsiTheme="minorEastAsia" w:eastAsiaTheme="minorEastAsia"/>
          <w:b/>
          <w:sz w:val="32"/>
          <w:szCs w:val="32"/>
        </w:rPr>
        <w:t>名称：</w:t>
      </w:r>
    </w:p>
    <w:p>
      <w:pPr>
        <w:rPr>
          <w:rFonts w:asciiTheme="minorEastAsia" w:hAnsiTheme="minorEastAsia" w:eastAsiaTheme="minorEastAsia"/>
          <w:b/>
          <w:sz w:val="30"/>
          <w:szCs w:val="30"/>
        </w:rPr>
      </w:pPr>
    </w:p>
    <w:p>
      <w:pPr>
        <w:rPr>
          <w:rFonts w:asciiTheme="minorEastAsia" w:hAnsiTheme="minorEastAsia" w:eastAsiaTheme="minorEastAsia"/>
          <w:b/>
          <w:sz w:val="30"/>
          <w:szCs w:val="30"/>
        </w:rPr>
      </w:pPr>
    </w:p>
    <w:p>
      <w:pPr>
        <w:rPr>
          <w:rFonts w:asciiTheme="minorEastAsia" w:hAnsiTheme="minorEastAsia" w:eastAsiaTheme="minorEastAsia"/>
          <w:b/>
          <w:sz w:val="30"/>
          <w:szCs w:val="30"/>
        </w:rPr>
      </w:pPr>
    </w:p>
    <w:p>
      <w:pPr>
        <w:rPr>
          <w:rFonts w:asciiTheme="minorEastAsia" w:hAnsiTheme="minorEastAsia" w:eastAsiaTheme="minorEastAsia"/>
          <w:b/>
          <w:sz w:val="30"/>
          <w:szCs w:val="30"/>
        </w:rPr>
      </w:pPr>
    </w:p>
    <w:p>
      <w:pPr>
        <w:rPr>
          <w:rFonts w:asciiTheme="minorEastAsia" w:hAnsiTheme="minorEastAsia" w:eastAsiaTheme="minorEastAsia"/>
          <w:b/>
          <w:sz w:val="30"/>
          <w:szCs w:val="30"/>
        </w:rPr>
      </w:pPr>
    </w:p>
    <w:p>
      <w:pPr>
        <w:rPr>
          <w:rFonts w:asciiTheme="minorEastAsia" w:hAnsiTheme="minorEastAsia" w:eastAsiaTheme="minorEastAsia"/>
          <w:b/>
          <w:sz w:val="30"/>
          <w:szCs w:val="30"/>
        </w:rPr>
      </w:pPr>
    </w:p>
    <w:p>
      <w:pPr>
        <w:rPr>
          <w:rFonts w:asciiTheme="minorEastAsia" w:hAnsiTheme="minorEastAsia" w:eastAsiaTheme="minorEastAsia"/>
          <w:b/>
          <w:sz w:val="30"/>
          <w:szCs w:val="30"/>
        </w:rPr>
      </w:pPr>
    </w:p>
    <w:p>
      <w:pPr>
        <w:rPr>
          <w:rFonts w:asciiTheme="minorEastAsia" w:hAnsiTheme="minorEastAsia" w:eastAsiaTheme="minorEastAsia"/>
          <w:b/>
          <w:sz w:val="30"/>
          <w:szCs w:val="30"/>
        </w:rPr>
      </w:pPr>
    </w:p>
    <w:p>
      <w:pPr>
        <w:rPr>
          <w:rFonts w:asciiTheme="minorEastAsia" w:hAnsiTheme="minorEastAsia" w:eastAsiaTheme="minorEastAsia"/>
          <w:b/>
          <w:sz w:val="30"/>
          <w:szCs w:val="30"/>
        </w:rPr>
      </w:pPr>
    </w:p>
    <w:p>
      <w:pPr>
        <w:rPr>
          <w:rFonts w:asciiTheme="minorEastAsia" w:hAnsiTheme="minorEastAsia" w:eastAsiaTheme="minorEastAsia"/>
          <w:b/>
          <w:sz w:val="30"/>
          <w:szCs w:val="30"/>
        </w:rPr>
      </w:pPr>
    </w:p>
    <w:p>
      <w:pPr>
        <w:rPr>
          <w:rFonts w:asciiTheme="minorEastAsia" w:hAnsiTheme="minorEastAsia" w:eastAsiaTheme="minorEastAsia"/>
          <w:b/>
          <w:sz w:val="30"/>
          <w:szCs w:val="30"/>
        </w:rPr>
      </w:pPr>
    </w:p>
    <w:p>
      <w:pPr>
        <w:rPr>
          <w:rFonts w:asciiTheme="minorEastAsia" w:hAnsiTheme="minorEastAsia" w:eastAsiaTheme="minorEastAsia"/>
          <w:b/>
          <w:sz w:val="32"/>
          <w:szCs w:val="32"/>
        </w:rPr>
      </w:pPr>
      <w:r>
        <w:rPr>
          <w:rFonts w:hint="eastAsia" w:asciiTheme="minorEastAsia" w:hAnsiTheme="minorEastAsia" w:eastAsiaTheme="minorEastAsia"/>
          <w:b/>
          <w:sz w:val="32"/>
          <w:szCs w:val="32"/>
        </w:rPr>
        <w:t>投标人</w:t>
      </w:r>
      <w:r>
        <w:rPr>
          <w:rFonts w:asciiTheme="minorEastAsia" w:hAnsiTheme="minorEastAsia" w:eastAsiaTheme="minorEastAsia"/>
          <w:b/>
          <w:sz w:val="32"/>
          <w:szCs w:val="32"/>
        </w:rPr>
        <w:t>（供应商</w:t>
      </w:r>
      <w:r>
        <w:rPr>
          <w:rFonts w:hint="eastAsia" w:asciiTheme="minorEastAsia" w:hAnsiTheme="minorEastAsia" w:eastAsiaTheme="minorEastAsia"/>
          <w:b/>
          <w:sz w:val="32"/>
          <w:szCs w:val="32"/>
        </w:rPr>
        <w:t>）</w:t>
      </w:r>
      <w:r>
        <w:rPr>
          <w:rFonts w:asciiTheme="minorEastAsia" w:hAnsiTheme="minorEastAsia" w:eastAsiaTheme="minorEastAsia"/>
          <w:b/>
          <w:sz w:val="32"/>
          <w:szCs w:val="32"/>
        </w:rPr>
        <w:t>：</w:t>
      </w:r>
    </w:p>
    <w:p>
      <w:pPr>
        <w:rPr>
          <w:rFonts w:asciiTheme="minorEastAsia" w:hAnsiTheme="minorEastAsia" w:eastAsiaTheme="minorEastAsia"/>
          <w:b/>
          <w:color w:val="FF0000"/>
          <w:sz w:val="30"/>
          <w:szCs w:val="30"/>
        </w:rPr>
      </w:pPr>
    </w:p>
    <w:p>
      <w:pPr>
        <w:rPr>
          <w:rFonts w:asciiTheme="minorEastAsia" w:hAnsiTheme="minorEastAsia" w:eastAsiaTheme="minorEastAsia"/>
          <w:b/>
          <w:color w:val="FF0000"/>
          <w:sz w:val="30"/>
          <w:szCs w:val="30"/>
        </w:rPr>
      </w:pPr>
    </w:p>
    <w:p>
      <w:pPr>
        <w:widowControl/>
        <w:jc w:val="left"/>
        <w:rPr>
          <w:rFonts w:asciiTheme="minorEastAsia" w:hAnsiTheme="minorEastAsia" w:eastAsiaTheme="minorEastAsia"/>
          <w:b/>
          <w:color w:val="FF0000"/>
          <w:sz w:val="30"/>
          <w:szCs w:val="30"/>
        </w:rPr>
      </w:pPr>
      <w:r>
        <w:rPr>
          <w:rFonts w:asciiTheme="minorEastAsia" w:hAnsiTheme="minorEastAsia" w:eastAsiaTheme="minorEastAsia"/>
          <w:b/>
          <w:color w:val="FF0000"/>
          <w:sz w:val="30"/>
          <w:szCs w:val="30"/>
        </w:rPr>
        <w:br w:type="page"/>
      </w:r>
    </w:p>
    <w:p>
      <w:pPr>
        <w:jc w:val="center"/>
        <w:rPr>
          <w:rFonts w:asciiTheme="minorEastAsia" w:hAnsiTheme="minorEastAsia" w:eastAsiaTheme="minorEastAsia"/>
          <w:b/>
          <w:sz w:val="48"/>
          <w:szCs w:val="48"/>
        </w:rPr>
      </w:pPr>
      <w:r>
        <w:rPr>
          <w:rFonts w:hint="eastAsia" w:asciiTheme="minorEastAsia" w:hAnsiTheme="minorEastAsia" w:eastAsiaTheme="minorEastAsia"/>
          <w:b/>
          <w:sz w:val="48"/>
          <w:szCs w:val="48"/>
        </w:rPr>
        <w:t>目录</w:t>
      </w:r>
    </w:p>
    <w:p>
      <w:pPr>
        <w:rPr>
          <w:rFonts w:ascii="仿宋_GB2312" w:eastAsia="仿宋_GB2312"/>
          <w:sz w:val="30"/>
          <w:szCs w:val="30"/>
        </w:rPr>
      </w:pPr>
      <w:r>
        <w:rPr>
          <w:rFonts w:hint="eastAsia" w:ascii="仿宋_GB2312" w:eastAsia="仿宋_GB2312"/>
          <w:sz w:val="30"/>
          <w:szCs w:val="30"/>
        </w:rPr>
        <w:t>投标</w:t>
      </w:r>
      <w:r>
        <w:rPr>
          <w:rFonts w:ascii="仿宋_GB2312" w:eastAsia="仿宋_GB2312"/>
          <w:sz w:val="30"/>
          <w:szCs w:val="30"/>
        </w:rPr>
        <w:t>文件第一部分：</w:t>
      </w:r>
    </w:p>
    <w:p>
      <w:pPr>
        <w:rPr>
          <w:rFonts w:asciiTheme="minorEastAsia" w:hAnsiTheme="minorEastAsia" w:eastAsiaTheme="minorEastAsia"/>
          <w:sz w:val="28"/>
          <w:szCs w:val="28"/>
        </w:rPr>
      </w:pPr>
      <w:r>
        <w:rPr>
          <w:rFonts w:hint="eastAsia" w:asciiTheme="minorEastAsia" w:hAnsiTheme="minorEastAsia" w:eastAsiaTheme="minorEastAsia"/>
          <w:sz w:val="28"/>
          <w:szCs w:val="28"/>
        </w:rPr>
        <w:t xml:space="preserve">一、投标一览表                                </w:t>
      </w:r>
    </w:p>
    <w:p>
      <w:pPr>
        <w:widowControl/>
        <w:jc w:val="left"/>
        <w:rPr>
          <w:rFonts w:asciiTheme="minorEastAsia" w:hAnsiTheme="minorEastAsia" w:eastAsiaTheme="minorEastAsia"/>
          <w:sz w:val="28"/>
          <w:szCs w:val="28"/>
        </w:rPr>
      </w:pPr>
      <w:r>
        <w:rPr>
          <w:rFonts w:hint="eastAsia" w:asciiTheme="minorEastAsia" w:hAnsiTheme="minorEastAsia" w:eastAsiaTheme="minorEastAsia"/>
          <w:sz w:val="28"/>
          <w:szCs w:val="28"/>
        </w:rPr>
        <w:t xml:space="preserve">二、法定代表人资格证明书                      </w:t>
      </w:r>
    </w:p>
    <w:p>
      <w:pPr>
        <w:widowControl/>
        <w:jc w:val="left"/>
        <w:rPr>
          <w:rFonts w:ascii="黑体" w:eastAsia="黑体"/>
          <w:kern w:val="0"/>
          <w:sz w:val="24"/>
        </w:rPr>
      </w:pPr>
      <w:r>
        <w:rPr>
          <w:rFonts w:hint="eastAsia" w:ascii="黑体" w:eastAsia="黑体"/>
          <w:kern w:val="0"/>
          <w:sz w:val="24"/>
        </w:rPr>
        <w:t>三、投标文件签署授权委托书</w:t>
      </w:r>
    </w:p>
    <w:p>
      <w:pPr>
        <w:widowControl/>
        <w:jc w:val="left"/>
        <w:rPr>
          <w:rFonts w:ascii="黑体" w:eastAsia="黑体"/>
          <w:kern w:val="0"/>
          <w:sz w:val="24"/>
        </w:rPr>
      </w:pPr>
      <w:r>
        <w:rPr>
          <w:rFonts w:hint="eastAsia" w:ascii="黑体" w:eastAsia="黑体"/>
          <w:kern w:val="0"/>
          <w:sz w:val="24"/>
        </w:rPr>
        <w:t>四、投标函</w:t>
      </w:r>
    </w:p>
    <w:p>
      <w:pPr>
        <w:widowControl/>
        <w:jc w:val="left"/>
        <w:rPr>
          <w:rFonts w:ascii="黑体" w:eastAsia="黑体"/>
          <w:kern w:val="0"/>
          <w:sz w:val="24"/>
        </w:rPr>
      </w:pPr>
      <w:r>
        <w:rPr>
          <w:rFonts w:hint="eastAsia" w:ascii="黑体" w:eastAsia="黑体"/>
          <w:kern w:val="0"/>
          <w:sz w:val="24"/>
        </w:rPr>
        <w:t>五、承诺函</w:t>
      </w:r>
    </w:p>
    <w:p>
      <w:pPr>
        <w:widowControl/>
        <w:jc w:val="left"/>
        <w:rPr>
          <w:rFonts w:ascii="黑体" w:eastAsia="黑体"/>
          <w:kern w:val="0"/>
          <w:sz w:val="24"/>
        </w:rPr>
      </w:pPr>
      <w:r>
        <w:rPr>
          <w:rFonts w:hint="eastAsia" w:ascii="黑体" w:eastAsia="黑体"/>
          <w:kern w:val="0"/>
          <w:sz w:val="24"/>
        </w:rPr>
        <w:t>六、无违法违规行为承诺函</w:t>
      </w:r>
    </w:p>
    <w:p>
      <w:pPr>
        <w:widowControl/>
        <w:jc w:val="left"/>
        <w:rPr>
          <w:rFonts w:ascii="黑体" w:eastAsia="黑体"/>
          <w:kern w:val="0"/>
          <w:sz w:val="24"/>
        </w:rPr>
      </w:pPr>
      <w:r>
        <w:rPr>
          <w:rFonts w:hint="eastAsia" w:ascii="黑体" w:eastAsia="黑体"/>
          <w:kern w:val="0"/>
          <w:sz w:val="24"/>
        </w:rPr>
        <w:t>七、投标人情况介绍及相关资质材料</w:t>
      </w:r>
    </w:p>
    <w:p>
      <w:pPr>
        <w:widowControl/>
        <w:jc w:val="left"/>
        <w:rPr>
          <w:rFonts w:ascii="黑体" w:eastAsia="黑体"/>
          <w:kern w:val="0"/>
          <w:sz w:val="24"/>
        </w:rPr>
      </w:pPr>
    </w:p>
    <w:p>
      <w:pPr>
        <w:widowControl/>
        <w:jc w:val="left"/>
        <w:rPr>
          <w:rFonts w:ascii="黑体" w:eastAsia="黑体"/>
          <w:kern w:val="0"/>
          <w:sz w:val="24"/>
        </w:rPr>
      </w:pPr>
      <w:r>
        <w:rPr>
          <w:rFonts w:hint="eastAsia" w:ascii="黑体" w:eastAsia="黑体"/>
          <w:kern w:val="0"/>
          <w:sz w:val="24"/>
        </w:rPr>
        <w:t>投标</w:t>
      </w:r>
      <w:r>
        <w:rPr>
          <w:rFonts w:ascii="黑体" w:eastAsia="黑体"/>
          <w:kern w:val="0"/>
          <w:sz w:val="24"/>
        </w:rPr>
        <w:t>文件第二部分：</w:t>
      </w:r>
    </w:p>
    <w:p>
      <w:pPr>
        <w:widowControl/>
        <w:jc w:val="left"/>
        <w:rPr>
          <w:rFonts w:ascii="黑体" w:eastAsia="黑体"/>
          <w:sz w:val="24"/>
        </w:rPr>
      </w:pPr>
      <w:r>
        <w:rPr>
          <w:rFonts w:hint="eastAsia" w:ascii="黑体" w:eastAsia="黑体"/>
          <w:kern w:val="0"/>
          <w:sz w:val="24"/>
        </w:rPr>
        <w:t>一、授权委托</w:t>
      </w:r>
      <w:r>
        <w:rPr>
          <w:rFonts w:hint="eastAsia" w:ascii="黑体" w:eastAsia="黑体"/>
          <w:sz w:val="24"/>
        </w:rPr>
        <w:t>代理人联系方式</w:t>
      </w:r>
    </w:p>
    <w:p>
      <w:pPr>
        <w:widowControl/>
        <w:jc w:val="left"/>
        <w:rPr>
          <w:rFonts w:ascii="黑体" w:eastAsia="黑体"/>
          <w:kern w:val="0"/>
          <w:sz w:val="24"/>
        </w:rPr>
      </w:pPr>
      <w:r>
        <w:rPr>
          <w:rFonts w:hint="eastAsia" w:ascii="黑体" w:eastAsia="黑体"/>
          <w:kern w:val="0"/>
          <w:sz w:val="24"/>
        </w:rPr>
        <w:t>二、工程量清单报价格式</w:t>
      </w:r>
    </w:p>
    <w:p>
      <w:pPr>
        <w:widowControl/>
        <w:jc w:val="left"/>
        <w:rPr>
          <w:rFonts w:ascii="黑体" w:eastAsia="黑体"/>
          <w:kern w:val="0"/>
          <w:sz w:val="24"/>
        </w:rPr>
      </w:pPr>
      <w:r>
        <w:rPr>
          <w:rFonts w:hint="eastAsia" w:ascii="黑体" w:eastAsia="黑体"/>
          <w:kern w:val="0"/>
          <w:sz w:val="24"/>
        </w:rPr>
        <w:t>三</w:t>
      </w:r>
      <w:r>
        <w:rPr>
          <w:rFonts w:ascii="黑体" w:eastAsia="黑体"/>
          <w:kern w:val="0"/>
          <w:sz w:val="24"/>
        </w:rPr>
        <w:t>、</w:t>
      </w:r>
      <w:r>
        <w:rPr>
          <w:rFonts w:hint="eastAsia" w:ascii="黑体" w:eastAsia="黑体"/>
          <w:kern w:val="0"/>
          <w:sz w:val="24"/>
        </w:rPr>
        <w:t>拟采用</w:t>
      </w:r>
      <w:r>
        <w:rPr>
          <w:rFonts w:ascii="黑体" w:eastAsia="黑体"/>
          <w:kern w:val="0"/>
          <w:sz w:val="24"/>
        </w:rPr>
        <w:t>材料品牌型号</w:t>
      </w:r>
      <w:r>
        <w:rPr>
          <w:rFonts w:hint="eastAsia" w:ascii="黑体" w:eastAsia="黑体"/>
          <w:kern w:val="0"/>
          <w:sz w:val="24"/>
        </w:rPr>
        <w:t>表</w:t>
      </w:r>
    </w:p>
    <w:p>
      <w:pPr>
        <w:widowControl/>
        <w:jc w:val="left"/>
        <w:rPr>
          <w:rFonts w:asciiTheme="minorEastAsia" w:hAnsiTheme="minorEastAsia" w:eastAsiaTheme="minorEastAsia"/>
          <w:sz w:val="28"/>
          <w:szCs w:val="28"/>
        </w:rPr>
      </w:pPr>
    </w:p>
    <w:p>
      <w:pPr>
        <w:widowControl/>
        <w:jc w:val="left"/>
        <w:rPr>
          <w:rFonts w:ascii="仿宋_GB2312" w:eastAsia="仿宋_GB2312"/>
          <w:b/>
          <w:color w:val="FF0000"/>
          <w:sz w:val="30"/>
          <w:szCs w:val="30"/>
        </w:rPr>
      </w:pPr>
    </w:p>
    <w:p>
      <w:pPr>
        <w:widowControl/>
        <w:jc w:val="left"/>
        <w:rPr>
          <w:rFonts w:ascii="仿宋_GB2312" w:eastAsia="仿宋_GB2312"/>
          <w:b/>
          <w:color w:val="FF0000"/>
          <w:sz w:val="30"/>
          <w:szCs w:val="30"/>
        </w:rPr>
      </w:pPr>
    </w:p>
    <w:p>
      <w:pPr>
        <w:widowControl/>
        <w:jc w:val="left"/>
        <w:rPr>
          <w:rFonts w:ascii="仿宋_GB2312" w:eastAsia="仿宋_GB2312"/>
          <w:b/>
          <w:color w:val="FF0000"/>
          <w:sz w:val="30"/>
          <w:szCs w:val="30"/>
        </w:rPr>
      </w:pPr>
    </w:p>
    <w:p>
      <w:pPr>
        <w:widowControl/>
        <w:jc w:val="left"/>
        <w:rPr>
          <w:rFonts w:ascii="仿宋_GB2312" w:eastAsia="仿宋_GB2312"/>
          <w:b/>
          <w:color w:val="FF0000"/>
          <w:sz w:val="30"/>
          <w:szCs w:val="30"/>
        </w:rPr>
      </w:pPr>
    </w:p>
    <w:p>
      <w:pPr>
        <w:widowControl/>
        <w:jc w:val="left"/>
        <w:rPr>
          <w:rFonts w:ascii="仿宋_GB2312" w:eastAsia="仿宋_GB2312"/>
          <w:b/>
          <w:color w:val="FF0000"/>
          <w:sz w:val="30"/>
          <w:szCs w:val="30"/>
        </w:rPr>
      </w:pPr>
    </w:p>
    <w:p>
      <w:pPr>
        <w:widowControl/>
        <w:jc w:val="left"/>
        <w:rPr>
          <w:rFonts w:ascii="仿宋_GB2312" w:eastAsia="仿宋_GB2312"/>
          <w:b/>
          <w:color w:val="FF0000"/>
          <w:sz w:val="30"/>
          <w:szCs w:val="30"/>
        </w:rPr>
      </w:pPr>
    </w:p>
    <w:p>
      <w:pPr>
        <w:widowControl/>
        <w:jc w:val="left"/>
        <w:rPr>
          <w:rFonts w:ascii="仿宋_GB2312" w:eastAsia="仿宋_GB2312"/>
          <w:b/>
          <w:color w:val="FF0000"/>
          <w:sz w:val="30"/>
          <w:szCs w:val="30"/>
        </w:rPr>
      </w:pPr>
    </w:p>
    <w:p>
      <w:pPr>
        <w:widowControl/>
        <w:jc w:val="left"/>
        <w:rPr>
          <w:rFonts w:ascii="仿宋_GB2312" w:eastAsia="仿宋_GB2312"/>
          <w:b/>
          <w:color w:val="FF0000"/>
          <w:sz w:val="30"/>
          <w:szCs w:val="30"/>
        </w:rPr>
      </w:pPr>
    </w:p>
    <w:p>
      <w:pPr>
        <w:widowControl/>
        <w:jc w:val="left"/>
        <w:rPr>
          <w:rFonts w:ascii="仿宋_GB2312" w:eastAsia="仿宋_GB2312"/>
          <w:b/>
          <w:color w:val="FF0000"/>
          <w:sz w:val="30"/>
          <w:szCs w:val="30"/>
        </w:rPr>
      </w:pPr>
    </w:p>
    <w:p>
      <w:pPr>
        <w:widowControl/>
        <w:jc w:val="left"/>
        <w:rPr>
          <w:rFonts w:ascii="仿宋_GB2312" w:eastAsia="仿宋_GB2312"/>
          <w:b/>
          <w:color w:val="FF0000"/>
          <w:sz w:val="30"/>
          <w:szCs w:val="30"/>
        </w:rPr>
      </w:pPr>
    </w:p>
    <w:p>
      <w:pPr>
        <w:widowControl/>
        <w:jc w:val="left"/>
        <w:rPr>
          <w:rFonts w:ascii="仿宋_GB2312" w:eastAsia="仿宋_GB2312"/>
          <w:b/>
          <w:color w:val="FF0000"/>
          <w:sz w:val="30"/>
          <w:szCs w:val="30"/>
        </w:rPr>
      </w:pPr>
    </w:p>
    <w:p>
      <w:pPr>
        <w:widowControl/>
        <w:jc w:val="left"/>
        <w:rPr>
          <w:rFonts w:ascii="仿宋_GB2312" w:eastAsia="仿宋_GB2312"/>
          <w:b/>
          <w:color w:val="FF0000"/>
          <w:sz w:val="30"/>
          <w:szCs w:val="30"/>
        </w:rPr>
      </w:pPr>
    </w:p>
    <w:p>
      <w:pPr>
        <w:widowControl/>
        <w:jc w:val="left"/>
        <w:rPr>
          <w:rFonts w:ascii="仿宋_GB2312" w:eastAsia="仿宋_GB2312"/>
          <w:b/>
          <w:color w:val="FF0000"/>
          <w:sz w:val="30"/>
          <w:szCs w:val="30"/>
        </w:rPr>
      </w:pPr>
    </w:p>
    <w:p>
      <w:pPr>
        <w:widowControl/>
        <w:jc w:val="left"/>
        <w:rPr>
          <w:rFonts w:ascii="仿宋_GB2312" w:eastAsia="仿宋_GB2312"/>
          <w:b/>
          <w:color w:val="FF0000"/>
          <w:sz w:val="30"/>
          <w:szCs w:val="30"/>
        </w:rPr>
      </w:pPr>
    </w:p>
    <w:p>
      <w:pPr>
        <w:widowControl/>
        <w:jc w:val="left"/>
        <w:rPr>
          <w:rFonts w:ascii="仿宋_GB2312" w:eastAsia="仿宋_GB2312"/>
          <w:b/>
          <w:color w:val="FF0000"/>
          <w:sz w:val="30"/>
          <w:szCs w:val="30"/>
        </w:rPr>
      </w:pPr>
    </w:p>
    <w:p>
      <w:pPr>
        <w:widowControl/>
        <w:jc w:val="left"/>
        <w:rPr>
          <w:rFonts w:ascii="仿宋_GB2312" w:eastAsia="仿宋_GB2312"/>
          <w:b/>
          <w:color w:val="FF0000"/>
          <w:sz w:val="30"/>
          <w:szCs w:val="30"/>
        </w:rPr>
      </w:pPr>
    </w:p>
    <w:p>
      <w:pPr>
        <w:widowControl/>
        <w:jc w:val="left"/>
        <w:rPr>
          <w:rFonts w:ascii="仿宋_GB2312" w:eastAsia="仿宋_GB2312"/>
          <w:b/>
          <w:color w:val="FF0000"/>
          <w:sz w:val="30"/>
          <w:szCs w:val="30"/>
        </w:rPr>
      </w:pPr>
    </w:p>
    <w:p>
      <w:pPr>
        <w:widowControl/>
        <w:jc w:val="left"/>
        <w:rPr>
          <w:rFonts w:ascii="仿宋_GB2312" w:eastAsia="仿宋_GB2312"/>
          <w:b/>
          <w:color w:val="FF0000"/>
          <w:sz w:val="30"/>
          <w:szCs w:val="30"/>
        </w:rPr>
      </w:pPr>
    </w:p>
    <w:p>
      <w:pPr>
        <w:widowControl/>
        <w:jc w:val="left"/>
        <w:rPr>
          <w:rFonts w:ascii="仿宋_GB2312" w:eastAsia="仿宋_GB2312"/>
          <w:b/>
          <w:color w:val="FF0000"/>
          <w:sz w:val="30"/>
          <w:szCs w:val="30"/>
        </w:rPr>
      </w:pPr>
    </w:p>
    <w:p>
      <w:pPr>
        <w:widowControl/>
        <w:jc w:val="left"/>
        <w:rPr>
          <w:rFonts w:ascii="仿宋_GB2312" w:eastAsia="仿宋_GB2312"/>
          <w:b/>
          <w:color w:val="FF0000"/>
          <w:sz w:val="30"/>
          <w:szCs w:val="30"/>
        </w:rPr>
      </w:pPr>
    </w:p>
    <w:p>
      <w:pPr>
        <w:widowControl/>
        <w:jc w:val="left"/>
        <w:rPr>
          <w:rFonts w:ascii="仿宋_GB2312" w:eastAsia="仿宋_GB2312"/>
          <w:b/>
          <w:color w:val="FF0000"/>
          <w:sz w:val="30"/>
          <w:szCs w:val="30"/>
        </w:rPr>
      </w:pPr>
    </w:p>
    <w:p>
      <w:pPr>
        <w:widowControl/>
        <w:jc w:val="left"/>
        <w:rPr>
          <w:rFonts w:ascii="仿宋_GB2312" w:eastAsia="仿宋_GB2312"/>
          <w:b/>
          <w:color w:val="FF0000"/>
          <w:sz w:val="30"/>
          <w:szCs w:val="30"/>
        </w:rPr>
      </w:pPr>
    </w:p>
    <w:p>
      <w:pPr>
        <w:rPr>
          <w:rFonts w:ascii="仿宋_GB2312" w:eastAsia="仿宋_GB2312"/>
          <w:b/>
          <w:color w:val="FF0000"/>
          <w:sz w:val="30"/>
          <w:szCs w:val="30"/>
        </w:rPr>
      </w:pPr>
      <w:r>
        <w:rPr>
          <w:rFonts w:hint="eastAsia" w:ascii="仿宋_GB2312" w:eastAsia="仿宋_GB2312"/>
          <w:b/>
          <w:color w:val="FF0000"/>
          <w:sz w:val="30"/>
          <w:szCs w:val="30"/>
        </w:rPr>
        <w:t>投标文件第一部分：</w:t>
      </w:r>
    </w:p>
    <w:p>
      <w:pPr>
        <w:pStyle w:val="3"/>
        <w:jc w:val="center"/>
        <w:rPr>
          <w:rFonts w:ascii="黑体" w:eastAsia="黑体"/>
          <w:b w:val="0"/>
          <w:kern w:val="0"/>
          <w:sz w:val="24"/>
        </w:rPr>
      </w:pPr>
      <w:r>
        <w:rPr>
          <w:rFonts w:hint="eastAsia" w:ascii="黑体" w:eastAsia="黑体"/>
          <w:b w:val="0"/>
          <w:kern w:val="0"/>
          <w:sz w:val="24"/>
        </w:rPr>
        <w:t>一、投标一览表</w:t>
      </w:r>
    </w:p>
    <w:p>
      <w:pPr>
        <w:rPr>
          <w:sz w:val="24"/>
        </w:rPr>
      </w:pPr>
    </w:p>
    <w:p>
      <w:pPr>
        <w:spacing w:line="360" w:lineRule="auto"/>
        <w:rPr>
          <w:szCs w:val="21"/>
        </w:rPr>
      </w:pPr>
      <w:r>
        <w:rPr>
          <w:rFonts w:hint="eastAsia"/>
          <w:szCs w:val="21"/>
        </w:rPr>
        <w:t>投标人名称：_________________ （公章）</w:t>
      </w:r>
    </w:p>
    <w:p>
      <w:pPr>
        <w:spacing w:line="360" w:lineRule="auto"/>
        <w:rPr>
          <w:szCs w:val="21"/>
          <w:u w:val="single"/>
        </w:rPr>
      </w:pPr>
      <w:r>
        <w:rPr>
          <w:rFonts w:hint="eastAsia"/>
          <w:szCs w:val="21"/>
        </w:rPr>
        <w:t xml:space="preserve">项目编号/包号：_______________ </w:t>
      </w:r>
    </w:p>
    <w:p>
      <w:pPr>
        <w:spacing w:line="360" w:lineRule="auto"/>
        <w:rPr>
          <w:szCs w:val="21"/>
          <w:u w:val="single"/>
        </w:rPr>
      </w:pPr>
    </w:p>
    <w:tbl>
      <w:tblPr>
        <w:tblStyle w:val="54"/>
        <w:tblW w:w="8028" w:type="dxa"/>
        <w:tblInd w:w="0" w:type="dxa"/>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88"/>
        <w:gridCol w:w="1980"/>
        <w:gridCol w:w="1440"/>
        <w:gridCol w:w="1620"/>
      </w:tblGrid>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atLeast"/>
        </w:trPr>
        <w:tc>
          <w:tcPr>
            <w:tcW w:w="2988" w:type="dxa"/>
            <w:tcBorders>
              <w:top w:val="double" w:color="auto" w:sz="4" w:space="0"/>
              <w:bottom w:val="single" w:color="auto" w:sz="4" w:space="0"/>
            </w:tcBorders>
            <w:vAlign w:val="center"/>
          </w:tcPr>
          <w:p>
            <w:pPr>
              <w:spacing w:line="360" w:lineRule="auto"/>
              <w:rPr>
                <w:szCs w:val="21"/>
              </w:rPr>
            </w:pPr>
            <w:r>
              <w:rPr>
                <w:rFonts w:hint="eastAsia"/>
                <w:szCs w:val="21"/>
              </w:rPr>
              <w:t>项目名称</w:t>
            </w:r>
          </w:p>
        </w:tc>
        <w:tc>
          <w:tcPr>
            <w:tcW w:w="1980" w:type="dxa"/>
            <w:tcBorders>
              <w:top w:val="double" w:color="auto" w:sz="4" w:space="0"/>
              <w:bottom w:val="single" w:color="auto" w:sz="4" w:space="0"/>
            </w:tcBorders>
            <w:vAlign w:val="center"/>
          </w:tcPr>
          <w:p>
            <w:pPr>
              <w:spacing w:line="360" w:lineRule="auto"/>
              <w:rPr>
                <w:szCs w:val="21"/>
              </w:rPr>
            </w:pPr>
            <w:r>
              <w:rPr>
                <w:rFonts w:hint="eastAsia"/>
                <w:szCs w:val="21"/>
              </w:rPr>
              <w:t>投标总价（元/人民币）</w:t>
            </w:r>
          </w:p>
        </w:tc>
        <w:tc>
          <w:tcPr>
            <w:tcW w:w="1440" w:type="dxa"/>
            <w:tcBorders>
              <w:top w:val="double" w:color="auto" w:sz="4" w:space="0"/>
              <w:bottom w:val="single" w:color="auto" w:sz="4" w:space="0"/>
            </w:tcBorders>
            <w:vAlign w:val="center"/>
          </w:tcPr>
          <w:p>
            <w:pPr>
              <w:spacing w:line="360" w:lineRule="auto"/>
              <w:rPr>
                <w:szCs w:val="21"/>
              </w:rPr>
            </w:pPr>
            <w:r>
              <w:rPr>
                <w:rFonts w:hint="eastAsia"/>
                <w:szCs w:val="21"/>
              </w:rPr>
              <w:t>服务期限（天）</w:t>
            </w:r>
          </w:p>
        </w:tc>
        <w:tc>
          <w:tcPr>
            <w:tcW w:w="1620" w:type="dxa"/>
            <w:tcBorders>
              <w:top w:val="double" w:color="auto" w:sz="4" w:space="0"/>
              <w:bottom w:val="single" w:color="auto" w:sz="4" w:space="0"/>
            </w:tcBorders>
            <w:vAlign w:val="center"/>
          </w:tcPr>
          <w:p>
            <w:pPr>
              <w:spacing w:line="360" w:lineRule="auto"/>
              <w:rPr>
                <w:szCs w:val="21"/>
              </w:rPr>
            </w:pPr>
            <w:r>
              <w:rPr>
                <w:rFonts w:hint="eastAsia"/>
                <w:szCs w:val="21"/>
              </w:rPr>
              <w:t>备注</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738" w:hRule="atLeast"/>
        </w:trPr>
        <w:tc>
          <w:tcPr>
            <w:tcW w:w="2988" w:type="dxa"/>
            <w:tcBorders>
              <w:top w:val="single" w:color="auto" w:sz="4" w:space="0"/>
            </w:tcBorders>
            <w:vAlign w:val="center"/>
          </w:tcPr>
          <w:p>
            <w:pPr>
              <w:spacing w:line="360" w:lineRule="auto"/>
              <w:rPr>
                <w:szCs w:val="21"/>
                <w:u w:val="single"/>
              </w:rPr>
            </w:pPr>
            <w:r>
              <w:rPr>
                <w:rFonts w:hint="eastAsia"/>
                <w:szCs w:val="21"/>
                <w:u w:val="single"/>
              </w:rPr>
              <w:t xml:space="preserve">                   </w:t>
            </w:r>
            <w:r>
              <w:rPr>
                <w:rFonts w:hint="eastAsia"/>
                <w:szCs w:val="21"/>
              </w:rPr>
              <w:t>项目</w:t>
            </w:r>
          </w:p>
        </w:tc>
        <w:tc>
          <w:tcPr>
            <w:tcW w:w="1980" w:type="dxa"/>
            <w:tcBorders>
              <w:top w:val="single" w:color="auto" w:sz="4" w:space="0"/>
            </w:tcBorders>
            <w:vAlign w:val="center"/>
          </w:tcPr>
          <w:p>
            <w:pPr>
              <w:spacing w:line="360" w:lineRule="auto"/>
              <w:rPr>
                <w:szCs w:val="21"/>
              </w:rPr>
            </w:pPr>
            <w:r>
              <w:rPr>
                <w:rFonts w:hint="eastAsia"/>
                <w:szCs w:val="21"/>
              </w:rPr>
              <w:t>大写：</w:t>
            </w:r>
          </w:p>
          <w:p>
            <w:pPr>
              <w:spacing w:line="360" w:lineRule="auto"/>
              <w:rPr>
                <w:szCs w:val="21"/>
              </w:rPr>
            </w:pPr>
            <w:r>
              <w:rPr>
                <w:rFonts w:hint="eastAsia"/>
                <w:szCs w:val="21"/>
              </w:rPr>
              <w:t>小写：</w:t>
            </w:r>
          </w:p>
        </w:tc>
        <w:tc>
          <w:tcPr>
            <w:tcW w:w="1440" w:type="dxa"/>
            <w:tcBorders>
              <w:top w:val="single" w:color="auto" w:sz="4" w:space="0"/>
            </w:tcBorders>
            <w:vAlign w:val="center"/>
          </w:tcPr>
          <w:p>
            <w:pPr>
              <w:spacing w:line="360" w:lineRule="auto"/>
              <w:rPr>
                <w:szCs w:val="21"/>
              </w:rPr>
            </w:pPr>
          </w:p>
        </w:tc>
        <w:tc>
          <w:tcPr>
            <w:tcW w:w="1620" w:type="dxa"/>
            <w:tcBorders>
              <w:top w:val="single" w:color="auto" w:sz="4" w:space="0"/>
            </w:tcBorders>
            <w:vAlign w:val="center"/>
          </w:tcPr>
          <w:p>
            <w:pPr>
              <w:spacing w:line="360" w:lineRule="auto"/>
              <w:rPr>
                <w:szCs w:val="21"/>
              </w:rPr>
            </w:pPr>
          </w:p>
        </w:tc>
      </w:tr>
    </w:tbl>
    <w:p>
      <w:pPr>
        <w:spacing w:line="360" w:lineRule="auto"/>
        <w:rPr>
          <w:szCs w:val="21"/>
        </w:rPr>
      </w:pPr>
    </w:p>
    <w:p>
      <w:pPr>
        <w:spacing w:line="360" w:lineRule="auto"/>
        <w:rPr>
          <w:szCs w:val="21"/>
        </w:rPr>
      </w:pPr>
      <w:r>
        <w:rPr>
          <w:rFonts w:hint="eastAsia"/>
          <w:szCs w:val="21"/>
        </w:rPr>
        <w:t>注：1、价格应按“招标文件”中规定的货币单位填写。</w:t>
      </w:r>
    </w:p>
    <w:p>
      <w:pPr>
        <w:spacing w:line="360" w:lineRule="auto"/>
        <w:rPr>
          <w:szCs w:val="21"/>
        </w:rPr>
      </w:pPr>
      <w:r>
        <w:rPr>
          <w:rFonts w:hint="eastAsia"/>
          <w:szCs w:val="21"/>
        </w:rPr>
        <w:t>2、本项目服务期限要求为x年，即xxx个日历日。</w:t>
      </w:r>
    </w:p>
    <w:p>
      <w:pPr>
        <w:spacing w:line="360" w:lineRule="auto"/>
        <w:rPr>
          <w:szCs w:val="21"/>
        </w:rPr>
      </w:pPr>
      <w:r>
        <w:rPr>
          <w:rFonts w:hint="eastAsia"/>
          <w:szCs w:val="21"/>
        </w:rPr>
        <w:t>3、投标人如果需要对报价或其它内容加以说明，可在备注栏填写。</w:t>
      </w:r>
    </w:p>
    <w:p>
      <w:pPr>
        <w:spacing w:line="360" w:lineRule="auto"/>
        <w:rPr>
          <w:szCs w:val="21"/>
        </w:rPr>
      </w:pPr>
      <w:r>
        <w:rPr>
          <w:rFonts w:hint="eastAsia"/>
          <w:szCs w:val="21"/>
        </w:rPr>
        <w:t>4、此表应再单独密封提交。</w:t>
      </w:r>
    </w:p>
    <w:p>
      <w:pPr>
        <w:spacing w:line="360" w:lineRule="auto"/>
        <w:rPr>
          <w:szCs w:val="21"/>
        </w:rPr>
      </w:pPr>
    </w:p>
    <w:p>
      <w:pPr>
        <w:spacing w:line="360" w:lineRule="auto"/>
        <w:rPr>
          <w:szCs w:val="21"/>
        </w:rPr>
      </w:pPr>
    </w:p>
    <w:p>
      <w:pPr>
        <w:spacing w:line="360" w:lineRule="auto"/>
        <w:rPr>
          <w:szCs w:val="21"/>
        </w:rPr>
      </w:pPr>
      <w:r>
        <w:rPr>
          <w:rFonts w:hint="eastAsia"/>
          <w:szCs w:val="21"/>
        </w:rPr>
        <w:t>投标人代表签字：____________________    日期：   年   月   日</w:t>
      </w:r>
    </w:p>
    <w:p>
      <w:pPr>
        <w:rPr>
          <w:rFonts w:ascii="宋体" w:hAnsi="宋体"/>
          <w:sz w:val="24"/>
        </w:rPr>
      </w:pPr>
      <w:r>
        <w:rPr>
          <w:szCs w:val="21"/>
        </w:rPr>
        <w:br w:type="page"/>
      </w:r>
    </w:p>
    <w:p>
      <w:pPr>
        <w:pStyle w:val="3"/>
        <w:jc w:val="center"/>
        <w:rPr>
          <w:rFonts w:ascii="黑体" w:eastAsia="黑体"/>
          <w:b w:val="0"/>
          <w:kern w:val="0"/>
          <w:sz w:val="24"/>
        </w:rPr>
      </w:pPr>
      <w:r>
        <w:rPr>
          <w:rFonts w:hint="eastAsia" w:ascii="黑体" w:eastAsia="黑体"/>
          <w:b w:val="0"/>
          <w:kern w:val="0"/>
          <w:sz w:val="24"/>
        </w:rPr>
        <w:t>二、法定代表人资格证明书</w:t>
      </w:r>
    </w:p>
    <w:p>
      <w:pPr>
        <w:rPr>
          <w:sz w:val="24"/>
        </w:rPr>
      </w:pPr>
    </w:p>
    <w:p>
      <w:pPr>
        <w:spacing w:line="360" w:lineRule="auto"/>
        <w:rPr>
          <w:szCs w:val="21"/>
        </w:rPr>
      </w:pPr>
      <w:r>
        <w:rPr>
          <w:rFonts w:hint="eastAsia"/>
          <w:szCs w:val="21"/>
        </w:rPr>
        <w:t xml:space="preserve">   </w:t>
      </w:r>
      <w:r>
        <w:rPr>
          <w:rFonts w:hint="eastAsia"/>
          <w:szCs w:val="21"/>
          <w:u w:val="single"/>
        </w:rPr>
        <w:t xml:space="preserve">         </w:t>
      </w:r>
      <w:r>
        <w:rPr>
          <w:rFonts w:hint="eastAsia"/>
          <w:szCs w:val="21"/>
        </w:rPr>
        <w:t>，现任我单位</w:t>
      </w:r>
      <w:r>
        <w:rPr>
          <w:rFonts w:hint="eastAsia"/>
          <w:szCs w:val="21"/>
          <w:u w:val="single"/>
        </w:rPr>
        <w:t xml:space="preserve">         </w:t>
      </w:r>
      <w:r>
        <w:rPr>
          <w:rFonts w:hint="eastAsia"/>
          <w:szCs w:val="21"/>
        </w:rPr>
        <w:t>职务，为法定代表人，特此证明。</w:t>
      </w:r>
    </w:p>
    <w:p>
      <w:pPr>
        <w:spacing w:line="360" w:lineRule="auto"/>
        <w:rPr>
          <w:szCs w:val="21"/>
        </w:rPr>
      </w:pPr>
      <w:r>
        <w:rPr>
          <w:rFonts w:hint="eastAsia"/>
          <w:szCs w:val="21"/>
        </w:rPr>
        <w:t>有效日期：         签发日期：         单位：                      （公章）</w:t>
      </w:r>
    </w:p>
    <w:p>
      <w:pPr>
        <w:spacing w:line="360" w:lineRule="auto"/>
        <w:rPr>
          <w:szCs w:val="21"/>
        </w:rPr>
      </w:pPr>
      <w:r>
        <w:rPr>
          <w:rFonts w:hint="eastAsia"/>
          <w:szCs w:val="21"/>
        </w:rPr>
        <w:t>附：</w:t>
      </w:r>
    </w:p>
    <w:p>
      <w:pPr>
        <w:spacing w:line="360" w:lineRule="auto"/>
        <w:rPr>
          <w:szCs w:val="21"/>
        </w:rPr>
      </w:pPr>
      <w:r>
        <w:rPr>
          <w:rFonts w:hint="eastAsia"/>
          <w:szCs w:val="21"/>
        </w:rPr>
        <w:t xml:space="preserve">营业执照号码：                </w:t>
      </w:r>
    </w:p>
    <w:p>
      <w:pPr>
        <w:spacing w:line="360" w:lineRule="auto"/>
        <w:rPr>
          <w:szCs w:val="21"/>
        </w:rPr>
      </w:pPr>
      <w:r>
        <w:rPr>
          <w:rFonts w:hint="eastAsia"/>
          <w:szCs w:val="21"/>
        </w:rPr>
        <w:t>主营：</w:t>
      </w:r>
    </w:p>
    <w:p>
      <w:pPr>
        <w:spacing w:line="360" w:lineRule="auto"/>
        <w:rPr>
          <w:szCs w:val="21"/>
        </w:rPr>
      </w:pPr>
      <w:r>
        <w:rPr>
          <w:rFonts w:hint="eastAsia"/>
          <w:szCs w:val="21"/>
        </w:rPr>
        <w:t>兼营：</w:t>
      </w:r>
    </w:p>
    <w:p>
      <w:pPr>
        <w:spacing w:line="360" w:lineRule="auto"/>
        <w:ind w:firstLine="420" w:firstLineChars="200"/>
        <w:rPr>
          <w:szCs w:val="21"/>
        </w:rPr>
      </w:pPr>
      <w:r>
        <w:rPr>
          <w:rFonts w:hint="eastAsia"/>
          <w:szCs w:val="21"/>
        </w:rPr>
        <w:t>说明：</w:t>
      </w:r>
    </w:p>
    <w:p>
      <w:pPr>
        <w:spacing w:line="360" w:lineRule="auto"/>
        <w:ind w:firstLine="525" w:firstLineChars="250"/>
        <w:rPr>
          <w:szCs w:val="21"/>
        </w:rPr>
      </w:pPr>
      <w:r>
        <w:rPr>
          <w:rFonts w:hint="eastAsia"/>
          <w:szCs w:val="21"/>
        </w:rPr>
        <w:t>1、法定代表人为企业事业单位、国家机关、社会团体的主要行政负责人。</w:t>
      </w:r>
    </w:p>
    <w:p>
      <w:pPr>
        <w:rPr>
          <w:szCs w:val="21"/>
        </w:rPr>
      </w:pPr>
      <w:r>
        <w:rPr>
          <w:rFonts w:hint="eastAsia"/>
          <w:szCs w:val="21"/>
        </w:rPr>
        <w:t xml:space="preserve">     2、内容必须填写真实、清楚，涂改无效，不得转让、买卖。</w:t>
      </w:r>
    </w:p>
    <w:p>
      <w:pPr>
        <w:rPr>
          <w:sz w:val="24"/>
        </w:rPr>
      </w:pPr>
    </w:p>
    <w:p>
      <w:pPr>
        <w:rPr>
          <w:b/>
          <w:bCs/>
          <w:sz w:val="24"/>
        </w:rPr>
      </w:pPr>
    </w:p>
    <w:p>
      <w:pPr>
        <w:rPr>
          <w:b/>
          <w:bCs/>
          <w:sz w:val="24"/>
        </w:rPr>
      </w:pPr>
    </w:p>
    <w:p>
      <w:pPr>
        <w:rPr>
          <w:b/>
          <w:bCs/>
          <w:sz w:val="24"/>
        </w:rPr>
      </w:pPr>
    </w:p>
    <w:p>
      <w:pPr>
        <w:pStyle w:val="3"/>
        <w:spacing w:before="120" w:after="120"/>
        <w:jc w:val="center"/>
        <w:rPr>
          <w:rFonts w:ascii="黑体" w:eastAsia="黑体"/>
          <w:b w:val="0"/>
          <w:kern w:val="0"/>
          <w:sz w:val="24"/>
        </w:rPr>
      </w:pPr>
      <w:r>
        <w:rPr>
          <w:rFonts w:hint="eastAsia" w:ascii="黑体" w:eastAsia="黑体"/>
          <w:b w:val="0"/>
          <w:kern w:val="0"/>
          <w:sz w:val="24"/>
        </w:rPr>
        <w:t>三、投标文件签署授权委托书</w:t>
      </w:r>
    </w:p>
    <w:p>
      <w:pPr>
        <w:spacing w:line="360" w:lineRule="auto"/>
        <w:ind w:firstLine="420" w:firstLineChars="200"/>
        <w:rPr>
          <w:szCs w:val="21"/>
        </w:rPr>
      </w:pPr>
      <w:r>
        <w:rPr>
          <w:rFonts w:hint="eastAsia"/>
          <w:szCs w:val="21"/>
        </w:rPr>
        <w:t>本授权委托书声明：我</w:t>
      </w:r>
      <w:r>
        <w:rPr>
          <w:rFonts w:hint="eastAsia"/>
          <w:szCs w:val="21"/>
          <w:u w:val="single"/>
        </w:rPr>
        <w:t xml:space="preserve">           </w:t>
      </w:r>
      <w:r>
        <w:rPr>
          <w:rFonts w:hint="eastAsia"/>
          <w:szCs w:val="21"/>
        </w:rPr>
        <w:t>（姓名）系</w:t>
      </w:r>
      <w:r>
        <w:rPr>
          <w:rFonts w:hint="eastAsia"/>
          <w:szCs w:val="21"/>
          <w:u w:val="single"/>
        </w:rPr>
        <w:t xml:space="preserve">             </w:t>
      </w:r>
      <w:r>
        <w:rPr>
          <w:rFonts w:hint="eastAsia"/>
          <w:szCs w:val="21"/>
        </w:rPr>
        <w:t>（投标人名称）的法定代表人，现授权委托</w:t>
      </w:r>
      <w:r>
        <w:rPr>
          <w:rFonts w:hint="eastAsia"/>
          <w:szCs w:val="21"/>
          <w:u w:val="single"/>
        </w:rPr>
        <w:t xml:space="preserve">                     </w:t>
      </w:r>
      <w:r>
        <w:rPr>
          <w:rFonts w:hint="eastAsia"/>
          <w:szCs w:val="21"/>
        </w:rPr>
        <w:t>（单位名称）的</w:t>
      </w:r>
      <w:r>
        <w:rPr>
          <w:rFonts w:hint="eastAsia"/>
          <w:szCs w:val="21"/>
          <w:u w:val="single"/>
        </w:rPr>
        <w:t xml:space="preserve">            </w:t>
      </w:r>
      <w:r>
        <w:rPr>
          <w:rFonts w:hint="eastAsia"/>
          <w:szCs w:val="21"/>
        </w:rPr>
        <w:t>（姓名）为我公司签署本项目已递交的投标文件的法定代表人的授权委托代理人，代理人全权代表我所签署的本项目已递交的投标文件内容我均承认。</w:t>
      </w:r>
    </w:p>
    <w:p>
      <w:pPr>
        <w:pStyle w:val="7"/>
        <w:spacing w:line="360" w:lineRule="auto"/>
        <w:rPr>
          <w:szCs w:val="21"/>
        </w:rPr>
      </w:pPr>
      <w:r>
        <w:rPr>
          <w:rFonts w:hint="eastAsia"/>
          <w:szCs w:val="21"/>
        </w:rPr>
        <w:t>代理人无转委托权，特此委托。</w:t>
      </w:r>
    </w:p>
    <w:p>
      <w:pPr>
        <w:rPr>
          <w:szCs w:val="21"/>
        </w:rPr>
      </w:pPr>
    </w:p>
    <w:p>
      <w:pPr>
        <w:spacing w:line="360" w:lineRule="auto"/>
        <w:ind w:left="540" w:leftChars="257"/>
        <w:rPr>
          <w:szCs w:val="21"/>
          <w:u w:val="single"/>
        </w:rPr>
      </w:pPr>
      <w:r>
        <w:rPr>
          <w:rFonts w:hint="eastAsia"/>
          <w:szCs w:val="21"/>
        </w:rPr>
        <w:t>代理人：</w:t>
      </w:r>
      <w:r>
        <w:rPr>
          <w:rFonts w:hint="eastAsia"/>
          <w:szCs w:val="21"/>
          <w:u w:val="single"/>
        </w:rPr>
        <w:t xml:space="preserve">             </w:t>
      </w:r>
    </w:p>
    <w:p>
      <w:pPr>
        <w:spacing w:line="360" w:lineRule="auto"/>
        <w:ind w:left="540" w:leftChars="257"/>
        <w:rPr>
          <w:szCs w:val="21"/>
          <w:u w:val="single"/>
        </w:rPr>
      </w:pPr>
      <w:r>
        <w:rPr>
          <w:rFonts w:hint="eastAsia"/>
          <w:szCs w:val="21"/>
        </w:rPr>
        <w:t>投标人：</w:t>
      </w:r>
      <w:r>
        <w:rPr>
          <w:rFonts w:hint="eastAsia"/>
          <w:szCs w:val="21"/>
          <w:u w:val="single"/>
        </w:rPr>
        <w:t xml:space="preserve">                                         </w:t>
      </w:r>
    </w:p>
    <w:p>
      <w:pPr>
        <w:spacing w:line="360" w:lineRule="auto"/>
        <w:ind w:left="540" w:leftChars="257"/>
        <w:rPr>
          <w:szCs w:val="21"/>
        </w:rPr>
      </w:pPr>
      <w:r>
        <w:rPr>
          <w:rFonts w:hint="eastAsia"/>
          <w:szCs w:val="21"/>
        </w:rPr>
        <w:t>法定代表人：</w:t>
      </w:r>
      <w:r>
        <w:rPr>
          <w:rFonts w:hint="eastAsia"/>
          <w:szCs w:val="21"/>
          <w:u w:val="single"/>
        </w:rPr>
        <w:t xml:space="preserve">                     </w:t>
      </w:r>
      <w:r>
        <w:rPr>
          <w:rFonts w:hint="eastAsia"/>
          <w:szCs w:val="21"/>
        </w:rPr>
        <w:t>（签字或</w:t>
      </w:r>
      <w:r>
        <w:rPr>
          <w:szCs w:val="21"/>
        </w:rPr>
        <w:t>签章</w:t>
      </w:r>
      <w:r>
        <w:rPr>
          <w:rFonts w:hint="eastAsia"/>
          <w:szCs w:val="21"/>
        </w:rPr>
        <w:t>）（公章）</w:t>
      </w:r>
    </w:p>
    <w:p>
      <w:pPr>
        <w:spacing w:line="360" w:lineRule="auto"/>
        <w:ind w:left="540" w:leftChars="257"/>
        <w:rPr>
          <w:szCs w:val="21"/>
        </w:rPr>
      </w:pPr>
      <w:r>
        <w:rPr>
          <w:rFonts w:hint="eastAsia"/>
          <w:szCs w:val="21"/>
        </w:rPr>
        <w:t>授权委托日期：</w:t>
      </w:r>
      <w:r>
        <w:rPr>
          <w:rFonts w:hint="eastAsia"/>
          <w:szCs w:val="21"/>
          <w:u w:val="single"/>
        </w:rPr>
        <w:t xml:space="preserve">         </w:t>
      </w:r>
      <w:r>
        <w:rPr>
          <w:rFonts w:hint="eastAsia"/>
          <w:szCs w:val="21"/>
        </w:rPr>
        <w:t>年</w:t>
      </w:r>
      <w:r>
        <w:rPr>
          <w:rFonts w:hint="eastAsia"/>
          <w:szCs w:val="21"/>
          <w:u w:val="single"/>
        </w:rPr>
        <w:t xml:space="preserve">     </w:t>
      </w:r>
      <w:r>
        <w:rPr>
          <w:rFonts w:hint="eastAsia"/>
          <w:szCs w:val="21"/>
        </w:rPr>
        <w:t xml:space="preserve">月 </w:t>
      </w:r>
      <w:r>
        <w:rPr>
          <w:rFonts w:hint="eastAsia"/>
          <w:szCs w:val="21"/>
          <w:u w:val="single"/>
        </w:rPr>
        <w:t xml:space="preserve">      </w:t>
      </w:r>
      <w:r>
        <w:rPr>
          <w:rFonts w:hint="eastAsia"/>
          <w:szCs w:val="21"/>
        </w:rPr>
        <w:t>日</w:t>
      </w:r>
    </w:p>
    <w:p>
      <w:pPr>
        <w:spacing w:line="360" w:lineRule="auto"/>
        <w:ind w:left="540" w:leftChars="257"/>
        <w:rPr>
          <w:szCs w:val="21"/>
        </w:rPr>
      </w:pPr>
    </w:p>
    <w:p>
      <w:pPr>
        <w:rPr>
          <w:kern w:val="0"/>
        </w:rPr>
      </w:pPr>
      <w:r>
        <w:rPr>
          <w:kern w:val="0"/>
        </w:rPr>
        <w:br w:type="page"/>
      </w:r>
    </w:p>
    <w:p>
      <w:pPr>
        <w:pStyle w:val="3"/>
        <w:jc w:val="center"/>
        <w:rPr>
          <w:rFonts w:ascii="黑体" w:eastAsia="黑体"/>
          <w:b w:val="0"/>
          <w:kern w:val="0"/>
          <w:sz w:val="24"/>
        </w:rPr>
      </w:pPr>
      <w:r>
        <w:rPr>
          <w:rFonts w:hint="eastAsia" w:ascii="黑体" w:eastAsia="黑体"/>
          <w:b w:val="0"/>
          <w:kern w:val="0"/>
          <w:sz w:val="24"/>
        </w:rPr>
        <w:t>四、投标函</w:t>
      </w:r>
    </w:p>
    <w:p>
      <w:pPr>
        <w:spacing w:line="360" w:lineRule="auto"/>
        <w:rPr>
          <w:rFonts w:ascii="宋体" w:hAnsi="宋体"/>
          <w:szCs w:val="21"/>
        </w:rPr>
      </w:pPr>
      <w:r>
        <w:rPr>
          <w:rFonts w:hint="eastAsia" w:ascii="宋体" w:hAnsi="宋体"/>
          <w:szCs w:val="21"/>
        </w:rPr>
        <w:t>致：</w:t>
      </w:r>
      <w:r>
        <w:rPr>
          <w:rFonts w:hint="eastAsia" w:ascii="宋体" w:hAnsi="宋体"/>
          <w:szCs w:val="21"/>
          <w:u w:val="single"/>
        </w:rPr>
        <w:t>深圳大学招投标管理中心</w:t>
      </w:r>
    </w:p>
    <w:p>
      <w:pPr>
        <w:spacing w:after="120" w:afterLines="50"/>
        <w:ind w:firstLine="420" w:firstLineChars="200"/>
        <w:rPr>
          <w:szCs w:val="21"/>
        </w:rPr>
      </w:pPr>
      <w:r>
        <w:rPr>
          <w:rFonts w:hint="eastAsia"/>
          <w:szCs w:val="21"/>
        </w:rPr>
        <w:t>1、根据已收到贵方的招标编号为</w:t>
      </w:r>
      <w:r>
        <w:rPr>
          <w:rFonts w:hint="eastAsia"/>
          <w:color w:val="FF0000"/>
          <w:szCs w:val="21"/>
          <w:u w:val="single"/>
        </w:rPr>
        <w:t xml:space="preserve">        </w:t>
      </w:r>
      <w:r>
        <w:rPr>
          <w:rFonts w:hint="eastAsia"/>
          <w:color w:val="FF0000"/>
          <w:szCs w:val="21"/>
        </w:rPr>
        <w:t>的</w:t>
      </w:r>
      <w:r>
        <w:rPr>
          <w:rFonts w:hint="eastAsia"/>
          <w:color w:val="FF0000"/>
          <w:szCs w:val="21"/>
          <w:u w:val="single"/>
        </w:rPr>
        <w:t xml:space="preserve">               </w:t>
      </w:r>
      <w:r>
        <w:rPr>
          <w:rFonts w:hint="eastAsia"/>
          <w:szCs w:val="21"/>
        </w:rPr>
        <w:t>项目的招标文件，遵照《深圳经济特区政府采购条例》和《深圳经济特区政府采购条例实施细则》等有关规定，我单位经研究上述招标文件的专用条款及通用条款后，我方愿以《投标一览表》中填写的投标报价并按招标文件要求承包上述项目并修补其任何缺陷。</w:t>
      </w:r>
    </w:p>
    <w:p>
      <w:pPr>
        <w:spacing w:after="120" w:afterLines="50"/>
        <w:ind w:firstLine="420" w:firstLineChars="200"/>
        <w:rPr>
          <w:szCs w:val="21"/>
        </w:rPr>
      </w:pPr>
      <w:r>
        <w:rPr>
          <w:rFonts w:hint="eastAsia" w:ascii="宋体" w:hAnsi="宋体"/>
          <w:szCs w:val="21"/>
        </w:rPr>
        <w:t>2、</w:t>
      </w:r>
      <w:r>
        <w:rPr>
          <w:rFonts w:hint="eastAsia"/>
          <w:szCs w:val="21"/>
        </w:rPr>
        <w:t>如果我方中标，我方将按照招标文件要求以</w:t>
      </w:r>
      <w:r>
        <w:rPr>
          <w:rFonts w:hint="eastAsia"/>
          <w:szCs w:val="21"/>
          <w:u w:val="single"/>
        </w:rPr>
        <w:t xml:space="preserve">      </w:t>
      </w:r>
      <w:r>
        <w:rPr>
          <w:rFonts w:hint="eastAsia"/>
          <w:szCs w:val="21"/>
        </w:rPr>
        <w:t>形式提交合同价款的</w:t>
      </w:r>
      <w:r>
        <w:rPr>
          <w:rFonts w:hint="eastAsia"/>
          <w:szCs w:val="21"/>
          <w:u w:val="single"/>
        </w:rPr>
        <w:t xml:space="preserve">      </w:t>
      </w:r>
      <w:r>
        <w:rPr>
          <w:rFonts w:hint="eastAsia"/>
          <w:szCs w:val="21"/>
        </w:rPr>
        <w:t>％作为履约担保，共同地和分别地承担责任。</w:t>
      </w:r>
    </w:p>
    <w:p>
      <w:pPr>
        <w:spacing w:after="120" w:afterLines="50"/>
        <w:ind w:firstLine="411" w:firstLineChars="196"/>
        <w:rPr>
          <w:rFonts w:ascii="宋体" w:hAnsi="宋体"/>
          <w:szCs w:val="21"/>
        </w:rPr>
      </w:pPr>
      <w:r>
        <w:rPr>
          <w:rFonts w:hint="eastAsia" w:ascii="宋体" w:hAnsi="宋体"/>
          <w:szCs w:val="21"/>
        </w:rPr>
        <w:t>3、我方同意所递交的投标文件在“对通用条款的补充内容”中的投标有效期内有效，在此期间内我方的投标有可能中标，我方将受此约束。</w:t>
      </w:r>
    </w:p>
    <w:p>
      <w:pPr>
        <w:spacing w:after="120" w:afterLines="50"/>
        <w:ind w:firstLine="411" w:firstLineChars="196"/>
        <w:rPr>
          <w:rFonts w:ascii="宋体" w:hAnsi="宋体"/>
          <w:szCs w:val="21"/>
        </w:rPr>
      </w:pPr>
      <w:r>
        <w:rPr>
          <w:rFonts w:hint="eastAsia" w:ascii="宋体" w:hAnsi="宋体"/>
          <w:szCs w:val="21"/>
        </w:rPr>
        <w:t>4、除非另外达成协议并生效，贵方的中标通知书和本投标文件将构成约束我们双方的合同。</w:t>
      </w:r>
    </w:p>
    <w:p>
      <w:pPr>
        <w:spacing w:after="120" w:afterLines="50"/>
        <w:ind w:firstLine="411" w:firstLineChars="196"/>
        <w:rPr>
          <w:rFonts w:ascii="宋体" w:hAnsi="宋体"/>
          <w:szCs w:val="21"/>
        </w:rPr>
      </w:pPr>
      <w:r>
        <w:rPr>
          <w:rFonts w:hint="eastAsia" w:ascii="宋体" w:hAnsi="宋体"/>
          <w:szCs w:val="21"/>
        </w:rPr>
        <w:t>5、我方理解贵方将不受必须接受你们所收到的最低标价或其它任何投标文件的约束。</w:t>
      </w:r>
    </w:p>
    <w:p>
      <w:pPr>
        <w:ind w:left="540" w:leftChars="257"/>
        <w:rPr>
          <w:szCs w:val="21"/>
        </w:rPr>
      </w:pPr>
      <w:r>
        <w:rPr>
          <w:rFonts w:hint="eastAsia"/>
          <w:szCs w:val="21"/>
        </w:rPr>
        <w:t>投标人：</w:t>
      </w:r>
      <w:r>
        <w:rPr>
          <w:rFonts w:hint="eastAsia"/>
          <w:szCs w:val="21"/>
          <w:u w:val="single"/>
        </w:rPr>
        <w:t xml:space="preserve">                               </w:t>
      </w:r>
      <w:r>
        <w:rPr>
          <w:rFonts w:hint="eastAsia"/>
          <w:szCs w:val="21"/>
        </w:rPr>
        <w:t xml:space="preserve">   （公章） </w:t>
      </w:r>
    </w:p>
    <w:p>
      <w:pPr>
        <w:ind w:left="540" w:leftChars="257"/>
        <w:rPr>
          <w:szCs w:val="21"/>
          <w:u w:val="single"/>
        </w:rPr>
      </w:pPr>
      <w:r>
        <w:rPr>
          <w:rFonts w:hint="eastAsia"/>
          <w:szCs w:val="21"/>
        </w:rPr>
        <w:t>单位地址：</w:t>
      </w:r>
      <w:r>
        <w:rPr>
          <w:rFonts w:hint="eastAsia"/>
          <w:szCs w:val="21"/>
          <w:u w:val="single"/>
        </w:rPr>
        <w:t xml:space="preserve">               </w:t>
      </w:r>
    </w:p>
    <w:p>
      <w:pPr>
        <w:ind w:left="540" w:leftChars="257"/>
        <w:rPr>
          <w:szCs w:val="21"/>
          <w:u w:val="single"/>
        </w:rPr>
      </w:pPr>
      <w:r>
        <w:rPr>
          <w:rFonts w:hint="eastAsia"/>
          <w:szCs w:val="21"/>
        </w:rPr>
        <w:t>法定代表人或其委托代理人：</w:t>
      </w:r>
      <w:r>
        <w:rPr>
          <w:rFonts w:hint="eastAsia"/>
          <w:szCs w:val="21"/>
          <w:u w:val="single"/>
        </w:rPr>
        <w:t xml:space="preserve">           </w:t>
      </w:r>
      <w:r>
        <w:rPr>
          <w:szCs w:val="21"/>
          <w:u w:val="single"/>
        </w:rPr>
        <w:t xml:space="preserve">   </w:t>
      </w:r>
      <w:r>
        <w:rPr>
          <w:rFonts w:hint="eastAsia"/>
          <w:szCs w:val="21"/>
          <w:u w:val="single"/>
        </w:rPr>
        <w:t xml:space="preserve"> （签字</w:t>
      </w:r>
      <w:r>
        <w:rPr>
          <w:szCs w:val="21"/>
          <w:u w:val="single"/>
        </w:rPr>
        <w:t>或签章</w:t>
      </w:r>
      <w:r>
        <w:rPr>
          <w:rFonts w:hint="eastAsia"/>
          <w:szCs w:val="21"/>
          <w:u w:val="single"/>
        </w:rPr>
        <w:t xml:space="preserve">） </w:t>
      </w:r>
    </w:p>
    <w:p>
      <w:pPr>
        <w:ind w:left="540" w:leftChars="257"/>
        <w:rPr>
          <w:szCs w:val="21"/>
          <w:u w:val="single"/>
        </w:rPr>
      </w:pPr>
      <w:r>
        <w:rPr>
          <w:rFonts w:hint="eastAsia"/>
          <w:szCs w:val="21"/>
        </w:rPr>
        <w:t>邮政编码：</w:t>
      </w:r>
      <w:r>
        <w:rPr>
          <w:rFonts w:hint="eastAsia"/>
          <w:szCs w:val="21"/>
          <w:u w:val="single"/>
        </w:rPr>
        <w:t xml:space="preserve">          </w:t>
      </w:r>
      <w:r>
        <w:rPr>
          <w:rFonts w:hint="eastAsia"/>
          <w:szCs w:val="21"/>
        </w:rPr>
        <w:t xml:space="preserve">  电话：</w:t>
      </w:r>
      <w:r>
        <w:rPr>
          <w:rFonts w:hint="eastAsia"/>
          <w:szCs w:val="21"/>
          <w:u w:val="single"/>
        </w:rPr>
        <w:t xml:space="preserve">          </w:t>
      </w:r>
      <w:r>
        <w:rPr>
          <w:rFonts w:hint="eastAsia"/>
          <w:szCs w:val="21"/>
        </w:rPr>
        <w:t xml:space="preserve">  传真：</w:t>
      </w:r>
      <w:r>
        <w:rPr>
          <w:rFonts w:hint="eastAsia"/>
          <w:szCs w:val="21"/>
          <w:u w:val="single"/>
        </w:rPr>
        <w:t xml:space="preserve">            </w:t>
      </w:r>
    </w:p>
    <w:p>
      <w:pPr>
        <w:ind w:left="540" w:leftChars="257"/>
        <w:rPr>
          <w:szCs w:val="21"/>
        </w:rPr>
      </w:pPr>
      <w:r>
        <w:rPr>
          <w:rFonts w:hint="eastAsia"/>
          <w:szCs w:val="21"/>
        </w:rPr>
        <w:t>开户银行名称：</w:t>
      </w:r>
      <w:r>
        <w:rPr>
          <w:rFonts w:hint="eastAsia"/>
          <w:szCs w:val="21"/>
          <w:u w:val="single"/>
        </w:rPr>
        <w:tab/>
      </w:r>
      <w:r>
        <w:rPr>
          <w:rFonts w:hint="eastAsia"/>
          <w:szCs w:val="21"/>
          <w:u w:val="single"/>
        </w:rPr>
        <w:tab/>
      </w:r>
      <w:r>
        <w:rPr>
          <w:rFonts w:hint="eastAsia"/>
          <w:szCs w:val="21"/>
          <w:u w:val="single"/>
        </w:rPr>
        <w:tab/>
      </w:r>
      <w:r>
        <w:rPr>
          <w:rFonts w:hint="eastAsia"/>
          <w:szCs w:val="21"/>
          <w:u w:val="single"/>
        </w:rPr>
        <w:tab/>
      </w:r>
      <w:r>
        <w:rPr>
          <w:rFonts w:hint="eastAsia"/>
          <w:szCs w:val="21"/>
        </w:rPr>
        <w:tab/>
      </w:r>
      <w:r>
        <w:rPr>
          <w:rFonts w:hint="eastAsia"/>
          <w:szCs w:val="21"/>
        </w:rPr>
        <w:t>开户银行帐号：</w:t>
      </w:r>
      <w:r>
        <w:rPr>
          <w:rFonts w:hint="eastAsia"/>
          <w:szCs w:val="21"/>
          <w:u w:val="single"/>
        </w:rPr>
        <w:tab/>
      </w:r>
      <w:r>
        <w:rPr>
          <w:rFonts w:hint="eastAsia"/>
          <w:szCs w:val="21"/>
          <w:u w:val="single"/>
        </w:rPr>
        <w:tab/>
      </w:r>
      <w:r>
        <w:rPr>
          <w:rFonts w:hint="eastAsia"/>
          <w:szCs w:val="21"/>
          <w:u w:val="single"/>
        </w:rPr>
        <w:tab/>
      </w:r>
      <w:r>
        <w:rPr>
          <w:rFonts w:hint="eastAsia"/>
          <w:szCs w:val="21"/>
          <w:u w:val="single"/>
        </w:rPr>
        <w:tab/>
      </w:r>
    </w:p>
    <w:p>
      <w:pPr>
        <w:ind w:left="540" w:leftChars="257"/>
        <w:rPr>
          <w:szCs w:val="21"/>
        </w:rPr>
      </w:pPr>
      <w:r>
        <w:rPr>
          <w:rFonts w:hint="eastAsia"/>
          <w:szCs w:val="21"/>
        </w:rPr>
        <w:t>开户银行地址：</w:t>
      </w:r>
      <w:r>
        <w:rPr>
          <w:rFonts w:hint="eastAsia"/>
          <w:szCs w:val="21"/>
          <w:u w:val="single"/>
        </w:rPr>
        <w:tab/>
      </w:r>
      <w:r>
        <w:rPr>
          <w:rFonts w:hint="eastAsia"/>
          <w:szCs w:val="21"/>
          <w:u w:val="single"/>
        </w:rPr>
        <w:tab/>
      </w:r>
      <w:r>
        <w:rPr>
          <w:rFonts w:hint="eastAsia"/>
          <w:szCs w:val="21"/>
          <w:u w:val="single"/>
        </w:rPr>
        <w:tab/>
      </w:r>
      <w:r>
        <w:rPr>
          <w:rFonts w:hint="eastAsia"/>
          <w:szCs w:val="21"/>
          <w:u w:val="single"/>
        </w:rPr>
        <w:tab/>
      </w:r>
      <w:r>
        <w:rPr>
          <w:rFonts w:hint="eastAsia"/>
          <w:szCs w:val="21"/>
        </w:rPr>
        <w:tab/>
      </w:r>
      <w:r>
        <w:rPr>
          <w:rFonts w:hint="eastAsia"/>
          <w:szCs w:val="21"/>
        </w:rPr>
        <w:t>开户银行电话：</w:t>
      </w:r>
      <w:r>
        <w:rPr>
          <w:rFonts w:hint="eastAsia"/>
          <w:szCs w:val="21"/>
          <w:u w:val="single"/>
        </w:rPr>
        <w:tab/>
      </w:r>
      <w:r>
        <w:rPr>
          <w:rFonts w:hint="eastAsia"/>
          <w:szCs w:val="21"/>
          <w:u w:val="single"/>
        </w:rPr>
        <w:tab/>
      </w:r>
      <w:r>
        <w:rPr>
          <w:rFonts w:hint="eastAsia"/>
          <w:szCs w:val="21"/>
          <w:u w:val="single"/>
        </w:rPr>
        <w:tab/>
      </w:r>
      <w:r>
        <w:rPr>
          <w:rFonts w:hint="eastAsia"/>
          <w:szCs w:val="21"/>
          <w:u w:val="single"/>
        </w:rPr>
        <w:tab/>
      </w:r>
    </w:p>
    <w:p>
      <w:pPr>
        <w:ind w:firstLine="539" w:firstLineChars="257"/>
        <w:rPr>
          <w:sz w:val="24"/>
        </w:rPr>
      </w:pPr>
      <w:r>
        <w:rPr>
          <w:rFonts w:hint="eastAsia" w:ascii="宋体" w:hAnsi="宋体"/>
          <w:szCs w:val="21"/>
        </w:rPr>
        <w:t>日期：</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r>
        <w:rPr>
          <w:rFonts w:hint="eastAsia"/>
          <w:sz w:val="24"/>
        </w:rPr>
        <w:t xml:space="preserve">                                </w:t>
      </w:r>
    </w:p>
    <w:p>
      <w:pPr>
        <w:rPr>
          <w:rFonts w:ascii="黑体" w:hAnsi="宋体" w:eastAsia="黑体"/>
        </w:rPr>
      </w:pPr>
    </w:p>
    <w:p>
      <w:pPr>
        <w:pStyle w:val="3"/>
        <w:jc w:val="center"/>
        <w:rPr>
          <w:rFonts w:ascii="黑体" w:eastAsia="黑体"/>
          <w:b w:val="0"/>
          <w:kern w:val="0"/>
          <w:sz w:val="24"/>
        </w:rPr>
      </w:pPr>
      <w:r>
        <w:rPr>
          <w:rFonts w:hint="eastAsia" w:ascii="黑体" w:eastAsia="黑体"/>
          <w:b w:val="0"/>
          <w:kern w:val="0"/>
          <w:sz w:val="24"/>
        </w:rPr>
        <w:t>五、承诺函</w:t>
      </w:r>
    </w:p>
    <w:p>
      <w:pPr>
        <w:rPr>
          <w:rFonts w:ascii="宋体" w:hAnsi="宋体"/>
          <w:sz w:val="24"/>
        </w:rPr>
      </w:pPr>
    </w:p>
    <w:p>
      <w:pPr>
        <w:rPr>
          <w:rFonts w:ascii="宋体" w:hAnsi="宋体"/>
          <w:szCs w:val="21"/>
        </w:rPr>
      </w:pPr>
      <w:r>
        <w:rPr>
          <w:rFonts w:hint="eastAsia" w:ascii="宋体" w:hAnsi="宋体"/>
          <w:szCs w:val="21"/>
        </w:rPr>
        <w:t>致：</w:t>
      </w:r>
      <w:r>
        <w:rPr>
          <w:rFonts w:hint="eastAsia" w:ascii="宋体" w:hAnsi="宋体"/>
          <w:szCs w:val="21"/>
          <w:u w:val="single"/>
        </w:rPr>
        <w:t>深圳大学招投标管理中心</w:t>
      </w:r>
    </w:p>
    <w:p>
      <w:pPr>
        <w:rPr>
          <w:rFonts w:ascii="宋体" w:hAnsi="宋体"/>
          <w:szCs w:val="21"/>
        </w:rPr>
      </w:pPr>
    </w:p>
    <w:p>
      <w:pPr>
        <w:ind w:firstLine="540"/>
        <w:rPr>
          <w:rFonts w:ascii="宋体" w:hAnsi="宋体"/>
          <w:szCs w:val="21"/>
        </w:rPr>
      </w:pPr>
      <w:r>
        <w:rPr>
          <w:rFonts w:hint="eastAsia" w:ascii="宋体" w:hAnsi="宋体"/>
          <w:szCs w:val="21"/>
        </w:rPr>
        <w:t>我公司承诺：</w:t>
      </w:r>
    </w:p>
    <w:p>
      <w:pPr>
        <w:ind w:firstLine="540"/>
        <w:rPr>
          <w:rFonts w:ascii="宋体" w:hAnsi="宋体"/>
          <w:szCs w:val="21"/>
        </w:rPr>
      </w:pPr>
      <w:r>
        <w:rPr>
          <w:rFonts w:hint="eastAsia" w:ascii="宋体" w:hAnsi="宋体"/>
          <w:szCs w:val="21"/>
        </w:rPr>
        <w:t>1.对本招标项目所提供的货物、工程或服务未侵犯知识产权。我公司已清楚，提供虚假承诺或者被有关单位确认为侵犯知识产权的，三年内不得参加深圳大学采购活动。</w:t>
      </w:r>
    </w:p>
    <w:p>
      <w:pPr>
        <w:ind w:firstLine="540"/>
        <w:rPr>
          <w:rFonts w:ascii="宋体" w:hAnsi="宋体"/>
          <w:color w:val="FF0000"/>
          <w:szCs w:val="21"/>
        </w:rPr>
      </w:pPr>
      <w:r>
        <w:rPr>
          <w:rFonts w:hint="eastAsia" w:ascii="宋体" w:hAnsi="宋体"/>
          <w:color w:val="FF0000"/>
          <w:szCs w:val="21"/>
        </w:rPr>
        <w:t>2.在本项目投标过程中不弄虚作假，不隐瞒真实情况，不围标串标，不恶意质疑投诉。我公司已清楚，如违反上述要求，其投标将作废，被列入不良记录名单并在网上曝光，同时将被提请深圳大学采购监督管理部门给予一定年限内禁止参与深圳大学采购活动或其他处罚。</w:t>
      </w:r>
    </w:p>
    <w:p>
      <w:pPr>
        <w:ind w:firstLine="540"/>
        <w:rPr>
          <w:rFonts w:ascii="宋体" w:hAnsi="宋体"/>
          <w:color w:val="FF0000"/>
          <w:szCs w:val="21"/>
        </w:rPr>
      </w:pPr>
      <w:r>
        <w:rPr>
          <w:rFonts w:hint="eastAsia" w:ascii="宋体" w:hAnsi="宋体"/>
          <w:color w:val="FF0000"/>
          <w:szCs w:val="21"/>
        </w:rPr>
        <w:t>3.在本项目招标过程中，评标委员会若对投标人进行现场勘察或实地考察或检验有关证明材料的原件，我公司将随时做好接受检查的准备。</w:t>
      </w:r>
    </w:p>
    <w:p>
      <w:pPr>
        <w:rPr>
          <w:rFonts w:ascii="宋体" w:hAnsi="宋体"/>
          <w:szCs w:val="21"/>
        </w:rPr>
      </w:pPr>
      <w:r>
        <w:rPr>
          <w:rFonts w:hint="eastAsia" w:ascii="宋体" w:hAnsi="宋体"/>
          <w:szCs w:val="21"/>
        </w:rPr>
        <w:t xml:space="preserve">     </w:t>
      </w:r>
    </w:p>
    <w:p>
      <w:pPr>
        <w:ind w:firstLine="645"/>
        <w:rPr>
          <w:rFonts w:ascii="宋体" w:hAnsi="宋体"/>
          <w:szCs w:val="21"/>
        </w:rPr>
      </w:pPr>
      <w:r>
        <w:rPr>
          <w:rFonts w:hint="eastAsia" w:ascii="宋体" w:hAnsi="宋体"/>
          <w:szCs w:val="21"/>
        </w:rPr>
        <w:t xml:space="preserve">                       公司名称：                         （公章）</w:t>
      </w:r>
    </w:p>
    <w:p>
      <w:pPr>
        <w:ind w:firstLine="645"/>
        <w:rPr>
          <w:rFonts w:ascii="宋体" w:hAnsi="宋体"/>
          <w:szCs w:val="21"/>
        </w:rPr>
      </w:pPr>
    </w:p>
    <w:p>
      <w:pPr>
        <w:pStyle w:val="22"/>
        <w:ind w:firstLine="420" w:firstLineChars="200"/>
        <w:rPr>
          <w:rFonts w:ascii="宋体"/>
          <w:b w:val="0"/>
          <w:sz w:val="21"/>
          <w:szCs w:val="21"/>
        </w:rPr>
      </w:pPr>
      <w:r>
        <w:rPr>
          <w:rFonts w:hint="eastAsia" w:ascii="宋体"/>
          <w:b w:val="0"/>
          <w:sz w:val="21"/>
          <w:szCs w:val="21"/>
        </w:rPr>
        <w:t xml:space="preserve">                                                     二〇    年   月    日</w:t>
      </w:r>
    </w:p>
    <w:p>
      <w:pPr>
        <w:pStyle w:val="22"/>
        <w:ind w:firstLine="420" w:firstLineChars="200"/>
        <w:rPr>
          <w:rFonts w:ascii="宋体"/>
          <w:b w:val="0"/>
          <w:sz w:val="21"/>
          <w:szCs w:val="21"/>
        </w:rPr>
      </w:pPr>
    </w:p>
    <w:p>
      <w:pPr>
        <w:widowControl/>
        <w:jc w:val="left"/>
      </w:pPr>
      <w:bookmarkStart w:id="24" w:name="_Toc73518172"/>
      <w:bookmarkStart w:id="25" w:name="_Toc73521688"/>
      <w:bookmarkStart w:id="26" w:name="_Toc73521600"/>
      <w:bookmarkStart w:id="27" w:name="_Toc73517694"/>
      <w:r>
        <w:br w:type="page"/>
      </w:r>
    </w:p>
    <w:p>
      <w:pPr>
        <w:pStyle w:val="3"/>
        <w:jc w:val="center"/>
        <w:rPr>
          <w:rFonts w:ascii="黑体" w:eastAsia="黑体"/>
          <w:b w:val="0"/>
          <w:kern w:val="0"/>
          <w:sz w:val="24"/>
        </w:rPr>
      </w:pPr>
      <w:r>
        <w:rPr>
          <w:rFonts w:hint="eastAsia" w:ascii="黑体" w:eastAsia="黑体"/>
          <w:b w:val="0"/>
          <w:kern w:val="0"/>
          <w:sz w:val="24"/>
        </w:rPr>
        <w:t>六、无违法违规行为承诺函</w:t>
      </w:r>
    </w:p>
    <w:p>
      <w:pPr>
        <w:rPr>
          <w:rFonts w:ascii="宋体" w:hAnsi="宋体"/>
          <w:sz w:val="24"/>
        </w:rPr>
      </w:pPr>
    </w:p>
    <w:p>
      <w:pPr>
        <w:rPr>
          <w:rFonts w:ascii="宋体" w:hAnsi="宋体"/>
          <w:szCs w:val="21"/>
        </w:rPr>
      </w:pPr>
      <w:r>
        <w:rPr>
          <w:rFonts w:hint="eastAsia" w:ascii="宋体" w:hAnsi="宋体"/>
          <w:szCs w:val="21"/>
        </w:rPr>
        <w:t>深圳大学招投标管理中心：</w:t>
      </w:r>
    </w:p>
    <w:p>
      <w:pPr>
        <w:rPr>
          <w:rFonts w:ascii="宋体" w:hAnsi="宋体"/>
          <w:szCs w:val="21"/>
        </w:rPr>
      </w:pPr>
    </w:p>
    <w:p>
      <w:pPr>
        <w:spacing w:line="360" w:lineRule="auto"/>
        <w:rPr>
          <w:rFonts w:ascii="宋体" w:hAnsi="宋体"/>
          <w:szCs w:val="21"/>
        </w:rPr>
      </w:pPr>
      <w:r>
        <w:rPr>
          <w:rFonts w:hint="eastAsia" w:ascii="宋体" w:hAnsi="宋体"/>
          <w:szCs w:val="21"/>
        </w:rPr>
        <w:t>我公司在参加本次项目投标活动</w:t>
      </w:r>
      <w:r>
        <w:rPr>
          <w:rFonts w:ascii="宋体" w:hAnsi="宋体"/>
          <w:szCs w:val="21"/>
        </w:rPr>
        <w:t>中，作出如下承诺</w:t>
      </w:r>
      <w:r>
        <w:rPr>
          <w:rFonts w:hint="eastAsia" w:ascii="宋体" w:hAnsi="宋体"/>
          <w:szCs w:val="21"/>
        </w:rPr>
        <w:t>：</w:t>
      </w:r>
    </w:p>
    <w:p>
      <w:pPr>
        <w:spacing w:line="360" w:lineRule="auto"/>
        <w:ind w:firstLine="424" w:firstLineChars="202"/>
        <w:rPr>
          <w:rFonts w:ascii="宋体" w:hAnsi="宋体"/>
          <w:szCs w:val="21"/>
        </w:rPr>
      </w:pPr>
      <w:r>
        <w:rPr>
          <w:rFonts w:hint="eastAsia" w:ascii="宋体" w:hAnsi="宋体"/>
          <w:szCs w:val="21"/>
        </w:rPr>
        <w:t>一</w:t>
      </w:r>
      <w:r>
        <w:rPr>
          <w:rFonts w:ascii="宋体" w:hAnsi="宋体"/>
          <w:szCs w:val="21"/>
        </w:rPr>
        <w:t>、参加本次采购活动前三年内，在经营活动中没有重大非法记录，</w:t>
      </w:r>
    </w:p>
    <w:p>
      <w:pPr>
        <w:spacing w:line="360" w:lineRule="auto"/>
        <w:ind w:firstLine="424" w:firstLineChars="202"/>
        <w:rPr>
          <w:rFonts w:ascii="宋体" w:hAnsi="宋体"/>
          <w:szCs w:val="21"/>
        </w:rPr>
      </w:pPr>
      <w:r>
        <w:rPr>
          <w:rFonts w:hint="eastAsia" w:ascii="宋体" w:hAnsi="宋体"/>
          <w:szCs w:val="21"/>
        </w:rPr>
        <w:t>二</w:t>
      </w:r>
      <w:r>
        <w:rPr>
          <w:rFonts w:ascii="宋体" w:hAnsi="宋体"/>
          <w:szCs w:val="21"/>
        </w:rPr>
        <w:t>、未挂靠</w:t>
      </w:r>
      <w:r>
        <w:rPr>
          <w:rFonts w:hint="eastAsia" w:ascii="宋体" w:hAnsi="宋体"/>
          <w:szCs w:val="21"/>
        </w:rPr>
        <w:t>、</w:t>
      </w:r>
      <w:r>
        <w:rPr>
          <w:rFonts w:ascii="宋体" w:hAnsi="宋体"/>
          <w:szCs w:val="21"/>
        </w:rPr>
        <w:t>借用资质进行投标等违法违规行为，</w:t>
      </w:r>
    </w:p>
    <w:p>
      <w:pPr>
        <w:spacing w:line="360" w:lineRule="auto"/>
        <w:ind w:firstLine="424" w:firstLineChars="202"/>
        <w:rPr>
          <w:rFonts w:ascii="宋体" w:hAnsi="宋体"/>
          <w:szCs w:val="21"/>
        </w:rPr>
      </w:pPr>
      <w:r>
        <w:rPr>
          <w:rFonts w:hint="eastAsia" w:ascii="宋体" w:hAnsi="宋体"/>
          <w:szCs w:val="21"/>
        </w:rPr>
        <w:t>三</w:t>
      </w:r>
      <w:r>
        <w:rPr>
          <w:rFonts w:ascii="宋体" w:hAnsi="宋体"/>
          <w:szCs w:val="21"/>
        </w:rPr>
        <w:t>、提供的相关文件均真实、有效。</w:t>
      </w:r>
    </w:p>
    <w:p>
      <w:pPr>
        <w:spacing w:line="360" w:lineRule="auto"/>
        <w:ind w:firstLine="424" w:firstLineChars="202"/>
        <w:rPr>
          <w:rFonts w:ascii="宋体" w:hAnsi="宋体"/>
          <w:szCs w:val="21"/>
        </w:rPr>
      </w:pPr>
      <w:r>
        <w:rPr>
          <w:rFonts w:hint="eastAsia" w:ascii="宋体" w:hAnsi="宋体"/>
          <w:szCs w:val="21"/>
        </w:rPr>
        <w:t>若查实</w:t>
      </w:r>
      <w:r>
        <w:rPr>
          <w:rFonts w:ascii="宋体" w:hAnsi="宋体"/>
          <w:szCs w:val="21"/>
        </w:rPr>
        <w:t>我公司提供的</w:t>
      </w:r>
      <w:r>
        <w:rPr>
          <w:rFonts w:hint="eastAsia" w:ascii="宋体" w:hAnsi="宋体"/>
          <w:szCs w:val="21"/>
        </w:rPr>
        <w:t>资料</w:t>
      </w:r>
      <w:r>
        <w:rPr>
          <w:rFonts w:ascii="宋体" w:hAnsi="宋体"/>
          <w:szCs w:val="21"/>
        </w:rPr>
        <w:t>及上述承诺不</w:t>
      </w:r>
      <w:r>
        <w:rPr>
          <w:rFonts w:hint="eastAsia" w:ascii="宋体" w:hAnsi="宋体"/>
          <w:szCs w:val="21"/>
        </w:rPr>
        <w:t>属实</w:t>
      </w:r>
      <w:r>
        <w:rPr>
          <w:rFonts w:ascii="宋体" w:hAnsi="宋体"/>
          <w:szCs w:val="21"/>
        </w:rPr>
        <w:t>，则招标人有权取消我公司的投标资格及中标资格，且我公司将无条件承担由此给本次招标带来的一切</w:t>
      </w:r>
      <w:r>
        <w:rPr>
          <w:rFonts w:hint="eastAsia" w:ascii="宋体" w:hAnsi="宋体"/>
          <w:szCs w:val="21"/>
        </w:rPr>
        <w:t>后果</w:t>
      </w:r>
      <w:r>
        <w:rPr>
          <w:rFonts w:ascii="宋体" w:hAnsi="宋体"/>
          <w:szCs w:val="21"/>
        </w:rPr>
        <w:t>（</w:t>
      </w:r>
      <w:r>
        <w:rPr>
          <w:rFonts w:hint="eastAsia" w:ascii="宋体" w:hAnsi="宋体"/>
          <w:szCs w:val="21"/>
        </w:rPr>
        <w:t>包括</w:t>
      </w:r>
      <w:r>
        <w:rPr>
          <w:rFonts w:ascii="宋体" w:hAnsi="宋体"/>
          <w:szCs w:val="21"/>
        </w:rPr>
        <w:t>经济损失）</w:t>
      </w:r>
      <w:r>
        <w:rPr>
          <w:rFonts w:hint="eastAsia" w:ascii="宋体" w:hAnsi="宋体"/>
          <w:szCs w:val="21"/>
        </w:rPr>
        <w:t>。</w:t>
      </w: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r>
        <w:rPr>
          <w:rFonts w:hint="eastAsia" w:ascii="宋体" w:hAnsi="宋体"/>
          <w:szCs w:val="21"/>
        </w:rPr>
        <w:t>特此声明</w:t>
      </w:r>
    </w:p>
    <w:p>
      <w:pPr>
        <w:spacing w:line="360" w:lineRule="auto"/>
        <w:rPr>
          <w:rFonts w:ascii="宋体" w:hAnsi="宋体"/>
          <w:szCs w:val="21"/>
        </w:rPr>
      </w:pPr>
      <w:r>
        <w:rPr>
          <w:rFonts w:hint="eastAsia" w:ascii="宋体" w:hAnsi="宋体"/>
          <w:szCs w:val="21"/>
        </w:rPr>
        <w:t>投标人名称：</w:t>
      </w:r>
      <w:r>
        <w:rPr>
          <w:rFonts w:hint="eastAsia" w:ascii="宋体" w:hAnsi="宋体"/>
          <w:szCs w:val="21"/>
          <w:u w:val="single"/>
        </w:rPr>
        <w:t xml:space="preserve">                  </w:t>
      </w:r>
      <w:r>
        <w:rPr>
          <w:rFonts w:hint="eastAsia" w:ascii="宋体" w:hAnsi="宋体"/>
          <w:b/>
          <w:szCs w:val="21"/>
        </w:rPr>
        <w:t>（加盖公章）</w:t>
      </w:r>
    </w:p>
    <w:p>
      <w:pPr>
        <w:spacing w:line="360" w:lineRule="auto"/>
        <w:rPr>
          <w:rFonts w:ascii="宋体" w:hAnsi="宋体"/>
          <w:szCs w:val="21"/>
        </w:rPr>
      </w:pPr>
    </w:p>
    <w:p>
      <w:pPr>
        <w:spacing w:line="360" w:lineRule="auto"/>
        <w:rPr>
          <w:rFonts w:ascii="宋体" w:hAnsi="宋体"/>
          <w:szCs w:val="21"/>
          <w:u w:val="single"/>
        </w:rPr>
      </w:pPr>
      <w:r>
        <w:rPr>
          <w:rFonts w:hint="eastAsia" w:ascii="宋体" w:hAnsi="宋体"/>
          <w:szCs w:val="21"/>
        </w:rPr>
        <w:t>法定</w:t>
      </w:r>
      <w:r>
        <w:rPr>
          <w:rFonts w:ascii="宋体" w:hAnsi="宋体"/>
          <w:szCs w:val="21"/>
        </w:rPr>
        <w:t>代表或</w:t>
      </w:r>
      <w:r>
        <w:rPr>
          <w:rFonts w:hint="eastAsia" w:ascii="宋体" w:hAnsi="宋体"/>
          <w:szCs w:val="21"/>
        </w:rPr>
        <w:t>投标代表签名：</w:t>
      </w:r>
      <w:r>
        <w:rPr>
          <w:rFonts w:hint="eastAsia" w:ascii="宋体" w:hAnsi="宋体"/>
          <w:szCs w:val="21"/>
          <w:u w:val="single"/>
        </w:rPr>
        <w:t xml:space="preserve">                 </w:t>
      </w:r>
    </w:p>
    <w:p>
      <w:pPr>
        <w:spacing w:line="360" w:lineRule="auto"/>
        <w:rPr>
          <w:rFonts w:ascii="宋体" w:hAnsi="宋体"/>
          <w:bCs/>
          <w:szCs w:val="21"/>
        </w:rPr>
      </w:pPr>
      <w:r>
        <w:rPr>
          <w:rFonts w:hint="eastAsia" w:ascii="宋体" w:hAnsi="宋体"/>
          <w:bCs/>
          <w:szCs w:val="21"/>
        </w:rPr>
        <w:t>日期：    年   月  日</w:t>
      </w:r>
    </w:p>
    <w:p>
      <w:pPr>
        <w:widowControl/>
        <w:jc w:val="left"/>
      </w:pPr>
      <w:r>
        <w:br w:type="page"/>
      </w:r>
    </w:p>
    <w:bookmarkEnd w:id="24"/>
    <w:bookmarkEnd w:id="25"/>
    <w:bookmarkEnd w:id="26"/>
    <w:bookmarkEnd w:id="27"/>
    <w:p>
      <w:pPr>
        <w:pStyle w:val="3"/>
        <w:jc w:val="center"/>
        <w:rPr>
          <w:rFonts w:ascii="黑体" w:eastAsia="黑体"/>
          <w:b w:val="0"/>
          <w:kern w:val="0"/>
          <w:sz w:val="24"/>
        </w:rPr>
      </w:pPr>
      <w:bookmarkStart w:id="28" w:name="_Toc73521702"/>
      <w:bookmarkStart w:id="29" w:name="_Toc73517708"/>
      <w:bookmarkStart w:id="30" w:name="_Toc70748068"/>
      <w:bookmarkStart w:id="31" w:name="_Toc71860060"/>
      <w:bookmarkStart w:id="32" w:name="_Toc101074900"/>
      <w:bookmarkStart w:id="33" w:name="_Toc73521614"/>
      <w:bookmarkStart w:id="34" w:name="_Toc100052469"/>
      <w:bookmarkStart w:id="35" w:name="_Toc73518186"/>
      <w:r>
        <w:rPr>
          <w:rFonts w:hint="eastAsia" w:ascii="黑体" w:eastAsia="黑体"/>
          <w:b w:val="0"/>
          <w:kern w:val="0"/>
          <w:sz w:val="24"/>
        </w:rPr>
        <w:t>七、投标人情况介绍</w:t>
      </w:r>
      <w:bookmarkEnd w:id="28"/>
      <w:bookmarkEnd w:id="29"/>
      <w:bookmarkEnd w:id="30"/>
      <w:bookmarkEnd w:id="31"/>
      <w:bookmarkEnd w:id="32"/>
      <w:bookmarkEnd w:id="33"/>
      <w:bookmarkEnd w:id="34"/>
      <w:bookmarkEnd w:id="35"/>
      <w:r>
        <w:rPr>
          <w:rFonts w:hint="eastAsia" w:ascii="黑体" w:eastAsia="黑体"/>
          <w:b w:val="0"/>
          <w:kern w:val="0"/>
          <w:sz w:val="24"/>
        </w:rPr>
        <w:t>及相关资质材料</w:t>
      </w:r>
    </w:p>
    <w:tbl>
      <w:tblPr>
        <w:tblStyle w:val="54"/>
        <w:tblW w:w="9137"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401"/>
        <w:gridCol w:w="2076"/>
        <w:gridCol w:w="4514"/>
        <w:gridCol w:w="1411"/>
      </w:tblGrid>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735" w:type="dxa"/>
            <w:vAlign w:val="center"/>
          </w:tcPr>
          <w:p>
            <w:pPr>
              <w:jc w:val="center"/>
              <w:rPr>
                <w:b/>
                <w:szCs w:val="21"/>
              </w:rPr>
            </w:pPr>
            <w:r>
              <w:rPr>
                <w:rFonts w:hint="eastAsia"/>
                <w:b/>
                <w:szCs w:val="21"/>
              </w:rPr>
              <w:t>序号</w:t>
            </w:r>
          </w:p>
        </w:tc>
        <w:tc>
          <w:tcPr>
            <w:tcW w:w="2477" w:type="dxa"/>
            <w:gridSpan w:val="2"/>
          </w:tcPr>
          <w:p>
            <w:pPr>
              <w:jc w:val="center"/>
              <w:rPr>
                <w:b/>
                <w:szCs w:val="21"/>
              </w:rPr>
            </w:pPr>
            <w:r>
              <w:rPr>
                <w:rFonts w:hint="eastAsia"/>
                <w:b/>
                <w:szCs w:val="21"/>
              </w:rPr>
              <w:t>项  目</w:t>
            </w:r>
          </w:p>
        </w:tc>
        <w:tc>
          <w:tcPr>
            <w:tcW w:w="4514" w:type="dxa"/>
            <w:vAlign w:val="center"/>
          </w:tcPr>
          <w:p>
            <w:pPr>
              <w:jc w:val="center"/>
              <w:rPr>
                <w:b/>
                <w:szCs w:val="21"/>
              </w:rPr>
            </w:pPr>
            <w:r>
              <w:rPr>
                <w:rFonts w:hint="eastAsia"/>
                <w:b/>
                <w:szCs w:val="21"/>
              </w:rPr>
              <w:t>内容及说明</w:t>
            </w:r>
          </w:p>
        </w:tc>
        <w:tc>
          <w:tcPr>
            <w:tcW w:w="1411" w:type="dxa"/>
            <w:vAlign w:val="center"/>
          </w:tcPr>
          <w:p>
            <w:pPr>
              <w:jc w:val="center"/>
              <w:rPr>
                <w:b/>
                <w:szCs w:val="21"/>
              </w:rPr>
            </w:pPr>
            <w:r>
              <w:rPr>
                <w:rFonts w:hint="eastAsia"/>
                <w:b/>
                <w:szCs w:val="21"/>
              </w:rPr>
              <w:t>备注</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735" w:type="dxa"/>
            <w:vAlign w:val="center"/>
          </w:tcPr>
          <w:p>
            <w:pPr>
              <w:jc w:val="center"/>
              <w:rPr>
                <w:b/>
                <w:szCs w:val="21"/>
              </w:rPr>
            </w:pPr>
            <w:r>
              <w:rPr>
                <w:rFonts w:hint="eastAsia"/>
                <w:b/>
                <w:szCs w:val="21"/>
              </w:rPr>
              <w:t>一</w:t>
            </w:r>
          </w:p>
        </w:tc>
        <w:tc>
          <w:tcPr>
            <w:tcW w:w="6991" w:type="dxa"/>
            <w:gridSpan w:val="3"/>
          </w:tcPr>
          <w:p>
            <w:pPr>
              <w:rPr>
                <w:b/>
                <w:szCs w:val="21"/>
              </w:rPr>
            </w:pPr>
            <w:r>
              <w:rPr>
                <w:rFonts w:hint="eastAsia"/>
                <w:b/>
                <w:szCs w:val="21"/>
              </w:rPr>
              <w:t>营业执照</w:t>
            </w:r>
          </w:p>
        </w:tc>
        <w:tc>
          <w:tcPr>
            <w:tcW w:w="1411" w:type="dxa"/>
            <w:vAlign w:val="center"/>
          </w:tcPr>
          <w:p>
            <w:pPr>
              <w:jc w:val="center"/>
              <w:rPr>
                <w:szCs w:val="21"/>
              </w:rPr>
            </w:pPr>
            <w:r>
              <w:rPr>
                <w:rFonts w:hint="eastAsia"/>
                <w:szCs w:val="21"/>
              </w:rPr>
              <w:t>提供复印件</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735" w:type="dxa"/>
            <w:shd w:val="clear" w:color="auto" w:fill="auto"/>
            <w:vAlign w:val="center"/>
          </w:tcPr>
          <w:p>
            <w:pPr>
              <w:jc w:val="center"/>
              <w:rPr>
                <w:szCs w:val="21"/>
              </w:rPr>
            </w:pPr>
            <w:r>
              <w:rPr>
                <w:rFonts w:hint="eastAsia"/>
                <w:szCs w:val="21"/>
              </w:rPr>
              <w:t>1</w:t>
            </w:r>
          </w:p>
        </w:tc>
        <w:tc>
          <w:tcPr>
            <w:tcW w:w="2477" w:type="dxa"/>
            <w:gridSpan w:val="2"/>
            <w:shd w:val="clear" w:color="auto" w:fill="auto"/>
            <w:vAlign w:val="center"/>
          </w:tcPr>
          <w:p>
            <w:pPr>
              <w:jc w:val="center"/>
              <w:rPr>
                <w:szCs w:val="21"/>
              </w:rPr>
            </w:pPr>
            <w:r>
              <w:rPr>
                <w:rFonts w:hint="eastAsia"/>
                <w:szCs w:val="21"/>
              </w:rPr>
              <w:t>注册年度及注册编号</w:t>
            </w:r>
          </w:p>
        </w:tc>
        <w:tc>
          <w:tcPr>
            <w:tcW w:w="4514" w:type="dxa"/>
            <w:vAlign w:val="center"/>
          </w:tcPr>
          <w:p>
            <w:pPr>
              <w:rPr>
                <w:szCs w:val="21"/>
              </w:rPr>
            </w:pPr>
          </w:p>
        </w:tc>
        <w:tc>
          <w:tcPr>
            <w:tcW w:w="1411" w:type="dxa"/>
            <w:vAlign w:val="center"/>
          </w:tcPr>
          <w:p>
            <w:pPr>
              <w:jc w:val="center"/>
              <w:rPr>
                <w:szCs w:val="21"/>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735" w:type="dxa"/>
            <w:shd w:val="clear" w:color="auto" w:fill="auto"/>
            <w:vAlign w:val="center"/>
          </w:tcPr>
          <w:p>
            <w:pPr>
              <w:jc w:val="center"/>
              <w:rPr>
                <w:szCs w:val="21"/>
              </w:rPr>
            </w:pPr>
            <w:r>
              <w:rPr>
                <w:rFonts w:hint="eastAsia"/>
                <w:szCs w:val="21"/>
              </w:rPr>
              <w:t>2</w:t>
            </w:r>
          </w:p>
        </w:tc>
        <w:tc>
          <w:tcPr>
            <w:tcW w:w="2477" w:type="dxa"/>
            <w:gridSpan w:val="2"/>
            <w:shd w:val="clear" w:color="auto" w:fill="auto"/>
            <w:vAlign w:val="center"/>
          </w:tcPr>
          <w:p>
            <w:pPr>
              <w:jc w:val="center"/>
              <w:rPr>
                <w:szCs w:val="21"/>
              </w:rPr>
            </w:pPr>
            <w:r>
              <w:rPr>
                <w:rFonts w:hint="eastAsia"/>
                <w:szCs w:val="21"/>
              </w:rPr>
              <w:t>注册资金（万元）</w:t>
            </w:r>
          </w:p>
        </w:tc>
        <w:tc>
          <w:tcPr>
            <w:tcW w:w="4514" w:type="dxa"/>
            <w:vAlign w:val="center"/>
          </w:tcPr>
          <w:p>
            <w:pPr>
              <w:rPr>
                <w:szCs w:val="21"/>
              </w:rPr>
            </w:pPr>
          </w:p>
        </w:tc>
        <w:tc>
          <w:tcPr>
            <w:tcW w:w="1411" w:type="dxa"/>
            <w:vAlign w:val="center"/>
          </w:tcPr>
          <w:p>
            <w:pPr>
              <w:jc w:val="center"/>
              <w:rPr>
                <w:szCs w:val="21"/>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735" w:type="dxa"/>
            <w:shd w:val="clear" w:color="auto" w:fill="auto"/>
            <w:vAlign w:val="center"/>
          </w:tcPr>
          <w:p>
            <w:pPr>
              <w:jc w:val="center"/>
              <w:rPr>
                <w:szCs w:val="21"/>
              </w:rPr>
            </w:pPr>
            <w:r>
              <w:rPr>
                <w:rFonts w:hint="eastAsia"/>
                <w:szCs w:val="21"/>
              </w:rPr>
              <w:t>3</w:t>
            </w:r>
          </w:p>
        </w:tc>
        <w:tc>
          <w:tcPr>
            <w:tcW w:w="2477" w:type="dxa"/>
            <w:gridSpan w:val="2"/>
            <w:shd w:val="clear" w:color="auto" w:fill="auto"/>
            <w:vAlign w:val="center"/>
          </w:tcPr>
          <w:p>
            <w:pPr>
              <w:jc w:val="center"/>
              <w:rPr>
                <w:szCs w:val="21"/>
              </w:rPr>
            </w:pPr>
            <w:r>
              <w:rPr>
                <w:rFonts w:hint="eastAsia"/>
                <w:szCs w:val="21"/>
              </w:rPr>
              <w:t>经营场所</w:t>
            </w:r>
          </w:p>
        </w:tc>
        <w:tc>
          <w:tcPr>
            <w:tcW w:w="4514" w:type="dxa"/>
            <w:vAlign w:val="center"/>
          </w:tcPr>
          <w:p>
            <w:pPr>
              <w:rPr>
                <w:szCs w:val="21"/>
              </w:rPr>
            </w:pPr>
          </w:p>
        </w:tc>
        <w:tc>
          <w:tcPr>
            <w:tcW w:w="1411" w:type="dxa"/>
            <w:vAlign w:val="center"/>
          </w:tcPr>
          <w:p>
            <w:pPr>
              <w:jc w:val="center"/>
              <w:rPr>
                <w:szCs w:val="21"/>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735" w:type="dxa"/>
            <w:shd w:val="clear" w:color="auto" w:fill="auto"/>
            <w:vAlign w:val="center"/>
          </w:tcPr>
          <w:p>
            <w:pPr>
              <w:jc w:val="center"/>
              <w:rPr>
                <w:szCs w:val="21"/>
              </w:rPr>
            </w:pPr>
            <w:r>
              <w:rPr>
                <w:rFonts w:hint="eastAsia"/>
                <w:szCs w:val="21"/>
              </w:rPr>
              <w:t>4</w:t>
            </w:r>
          </w:p>
        </w:tc>
        <w:tc>
          <w:tcPr>
            <w:tcW w:w="2477" w:type="dxa"/>
            <w:gridSpan w:val="2"/>
            <w:shd w:val="clear" w:color="auto" w:fill="auto"/>
            <w:vAlign w:val="center"/>
          </w:tcPr>
          <w:p>
            <w:pPr>
              <w:jc w:val="center"/>
              <w:rPr>
                <w:szCs w:val="21"/>
              </w:rPr>
            </w:pPr>
            <w:r>
              <w:rPr>
                <w:rFonts w:hint="eastAsia"/>
                <w:szCs w:val="21"/>
              </w:rPr>
              <w:t>有效期</w:t>
            </w:r>
          </w:p>
        </w:tc>
        <w:tc>
          <w:tcPr>
            <w:tcW w:w="4514" w:type="dxa"/>
            <w:vAlign w:val="center"/>
          </w:tcPr>
          <w:p>
            <w:pPr>
              <w:rPr>
                <w:szCs w:val="21"/>
              </w:rPr>
            </w:pPr>
          </w:p>
        </w:tc>
        <w:tc>
          <w:tcPr>
            <w:tcW w:w="1411" w:type="dxa"/>
            <w:vAlign w:val="center"/>
          </w:tcPr>
          <w:p>
            <w:pPr>
              <w:jc w:val="center"/>
              <w:rPr>
                <w:szCs w:val="21"/>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735" w:type="dxa"/>
            <w:vAlign w:val="center"/>
          </w:tcPr>
          <w:p>
            <w:pPr>
              <w:jc w:val="center"/>
              <w:rPr>
                <w:szCs w:val="21"/>
              </w:rPr>
            </w:pPr>
            <w:r>
              <w:rPr>
                <w:rFonts w:hint="eastAsia"/>
                <w:szCs w:val="21"/>
              </w:rPr>
              <w:t>二</w:t>
            </w:r>
          </w:p>
        </w:tc>
        <w:tc>
          <w:tcPr>
            <w:tcW w:w="6991" w:type="dxa"/>
            <w:gridSpan w:val="3"/>
            <w:vAlign w:val="center"/>
          </w:tcPr>
          <w:p>
            <w:pPr>
              <w:rPr>
                <w:b/>
                <w:szCs w:val="21"/>
              </w:rPr>
            </w:pPr>
            <w:r>
              <w:rPr>
                <w:rFonts w:hint="eastAsia"/>
                <w:b/>
                <w:szCs w:val="21"/>
              </w:rPr>
              <w:t>资格（质）证书（</w:t>
            </w:r>
            <w:r>
              <w:rPr>
                <w:rFonts w:hint="eastAsia"/>
                <w:szCs w:val="21"/>
              </w:rPr>
              <w:t>若有其他资质证书，可按表格格式扩展</w:t>
            </w:r>
            <w:r>
              <w:rPr>
                <w:rFonts w:hint="eastAsia"/>
                <w:b/>
                <w:szCs w:val="21"/>
              </w:rPr>
              <w:t>）</w:t>
            </w:r>
          </w:p>
        </w:tc>
        <w:tc>
          <w:tcPr>
            <w:tcW w:w="1411" w:type="dxa"/>
            <w:vAlign w:val="center"/>
          </w:tcPr>
          <w:p>
            <w:pPr>
              <w:jc w:val="center"/>
              <w:rPr>
                <w:szCs w:val="21"/>
              </w:rPr>
            </w:pPr>
            <w:r>
              <w:rPr>
                <w:rFonts w:hint="eastAsia"/>
                <w:szCs w:val="21"/>
              </w:rPr>
              <w:t>提供复印件</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735" w:type="dxa"/>
            <w:vAlign w:val="center"/>
          </w:tcPr>
          <w:p>
            <w:pPr>
              <w:jc w:val="center"/>
              <w:rPr>
                <w:szCs w:val="21"/>
              </w:rPr>
            </w:pPr>
            <w:r>
              <w:rPr>
                <w:rFonts w:hint="eastAsia"/>
                <w:szCs w:val="21"/>
              </w:rPr>
              <w:t>1</w:t>
            </w:r>
          </w:p>
        </w:tc>
        <w:tc>
          <w:tcPr>
            <w:tcW w:w="2477" w:type="dxa"/>
            <w:gridSpan w:val="2"/>
            <w:vAlign w:val="center"/>
          </w:tcPr>
          <w:p>
            <w:pPr>
              <w:jc w:val="center"/>
              <w:rPr>
                <w:szCs w:val="21"/>
              </w:rPr>
            </w:pPr>
            <w:r>
              <w:rPr>
                <w:rFonts w:hint="eastAsia"/>
                <w:szCs w:val="21"/>
              </w:rPr>
              <w:t>证书名称</w:t>
            </w:r>
          </w:p>
        </w:tc>
        <w:tc>
          <w:tcPr>
            <w:tcW w:w="4514" w:type="dxa"/>
            <w:vAlign w:val="center"/>
          </w:tcPr>
          <w:p>
            <w:pPr>
              <w:jc w:val="center"/>
              <w:rPr>
                <w:szCs w:val="21"/>
              </w:rPr>
            </w:pPr>
          </w:p>
        </w:tc>
        <w:tc>
          <w:tcPr>
            <w:tcW w:w="1411" w:type="dxa"/>
            <w:vAlign w:val="center"/>
          </w:tcPr>
          <w:p>
            <w:pPr>
              <w:jc w:val="center"/>
              <w:rPr>
                <w:szCs w:val="21"/>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735" w:type="dxa"/>
            <w:vAlign w:val="center"/>
          </w:tcPr>
          <w:p>
            <w:pPr>
              <w:jc w:val="center"/>
              <w:rPr>
                <w:szCs w:val="21"/>
              </w:rPr>
            </w:pPr>
            <w:r>
              <w:rPr>
                <w:rFonts w:hint="eastAsia"/>
                <w:szCs w:val="21"/>
              </w:rPr>
              <w:t>2</w:t>
            </w:r>
          </w:p>
        </w:tc>
        <w:tc>
          <w:tcPr>
            <w:tcW w:w="2477" w:type="dxa"/>
            <w:gridSpan w:val="2"/>
            <w:vAlign w:val="center"/>
          </w:tcPr>
          <w:p>
            <w:pPr>
              <w:jc w:val="center"/>
              <w:rPr>
                <w:szCs w:val="21"/>
              </w:rPr>
            </w:pPr>
            <w:r>
              <w:rPr>
                <w:rFonts w:hint="eastAsia"/>
                <w:szCs w:val="21"/>
              </w:rPr>
              <w:t>批准单位</w:t>
            </w:r>
          </w:p>
        </w:tc>
        <w:tc>
          <w:tcPr>
            <w:tcW w:w="4514" w:type="dxa"/>
            <w:vAlign w:val="center"/>
          </w:tcPr>
          <w:p>
            <w:pPr>
              <w:jc w:val="center"/>
              <w:rPr>
                <w:szCs w:val="21"/>
              </w:rPr>
            </w:pPr>
          </w:p>
        </w:tc>
        <w:tc>
          <w:tcPr>
            <w:tcW w:w="1411" w:type="dxa"/>
            <w:vAlign w:val="center"/>
          </w:tcPr>
          <w:p>
            <w:pPr>
              <w:jc w:val="center"/>
              <w:rPr>
                <w:szCs w:val="21"/>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735" w:type="dxa"/>
            <w:vAlign w:val="center"/>
          </w:tcPr>
          <w:p>
            <w:pPr>
              <w:jc w:val="center"/>
              <w:rPr>
                <w:szCs w:val="21"/>
              </w:rPr>
            </w:pPr>
            <w:r>
              <w:rPr>
                <w:rFonts w:hint="eastAsia"/>
                <w:szCs w:val="21"/>
              </w:rPr>
              <w:t>3</w:t>
            </w:r>
          </w:p>
        </w:tc>
        <w:tc>
          <w:tcPr>
            <w:tcW w:w="2477" w:type="dxa"/>
            <w:gridSpan w:val="2"/>
            <w:vAlign w:val="center"/>
          </w:tcPr>
          <w:p>
            <w:pPr>
              <w:jc w:val="center"/>
              <w:rPr>
                <w:szCs w:val="21"/>
              </w:rPr>
            </w:pPr>
            <w:r>
              <w:rPr>
                <w:rFonts w:hint="eastAsia"/>
                <w:szCs w:val="21"/>
              </w:rPr>
              <w:t>等级</w:t>
            </w:r>
          </w:p>
        </w:tc>
        <w:tc>
          <w:tcPr>
            <w:tcW w:w="4514" w:type="dxa"/>
            <w:vAlign w:val="center"/>
          </w:tcPr>
          <w:p>
            <w:pPr>
              <w:jc w:val="center"/>
              <w:rPr>
                <w:szCs w:val="21"/>
              </w:rPr>
            </w:pPr>
          </w:p>
        </w:tc>
        <w:tc>
          <w:tcPr>
            <w:tcW w:w="1411" w:type="dxa"/>
            <w:vAlign w:val="center"/>
          </w:tcPr>
          <w:p>
            <w:pPr>
              <w:jc w:val="center"/>
              <w:rPr>
                <w:szCs w:val="21"/>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735" w:type="dxa"/>
            <w:vAlign w:val="center"/>
          </w:tcPr>
          <w:p>
            <w:pPr>
              <w:jc w:val="center"/>
              <w:rPr>
                <w:szCs w:val="21"/>
              </w:rPr>
            </w:pPr>
            <w:r>
              <w:rPr>
                <w:rFonts w:hint="eastAsia"/>
                <w:szCs w:val="21"/>
              </w:rPr>
              <w:t>4</w:t>
            </w:r>
          </w:p>
        </w:tc>
        <w:tc>
          <w:tcPr>
            <w:tcW w:w="2477" w:type="dxa"/>
            <w:gridSpan w:val="2"/>
            <w:vAlign w:val="center"/>
          </w:tcPr>
          <w:p>
            <w:pPr>
              <w:jc w:val="center"/>
              <w:rPr>
                <w:szCs w:val="21"/>
              </w:rPr>
            </w:pPr>
            <w:r>
              <w:rPr>
                <w:rFonts w:hint="eastAsia"/>
                <w:szCs w:val="21"/>
              </w:rPr>
              <w:t>批准时间及编号</w:t>
            </w:r>
          </w:p>
        </w:tc>
        <w:tc>
          <w:tcPr>
            <w:tcW w:w="4514" w:type="dxa"/>
            <w:vAlign w:val="center"/>
          </w:tcPr>
          <w:p>
            <w:pPr>
              <w:jc w:val="center"/>
              <w:rPr>
                <w:szCs w:val="21"/>
              </w:rPr>
            </w:pPr>
          </w:p>
        </w:tc>
        <w:tc>
          <w:tcPr>
            <w:tcW w:w="1411" w:type="dxa"/>
            <w:vAlign w:val="center"/>
          </w:tcPr>
          <w:p>
            <w:pPr>
              <w:jc w:val="center"/>
              <w:rPr>
                <w:szCs w:val="21"/>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735" w:type="dxa"/>
            <w:vAlign w:val="center"/>
          </w:tcPr>
          <w:p>
            <w:pPr>
              <w:jc w:val="center"/>
              <w:rPr>
                <w:szCs w:val="21"/>
              </w:rPr>
            </w:pPr>
            <w:r>
              <w:rPr>
                <w:rFonts w:hint="eastAsia"/>
                <w:szCs w:val="21"/>
              </w:rPr>
              <w:t>5</w:t>
            </w:r>
          </w:p>
        </w:tc>
        <w:tc>
          <w:tcPr>
            <w:tcW w:w="2477" w:type="dxa"/>
            <w:gridSpan w:val="2"/>
            <w:vAlign w:val="center"/>
          </w:tcPr>
          <w:p>
            <w:pPr>
              <w:jc w:val="center"/>
              <w:rPr>
                <w:szCs w:val="21"/>
              </w:rPr>
            </w:pPr>
            <w:r>
              <w:rPr>
                <w:rFonts w:hint="eastAsia"/>
                <w:szCs w:val="21"/>
              </w:rPr>
              <w:t>有效期</w:t>
            </w:r>
          </w:p>
        </w:tc>
        <w:tc>
          <w:tcPr>
            <w:tcW w:w="4514" w:type="dxa"/>
            <w:vAlign w:val="center"/>
          </w:tcPr>
          <w:p>
            <w:pPr>
              <w:jc w:val="center"/>
              <w:rPr>
                <w:szCs w:val="21"/>
              </w:rPr>
            </w:pPr>
          </w:p>
        </w:tc>
        <w:tc>
          <w:tcPr>
            <w:tcW w:w="1411" w:type="dxa"/>
            <w:vAlign w:val="center"/>
          </w:tcPr>
          <w:p>
            <w:pPr>
              <w:jc w:val="center"/>
              <w:rPr>
                <w:szCs w:val="21"/>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735" w:type="dxa"/>
            <w:vAlign w:val="center"/>
          </w:tcPr>
          <w:p>
            <w:pPr>
              <w:jc w:val="center"/>
              <w:rPr>
                <w:b/>
                <w:szCs w:val="21"/>
              </w:rPr>
            </w:pPr>
            <w:r>
              <w:rPr>
                <w:rFonts w:hint="eastAsia"/>
                <w:b/>
                <w:szCs w:val="21"/>
              </w:rPr>
              <w:t>三</w:t>
            </w:r>
          </w:p>
        </w:tc>
        <w:tc>
          <w:tcPr>
            <w:tcW w:w="6991" w:type="dxa"/>
            <w:gridSpan w:val="3"/>
            <w:vAlign w:val="center"/>
          </w:tcPr>
          <w:p>
            <w:pPr>
              <w:rPr>
                <w:szCs w:val="21"/>
              </w:rPr>
            </w:pPr>
            <w:r>
              <w:rPr>
                <w:rFonts w:hint="eastAsia"/>
                <w:b/>
                <w:szCs w:val="21"/>
              </w:rPr>
              <w:t>得奖或评优项目（</w:t>
            </w:r>
            <w:r>
              <w:rPr>
                <w:rFonts w:hint="eastAsia"/>
                <w:szCs w:val="21"/>
              </w:rPr>
              <w:t>若有多个奖项，可按表格格式扩展</w:t>
            </w:r>
            <w:r>
              <w:rPr>
                <w:rFonts w:hint="eastAsia"/>
                <w:b/>
                <w:szCs w:val="21"/>
              </w:rPr>
              <w:t>）</w:t>
            </w:r>
          </w:p>
        </w:tc>
        <w:tc>
          <w:tcPr>
            <w:tcW w:w="1411" w:type="dxa"/>
            <w:vAlign w:val="center"/>
          </w:tcPr>
          <w:p>
            <w:pPr>
              <w:jc w:val="center"/>
              <w:rPr>
                <w:szCs w:val="21"/>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735" w:type="dxa"/>
            <w:vAlign w:val="center"/>
          </w:tcPr>
          <w:p>
            <w:pPr>
              <w:jc w:val="center"/>
              <w:rPr>
                <w:szCs w:val="21"/>
              </w:rPr>
            </w:pPr>
            <w:r>
              <w:rPr>
                <w:rFonts w:hint="eastAsia"/>
                <w:szCs w:val="21"/>
              </w:rPr>
              <w:t>1</w:t>
            </w:r>
          </w:p>
        </w:tc>
        <w:tc>
          <w:tcPr>
            <w:tcW w:w="2477" w:type="dxa"/>
            <w:gridSpan w:val="2"/>
            <w:vAlign w:val="center"/>
          </w:tcPr>
          <w:p>
            <w:pPr>
              <w:jc w:val="center"/>
              <w:rPr>
                <w:szCs w:val="21"/>
              </w:rPr>
            </w:pPr>
            <w:r>
              <w:rPr>
                <w:rFonts w:hint="eastAsia"/>
                <w:szCs w:val="21"/>
              </w:rPr>
              <w:t>得奖或评优项目数量</w:t>
            </w:r>
          </w:p>
        </w:tc>
        <w:tc>
          <w:tcPr>
            <w:tcW w:w="4514" w:type="dxa"/>
            <w:vAlign w:val="center"/>
          </w:tcPr>
          <w:p>
            <w:pPr>
              <w:jc w:val="center"/>
              <w:rPr>
                <w:szCs w:val="21"/>
              </w:rPr>
            </w:pPr>
          </w:p>
        </w:tc>
        <w:tc>
          <w:tcPr>
            <w:tcW w:w="1411" w:type="dxa"/>
            <w:vAlign w:val="center"/>
          </w:tcPr>
          <w:p>
            <w:pPr>
              <w:jc w:val="center"/>
              <w:rPr>
                <w:szCs w:val="21"/>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735" w:type="dxa"/>
            <w:vMerge w:val="restart"/>
            <w:vAlign w:val="center"/>
          </w:tcPr>
          <w:p>
            <w:pPr>
              <w:jc w:val="center"/>
              <w:rPr>
                <w:szCs w:val="21"/>
              </w:rPr>
            </w:pPr>
            <w:r>
              <w:rPr>
                <w:rFonts w:hint="eastAsia"/>
                <w:szCs w:val="21"/>
              </w:rPr>
              <w:t>2</w:t>
            </w:r>
          </w:p>
        </w:tc>
        <w:tc>
          <w:tcPr>
            <w:tcW w:w="401" w:type="dxa"/>
            <w:vMerge w:val="restart"/>
            <w:vAlign w:val="center"/>
          </w:tcPr>
          <w:p>
            <w:pPr>
              <w:jc w:val="center"/>
              <w:rPr>
                <w:szCs w:val="21"/>
              </w:rPr>
            </w:pPr>
            <w:r>
              <w:rPr>
                <w:rFonts w:hint="eastAsia"/>
                <w:szCs w:val="21"/>
              </w:rPr>
              <w:t>项目A</w:t>
            </w:r>
          </w:p>
        </w:tc>
        <w:tc>
          <w:tcPr>
            <w:tcW w:w="2076" w:type="dxa"/>
            <w:vAlign w:val="center"/>
          </w:tcPr>
          <w:p>
            <w:pPr>
              <w:jc w:val="center"/>
              <w:rPr>
                <w:szCs w:val="21"/>
              </w:rPr>
            </w:pPr>
            <w:r>
              <w:rPr>
                <w:rFonts w:hint="eastAsia"/>
                <w:szCs w:val="21"/>
              </w:rPr>
              <w:t>项目名称</w:t>
            </w:r>
          </w:p>
        </w:tc>
        <w:tc>
          <w:tcPr>
            <w:tcW w:w="4514" w:type="dxa"/>
            <w:vAlign w:val="center"/>
          </w:tcPr>
          <w:p>
            <w:pPr>
              <w:jc w:val="center"/>
              <w:rPr>
                <w:szCs w:val="21"/>
              </w:rPr>
            </w:pPr>
          </w:p>
        </w:tc>
        <w:tc>
          <w:tcPr>
            <w:tcW w:w="1411" w:type="dxa"/>
            <w:vAlign w:val="center"/>
          </w:tcPr>
          <w:p>
            <w:pPr>
              <w:jc w:val="center"/>
              <w:rPr>
                <w:szCs w:val="21"/>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735" w:type="dxa"/>
            <w:vMerge w:val="continue"/>
            <w:vAlign w:val="center"/>
          </w:tcPr>
          <w:p>
            <w:pPr>
              <w:jc w:val="center"/>
              <w:rPr>
                <w:szCs w:val="21"/>
              </w:rPr>
            </w:pPr>
          </w:p>
        </w:tc>
        <w:tc>
          <w:tcPr>
            <w:tcW w:w="401" w:type="dxa"/>
            <w:vMerge w:val="continue"/>
            <w:vAlign w:val="center"/>
          </w:tcPr>
          <w:p>
            <w:pPr>
              <w:jc w:val="center"/>
              <w:rPr>
                <w:szCs w:val="21"/>
              </w:rPr>
            </w:pPr>
          </w:p>
        </w:tc>
        <w:tc>
          <w:tcPr>
            <w:tcW w:w="2076" w:type="dxa"/>
            <w:vAlign w:val="center"/>
          </w:tcPr>
          <w:p>
            <w:pPr>
              <w:jc w:val="center"/>
              <w:rPr>
                <w:szCs w:val="21"/>
              </w:rPr>
            </w:pPr>
            <w:r>
              <w:rPr>
                <w:rFonts w:hint="eastAsia"/>
                <w:szCs w:val="21"/>
              </w:rPr>
              <w:t>奖项名称、等级及颁发单位</w:t>
            </w:r>
          </w:p>
        </w:tc>
        <w:tc>
          <w:tcPr>
            <w:tcW w:w="4514" w:type="dxa"/>
            <w:vAlign w:val="center"/>
          </w:tcPr>
          <w:p>
            <w:pPr>
              <w:jc w:val="center"/>
              <w:rPr>
                <w:szCs w:val="21"/>
              </w:rPr>
            </w:pPr>
          </w:p>
        </w:tc>
        <w:tc>
          <w:tcPr>
            <w:tcW w:w="1411" w:type="dxa"/>
            <w:vAlign w:val="center"/>
          </w:tcPr>
          <w:p>
            <w:pPr>
              <w:jc w:val="center"/>
              <w:rPr>
                <w:szCs w:val="21"/>
              </w:rPr>
            </w:pPr>
            <w:r>
              <w:rPr>
                <w:rFonts w:hint="eastAsia"/>
                <w:szCs w:val="21"/>
              </w:rPr>
              <w:t>提供奖项复印件</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735" w:type="dxa"/>
            <w:vMerge w:val="continue"/>
            <w:vAlign w:val="center"/>
          </w:tcPr>
          <w:p>
            <w:pPr>
              <w:jc w:val="center"/>
              <w:rPr>
                <w:szCs w:val="21"/>
              </w:rPr>
            </w:pPr>
          </w:p>
        </w:tc>
        <w:tc>
          <w:tcPr>
            <w:tcW w:w="401" w:type="dxa"/>
            <w:vMerge w:val="continue"/>
            <w:vAlign w:val="center"/>
          </w:tcPr>
          <w:p>
            <w:pPr>
              <w:jc w:val="center"/>
              <w:rPr>
                <w:szCs w:val="21"/>
              </w:rPr>
            </w:pPr>
          </w:p>
        </w:tc>
        <w:tc>
          <w:tcPr>
            <w:tcW w:w="2076" w:type="dxa"/>
            <w:vAlign w:val="center"/>
          </w:tcPr>
          <w:p>
            <w:pPr>
              <w:jc w:val="center"/>
              <w:rPr>
                <w:szCs w:val="21"/>
              </w:rPr>
            </w:pPr>
            <w:r>
              <w:rPr>
                <w:rFonts w:hint="eastAsia"/>
                <w:szCs w:val="21"/>
              </w:rPr>
              <w:t>项目规模及性质的简要说明</w:t>
            </w:r>
          </w:p>
        </w:tc>
        <w:tc>
          <w:tcPr>
            <w:tcW w:w="4514" w:type="dxa"/>
            <w:vAlign w:val="center"/>
          </w:tcPr>
          <w:p>
            <w:pPr>
              <w:jc w:val="center"/>
              <w:rPr>
                <w:szCs w:val="21"/>
              </w:rPr>
            </w:pPr>
          </w:p>
        </w:tc>
        <w:tc>
          <w:tcPr>
            <w:tcW w:w="1411" w:type="dxa"/>
            <w:vAlign w:val="center"/>
          </w:tcPr>
          <w:p>
            <w:pPr>
              <w:jc w:val="center"/>
              <w:rPr>
                <w:szCs w:val="21"/>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735" w:type="dxa"/>
            <w:vMerge w:val="restart"/>
            <w:vAlign w:val="center"/>
          </w:tcPr>
          <w:p>
            <w:pPr>
              <w:jc w:val="center"/>
              <w:rPr>
                <w:szCs w:val="21"/>
              </w:rPr>
            </w:pPr>
            <w:r>
              <w:rPr>
                <w:rFonts w:hint="eastAsia"/>
                <w:szCs w:val="21"/>
              </w:rPr>
              <w:t>3</w:t>
            </w:r>
          </w:p>
        </w:tc>
        <w:tc>
          <w:tcPr>
            <w:tcW w:w="401" w:type="dxa"/>
            <w:vMerge w:val="restart"/>
            <w:vAlign w:val="center"/>
          </w:tcPr>
          <w:p>
            <w:pPr>
              <w:jc w:val="center"/>
              <w:rPr>
                <w:szCs w:val="21"/>
              </w:rPr>
            </w:pPr>
            <w:r>
              <w:rPr>
                <w:rFonts w:hint="eastAsia"/>
                <w:szCs w:val="21"/>
              </w:rPr>
              <w:t>项目B</w:t>
            </w:r>
          </w:p>
        </w:tc>
        <w:tc>
          <w:tcPr>
            <w:tcW w:w="2076" w:type="dxa"/>
            <w:vAlign w:val="center"/>
          </w:tcPr>
          <w:p>
            <w:pPr>
              <w:jc w:val="center"/>
              <w:rPr>
                <w:szCs w:val="21"/>
              </w:rPr>
            </w:pPr>
            <w:r>
              <w:rPr>
                <w:rFonts w:hint="eastAsia"/>
                <w:szCs w:val="21"/>
              </w:rPr>
              <w:t>项目名称</w:t>
            </w:r>
          </w:p>
        </w:tc>
        <w:tc>
          <w:tcPr>
            <w:tcW w:w="4514" w:type="dxa"/>
            <w:vAlign w:val="center"/>
          </w:tcPr>
          <w:p>
            <w:pPr>
              <w:jc w:val="center"/>
              <w:rPr>
                <w:szCs w:val="21"/>
              </w:rPr>
            </w:pPr>
          </w:p>
        </w:tc>
        <w:tc>
          <w:tcPr>
            <w:tcW w:w="1411" w:type="dxa"/>
            <w:vAlign w:val="center"/>
          </w:tcPr>
          <w:p>
            <w:pPr>
              <w:jc w:val="center"/>
              <w:rPr>
                <w:szCs w:val="21"/>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735" w:type="dxa"/>
            <w:vMerge w:val="continue"/>
            <w:vAlign w:val="center"/>
          </w:tcPr>
          <w:p>
            <w:pPr>
              <w:jc w:val="center"/>
              <w:rPr>
                <w:szCs w:val="21"/>
              </w:rPr>
            </w:pPr>
          </w:p>
        </w:tc>
        <w:tc>
          <w:tcPr>
            <w:tcW w:w="401" w:type="dxa"/>
            <w:vMerge w:val="continue"/>
            <w:vAlign w:val="center"/>
          </w:tcPr>
          <w:p>
            <w:pPr>
              <w:jc w:val="center"/>
              <w:rPr>
                <w:szCs w:val="21"/>
              </w:rPr>
            </w:pPr>
          </w:p>
        </w:tc>
        <w:tc>
          <w:tcPr>
            <w:tcW w:w="2076" w:type="dxa"/>
            <w:vAlign w:val="center"/>
          </w:tcPr>
          <w:p>
            <w:pPr>
              <w:jc w:val="center"/>
              <w:rPr>
                <w:szCs w:val="21"/>
              </w:rPr>
            </w:pPr>
            <w:r>
              <w:rPr>
                <w:rFonts w:hint="eastAsia"/>
                <w:szCs w:val="21"/>
              </w:rPr>
              <w:t>奖项名称、等级及颁发单位</w:t>
            </w:r>
          </w:p>
        </w:tc>
        <w:tc>
          <w:tcPr>
            <w:tcW w:w="4514" w:type="dxa"/>
            <w:vAlign w:val="center"/>
          </w:tcPr>
          <w:p>
            <w:pPr>
              <w:jc w:val="center"/>
              <w:rPr>
                <w:szCs w:val="21"/>
              </w:rPr>
            </w:pPr>
          </w:p>
        </w:tc>
        <w:tc>
          <w:tcPr>
            <w:tcW w:w="1411" w:type="dxa"/>
            <w:vAlign w:val="center"/>
          </w:tcPr>
          <w:p>
            <w:pPr>
              <w:jc w:val="center"/>
              <w:rPr>
                <w:szCs w:val="21"/>
              </w:rPr>
            </w:pPr>
            <w:r>
              <w:rPr>
                <w:rFonts w:hint="eastAsia"/>
                <w:szCs w:val="21"/>
              </w:rPr>
              <w:t>提供奖项复印件</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735" w:type="dxa"/>
            <w:vMerge w:val="continue"/>
            <w:vAlign w:val="center"/>
          </w:tcPr>
          <w:p>
            <w:pPr>
              <w:jc w:val="center"/>
              <w:rPr>
                <w:szCs w:val="21"/>
              </w:rPr>
            </w:pPr>
          </w:p>
        </w:tc>
        <w:tc>
          <w:tcPr>
            <w:tcW w:w="401" w:type="dxa"/>
            <w:vMerge w:val="continue"/>
            <w:vAlign w:val="center"/>
          </w:tcPr>
          <w:p>
            <w:pPr>
              <w:jc w:val="center"/>
              <w:rPr>
                <w:szCs w:val="21"/>
              </w:rPr>
            </w:pPr>
          </w:p>
        </w:tc>
        <w:tc>
          <w:tcPr>
            <w:tcW w:w="2076" w:type="dxa"/>
            <w:vAlign w:val="center"/>
          </w:tcPr>
          <w:p>
            <w:pPr>
              <w:jc w:val="center"/>
              <w:rPr>
                <w:szCs w:val="21"/>
              </w:rPr>
            </w:pPr>
            <w:r>
              <w:rPr>
                <w:rFonts w:hint="eastAsia"/>
                <w:szCs w:val="21"/>
              </w:rPr>
              <w:t>项目规模及性质的简要说明</w:t>
            </w:r>
          </w:p>
        </w:tc>
        <w:tc>
          <w:tcPr>
            <w:tcW w:w="4514" w:type="dxa"/>
            <w:vAlign w:val="center"/>
          </w:tcPr>
          <w:p>
            <w:pPr>
              <w:jc w:val="center"/>
              <w:rPr>
                <w:szCs w:val="21"/>
              </w:rPr>
            </w:pPr>
          </w:p>
        </w:tc>
        <w:tc>
          <w:tcPr>
            <w:tcW w:w="1411" w:type="dxa"/>
            <w:vAlign w:val="center"/>
          </w:tcPr>
          <w:p>
            <w:pPr>
              <w:jc w:val="center"/>
              <w:rPr>
                <w:szCs w:val="21"/>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735" w:type="dxa"/>
            <w:vAlign w:val="center"/>
          </w:tcPr>
          <w:p>
            <w:pPr>
              <w:jc w:val="center"/>
              <w:rPr>
                <w:szCs w:val="21"/>
              </w:rPr>
            </w:pPr>
            <w:r>
              <w:rPr>
                <w:rFonts w:hint="eastAsia"/>
                <w:b/>
                <w:szCs w:val="21"/>
              </w:rPr>
              <w:t>四</w:t>
            </w:r>
          </w:p>
        </w:tc>
        <w:tc>
          <w:tcPr>
            <w:tcW w:w="6991" w:type="dxa"/>
            <w:gridSpan w:val="3"/>
            <w:vAlign w:val="center"/>
          </w:tcPr>
          <w:p>
            <w:pPr>
              <w:rPr>
                <w:b/>
                <w:szCs w:val="21"/>
              </w:rPr>
            </w:pPr>
            <w:r>
              <w:rPr>
                <w:rFonts w:hint="eastAsia"/>
                <w:b/>
                <w:szCs w:val="21"/>
              </w:rPr>
              <w:t>企业技术力量</w:t>
            </w:r>
          </w:p>
        </w:tc>
        <w:tc>
          <w:tcPr>
            <w:tcW w:w="1411" w:type="dxa"/>
            <w:vAlign w:val="center"/>
          </w:tcPr>
          <w:p>
            <w:pPr>
              <w:jc w:val="center"/>
              <w:rPr>
                <w:szCs w:val="21"/>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735" w:type="dxa"/>
            <w:vAlign w:val="center"/>
          </w:tcPr>
          <w:p>
            <w:pPr>
              <w:jc w:val="center"/>
              <w:rPr>
                <w:szCs w:val="21"/>
              </w:rPr>
            </w:pPr>
            <w:r>
              <w:rPr>
                <w:rFonts w:hint="eastAsia"/>
                <w:szCs w:val="21"/>
              </w:rPr>
              <w:t>1</w:t>
            </w:r>
          </w:p>
        </w:tc>
        <w:tc>
          <w:tcPr>
            <w:tcW w:w="2477" w:type="dxa"/>
            <w:gridSpan w:val="2"/>
            <w:vAlign w:val="center"/>
          </w:tcPr>
          <w:p>
            <w:pPr>
              <w:jc w:val="center"/>
              <w:rPr>
                <w:szCs w:val="21"/>
              </w:rPr>
            </w:pPr>
            <w:r>
              <w:rPr>
                <w:rFonts w:hint="eastAsia"/>
                <w:szCs w:val="21"/>
              </w:rPr>
              <w:t>企业技术人员构成情况</w:t>
            </w:r>
          </w:p>
        </w:tc>
        <w:tc>
          <w:tcPr>
            <w:tcW w:w="4514" w:type="dxa"/>
            <w:vAlign w:val="center"/>
          </w:tcPr>
          <w:p>
            <w:pPr>
              <w:jc w:val="center"/>
              <w:rPr>
                <w:szCs w:val="21"/>
              </w:rPr>
            </w:pPr>
          </w:p>
        </w:tc>
        <w:tc>
          <w:tcPr>
            <w:tcW w:w="1411" w:type="dxa"/>
            <w:vAlign w:val="center"/>
          </w:tcPr>
          <w:p>
            <w:pPr>
              <w:jc w:val="center"/>
              <w:rPr>
                <w:szCs w:val="21"/>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735" w:type="dxa"/>
            <w:vAlign w:val="center"/>
          </w:tcPr>
          <w:p>
            <w:pPr>
              <w:jc w:val="center"/>
              <w:rPr>
                <w:szCs w:val="21"/>
              </w:rPr>
            </w:pPr>
            <w:r>
              <w:rPr>
                <w:rFonts w:hint="eastAsia"/>
                <w:szCs w:val="21"/>
              </w:rPr>
              <w:t>2</w:t>
            </w:r>
          </w:p>
        </w:tc>
        <w:tc>
          <w:tcPr>
            <w:tcW w:w="2477" w:type="dxa"/>
            <w:gridSpan w:val="2"/>
            <w:vAlign w:val="center"/>
          </w:tcPr>
          <w:p>
            <w:pPr>
              <w:jc w:val="center"/>
              <w:rPr>
                <w:szCs w:val="21"/>
              </w:rPr>
            </w:pPr>
            <w:r>
              <w:rPr>
                <w:rFonts w:hint="eastAsia"/>
                <w:szCs w:val="21"/>
              </w:rPr>
              <w:t>企业专业设施、设备情况</w:t>
            </w:r>
          </w:p>
        </w:tc>
        <w:tc>
          <w:tcPr>
            <w:tcW w:w="4514" w:type="dxa"/>
            <w:vAlign w:val="center"/>
          </w:tcPr>
          <w:p>
            <w:pPr>
              <w:jc w:val="center"/>
              <w:rPr>
                <w:szCs w:val="21"/>
              </w:rPr>
            </w:pPr>
          </w:p>
        </w:tc>
        <w:tc>
          <w:tcPr>
            <w:tcW w:w="1411" w:type="dxa"/>
            <w:vAlign w:val="center"/>
          </w:tcPr>
          <w:p>
            <w:pPr>
              <w:jc w:val="center"/>
              <w:rPr>
                <w:szCs w:val="21"/>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735" w:type="dxa"/>
            <w:vAlign w:val="center"/>
          </w:tcPr>
          <w:p>
            <w:pPr>
              <w:jc w:val="center"/>
              <w:rPr>
                <w:szCs w:val="21"/>
              </w:rPr>
            </w:pPr>
            <w:r>
              <w:rPr>
                <w:rFonts w:hint="eastAsia"/>
                <w:szCs w:val="21"/>
              </w:rPr>
              <w:t>3</w:t>
            </w:r>
          </w:p>
        </w:tc>
        <w:tc>
          <w:tcPr>
            <w:tcW w:w="2477" w:type="dxa"/>
            <w:gridSpan w:val="2"/>
            <w:vAlign w:val="center"/>
          </w:tcPr>
          <w:p>
            <w:pPr>
              <w:jc w:val="center"/>
              <w:rPr>
                <w:szCs w:val="21"/>
              </w:rPr>
            </w:pPr>
          </w:p>
        </w:tc>
        <w:tc>
          <w:tcPr>
            <w:tcW w:w="4514" w:type="dxa"/>
            <w:vAlign w:val="center"/>
          </w:tcPr>
          <w:p>
            <w:pPr>
              <w:jc w:val="center"/>
              <w:rPr>
                <w:szCs w:val="21"/>
              </w:rPr>
            </w:pPr>
          </w:p>
        </w:tc>
        <w:tc>
          <w:tcPr>
            <w:tcW w:w="1411" w:type="dxa"/>
            <w:vAlign w:val="center"/>
          </w:tcPr>
          <w:p>
            <w:pPr>
              <w:jc w:val="center"/>
              <w:rPr>
                <w:szCs w:val="21"/>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735" w:type="dxa"/>
            <w:vAlign w:val="center"/>
          </w:tcPr>
          <w:p>
            <w:pPr>
              <w:jc w:val="center"/>
              <w:rPr>
                <w:b/>
                <w:szCs w:val="21"/>
              </w:rPr>
            </w:pPr>
            <w:r>
              <w:rPr>
                <w:rFonts w:hint="eastAsia"/>
                <w:b/>
                <w:szCs w:val="21"/>
              </w:rPr>
              <w:t>五</w:t>
            </w:r>
          </w:p>
        </w:tc>
        <w:tc>
          <w:tcPr>
            <w:tcW w:w="6991" w:type="dxa"/>
            <w:gridSpan w:val="3"/>
            <w:vAlign w:val="center"/>
          </w:tcPr>
          <w:p>
            <w:pPr>
              <w:rPr>
                <w:b/>
                <w:szCs w:val="21"/>
              </w:rPr>
            </w:pPr>
            <w:r>
              <w:rPr>
                <w:rFonts w:hint="eastAsia"/>
                <w:b/>
                <w:szCs w:val="21"/>
              </w:rPr>
              <w:t>其他</w:t>
            </w:r>
            <w:r>
              <w:rPr>
                <w:rFonts w:hint="eastAsia"/>
                <w:szCs w:val="21"/>
              </w:rPr>
              <w:t>（投标人认为需补充的其他说明）</w:t>
            </w:r>
          </w:p>
        </w:tc>
        <w:tc>
          <w:tcPr>
            <w:tcW w:w="1411" w:type="dxa"/>
            <w:vAlign w:val="center"/>
          </w:tcPr>
          <w:p>
            <w:pPr>
              <w:jc w:val="center"/>
              <w:rPr>
                <w:szCs w:val="21"/>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735" w:type="dxa"/>
            <w:vAlign w:val="center"/>
          </w:tcPr>
          <w:p>
            <w:pPr>
              <w:jc w:val="center"/>
              <w:rPr>
                <w:szCs w:val="21"/>
              </w:rPr>
            </w:pPr>
            <w:r>
              <w:rPr>
                <w:rFonts w:hint="eastAsia"/>
                <w:szCs w:val="21"/>
              </w:rPr>
              <w:t>1</w:t>
            </w:r>
          </w:p>
        </w:tc>
        <w:tc>
          <w:tcPr>
            <w:tcW w:w="2477" w:type="dxa"/>
            <w:gridSpan w:val="2"/>
            <w:vAlign w:val="center"/>
          </w:tcPr>
          <w:p>
            <w:pPr>
              <w:jc w:val="center"/>
              <w:rPr>
                <w:szCs w:val="21"/>
              </w:rPr>
            </w:pPr>
          </w:p>
        </w:tc>
        <w:tc>
          <w:tcPr>
            <w:tcW w:w="4514" w:type="dxa"/>
            <w:vAlign w:val="center"/>
          </w:tcPr>
          <w:p>
            <w:pPr>
              <w:jc w:val="center"/>
              <w:rPr>
                <w:szCs w:val="21"/>
              </w:rPr>
            </w:pPr>
          </w:p>
        </w:tc>
        <w:tc>
          <w:tcPr>
            <w:tcW w:w="1411" w:type="dxa"/>
            <w:vAlign w:val="center"/>
          </w:tcPr>
          <w:p>
            <w:pPr>
              <w:jc w:val="center"/>
              <w:rPr>
                <w:szCs w:val="21"/>
              </w:rPr>
            </w:pPr>
          </w:p>
        </w:tc>
      </w:tr>
    </w:tbl>
    <w:p>
      <w:pPr>
        <w:ind w:left="632" w:hanging="632" w:hangingChars="300"/>
        <w:rPr>
          <w:b/>
          <w:bCs/>
        </w:rPr>
      </w:pPr>
      <w:r>
        <w:rPr>
          <w:rFonts w:hint="eastAsia"/>
          <w:b/>
          <w:bCs/>
        </w:rPr>
        <w:t>注：1、在按要求填写好此表格后，各投标单位可以用其它的方式，就公司整体情况作出详细的介绍。</w:t>
      </w:r>
    </w:p>
    <w:p>
      <w:pPr>
        <w:ind w:firstLine="420"/>
        <w:rPr>
          <w:b/>
          <w:bCs/>
        </w:rPr>
      </w:pPr>
      <w:r>
        <w:rPr>
          <w:rFonts w:hint="eastAsia"/>
          <w:b/>
          <w:bCs/>
        </w:rPr>
        <w:t>2、有关资质和获奖情况需提供证书复印件，原件备查。</w:t>
      </w:r>
    </w:p>
    <w:p>
      <w:pPr>
        <w:rPr>
          <w:b/>
          <w:bCs/>
        </w:rPr>
      </w:pPr>
    </w:p>
    <w:p>
      <w:pPr>
        <w:rPr>
          <w:b/>
          <w:bCs/>
        </w:rPr>
      </w:pPr>
    </w:p>
    <w:p>
      <w:pPr>
        <w:rPr>
          <w:b/>
          <w:bCs/>
        </w:rPr>
      </w:pPr>
      <w:r>
        <w:rPr>
          <w:b/>
          <w:bCs/>
        </w:rPr>
        <w:br w:type="page"/>
      </w:r>
    </w:p>
    <w:p>
      <w:pPr>
        <w:rPr>
          <w:b/>
          <w:bCs/>
        </w:rPr>
      </w:pPr>
      <w:r>
        <w:rPr>
          <w:rFonts w:hint="eastAsia" w:ascii="仿宋_GB2312" w:eastAsia="仿宋_GB2312"/>
          <w:b/>
          <w:color w:val="FF0000"/>
          <w:sz w:val="30"/>
          <w:szCs w:val="30"/>
        </w:rPr>
        <w:t>投标文件第二</w:t>
      </w:r>
      <w:r>
        <w:rPr>
          <w:rFonts w:ascii="仿宋_GB2312" w:eastAsia="仿宋_GB2312"/>
          <w:b/>
          <w:color w:val="FF0000"/>
          <w:sz w:val="30"/>
          <w:szCs w:val="30"/>
        </w:rPr>
        <w:t>部分</w:t>
      </w:r>
      <w:r>
        <w:rPr>
          <w:rFonts w:hint="eastAsia" w:ascii="仿宋_GB2312" w:eastAsia="仿宋_GB2312"/>
          <w:b/>
          <w:color w:val="FF0000"/>
          <w:sz w:val="30"/>
          <w:szCs w:val="30"/>
        </w:rPr>
        <w:t>：</w:t>
      </w:r>
    </w:p>
    <w:p>
      <w:pPr>
        <w:pStyle w:val="3"/>
        <w:jc w:val="center"/>
        <w:rPr>
          <w:rFonts w:ascii="黑体" w:eastAsia="黑体"/>
          <w:b w:val="0"/>
          <w:sz w:val="24"/>
          <w:szCs w:val="24"/>
        </w:rPr>
      </w:pPr>
      <w:r>
        <w:rPr>
          <w:rFonts w:hint="eastAsia" w:ascii="黑体" w:eastAsia="黑体"/>
          <w:b w:val="0"/>
          <w:kern w:val="0"/>
          <w:sz w:val="24"/>
          <w:szCs w:val="24"/>
        </w:rPr>
        <w:t>一、授权委托</w:t>
      </w:r>
      <w:r>
        <w:rPr>
          <w:rFonts w:hint="eastAsia" w:ascii="黑体" w:eastAsia="黑体"/>
          <w:b w:val="0"/>
          <w:sz w:val="24"/>
          <w:szCs w:val="24"/>
        </w:rPr>
        <w:t>代理人联系方式</w:t>
      </w:r>
    </w:p>
    <w:p>
      <w:pPr>
        <w:spacing w:line="360" w:lineRule="auto"/>
        <w:ind w:firstLine="420" w:firstLineChars="200"/>
        <w:rPr>
          <w:szCs w:val="21"/>
        </w:rPr>
      </w:pPr>
      <w:r>
        <w:rPr>
          <w:rFonts w:hint="eastAsia"/>
          <w:szCs w:val="21"/>
        </w:rPr>
        <w:t>本授权委托书声明：我</w:t>
      </w:r>
      <w:r>
        <w:rPr>
          <w:rFonts w:hint="eastAsia"/>
          <w:szCs w:val="21"/>
          <w:u w:val="single"/>
        </w:rPr>
        <w:t xml:space="preserve">           </w:t>
      </w:r>
      <w:r>
        <w:rPr>
          <w:rFonts w:hint="eastAsia"/>
          <w:szCs w:val="21"/>
        </w:rPr>
        <w:t>（姓名）系</w:t>
      </w:r>
      <w:r>
        <w:rPr>
          <w:rFonts w:hint="eastAsia"/>
          <w:szCs w:val="21"/>
          <w:u w:val="single"/>
        </w:rPr>
        <w:t xml:space="preserve">             </w:t>
      </w:r>
      <w:r>
        <w:rPr>
          <w:rFonts w:hint="eastAsia"/>
          <w:szCs w:val="21"/>
        </w:rPr>
        <w:t>（投标人名称）的法定代表人，现授权委托</w:t>
      </w:r>
      <w:r>
        <w:rPr>
          <w:rFonts w:hint="eastAsia"/>
          <w:szCs w:val="21"/>
          <w:u w:val="single"/>
        </w:rPr>
        <w:t xml:space="preserve">                     </w:t>
      </w:r>
      <w:r>
        <w:rPr>
          <w:rFonts w:hint="eastAsia"/>
          <w:szCs w:val="21"/>
        </w:rPr>
        <w:t>（单位名称）的</w:t>
      </w:r>
      <w:r>
        <w:rPr>
          <w:rFonts w:hint="eastAsia"/>
          <w:szCs w:val="21"/>
          <w:u w:val="single"/>
        </w:rPr>
        <w:t xml:space="preserve">            </w:t>
      </w:r>
      <w:r>
        <w:rPr>
          <w:rFonts w:hint="eastAsia"/>
          <w:szCs w:val="21"/>
        </w:rPr>
        <w:t>（姓名）为我公司签署本项目已递交的投标文件的法定代表人的授权委托代理人，代理人全权代表我所签署的本项目已递交的投标文件内容我均承认。</w:t>
      </w:r>
    </w:p>
    <w:p>
      <w:pPr>
        <w:pStyle w:val="7"/>
        <w:spacing w:line="360" w:lineRule="auto"/>
        <w:rPr>
          <w:szCs w:val="21"/>
        </w:rPr>
      </w:pPr>
      <w:r>
        <w:rPr>
          <w:rFonts w:hint="eastAsia"/>
          <w:szCs w:val="21"/>
        </w:rPr>
        <w:t>代理人无转委托权，特此委托。</w:t>
      </w:r>
    </w:p>
    <w:p>
      <w:pPr>
        <w:rPr>
          <w:szCs w:val="21"/>
        </w:rPr>
      </w:pPr>
    </w:p>
    <w:p>
      <w:pPr>
        <w:spacing w:line="360" w:lineRule="auto"/>
        <w:ind w:left="540" w:leftChars="257"/>
        <w:rPr>
          <w:szCs w:val="21"/>
          <w:u w:val="single"/>
        </w:rPr>
      </w:pPr>
      <w:r>
        <w:rPr>
          <w:rFonts w:hint="eastAsia"/>
          <w:szCs w:val="21"/>
        </w:rPr>
        <w:t>代理人：</w:t>
      </w:r>
      <w:r>
        <w:rPr>
          <w:rFonts w:hint="eastAsia"/>
          <w:szCs w:val="21"/>
          <w:u w:val="single"/>
        </w:rPr>
        <w:t xml:space="preserve">             </w:t>
      </w:r>
      <w:r>
        <w:rPr>
          <w:rFonts w:hint="eastAsia"/>
          <w:szCs w:val="21"/>
        </w:rPr>
        <w:t>性别：</w:t>
      </w:r>
      <w:r>
        <w:rPr>
          <w:rFonts w:hint="eastAsia"/>
          <w:szCs w:val="21"/>
          <w:u w:val="single"/>
        </w:rPr>
        <w:t xml:space="preserve">     </w:t>
      </w:r>
      <w:r>
        <w:rPr>
          <w:rFonts w:hint="eastAsia"/>
          <w:szCs w:val="21"/>
        </w:rPr>
        <w:t>年龄：</w:t>
      </w:r>
      <w:r>
        <w:rPr>
          <w:rFonts w:hint="eastAsia"/>
          <w:szCs w:val="21"/>
          <w:u w:val="single"/>
        </w:rPr>
        <w:t xml:space="preserve">           </w:t>
      </w:r>
    </w:p>
    <w:p>
      <w:pPr>
        <w:spacing w:line="360" w:lineRule="auto"/>
        <w:ind w:left="540" w:leftChars="257"/>
        <w:rPr>
          <w:szCs w:val="21"/>
        </w:rPr>
      </w:pPr>
      <w:r>
        <w:rPr>
          <w:rFonts w:hint="eastAsia"/>
          <w:szCs w:val="21"/>
        </w:rPr>
        <w:t>联系电话：</w:t>
      </w:r>
      <w:r>
        <w:rPr>
          <w:rFonts w:hint="eastAsia"/>
          <w:szCs w:val="21"/>
          <w:u w:val="single"/>
        </w:rPr>
        <w:t xml:space="preserve">            </w:t>
      </w:r>
      <w:r>
        <w:rPr>
          <w:rFonts w:hint="eastAsia"/>
          <w:szCs w:val="21"/>
        </w:rPr>
        <w:t xml:space="preserve">  手机：</w:t>
      </w:r>
      <w:r>
        <w:rPr>
          <w:rFonts w:hint="eastAsia"/>
          <w:szCs w:val="21"/>
          <w:u w:val="single"/>
        </w:rPr>
        <w:t xml:space="preserve">                   </w:t>
      </w:r>
    </w:p>
    <w:p>
      <w:pPr>
        <w:spacing w:line="360" w:lineRule="auto"/>
        <w:ind w:left="540" w:leftChars="257"/>
        <w:rPr>
          <w:szCs w:val="21"/>
          <w:u w:val="single"/>
        </w:rPr>
      </w:pPr>
      <w:r>
        <w:rPr>
          <w:rFonts w:hint="eastAsia"/>
          <w:szCs w:val="21"/>
        </w:rPr>
        <w:t>身份证号码：</w:t>
      </w:r>
      <w:r>
        <w:rPr>
          <w:rFonts w:hint="eastAsia"/>
          <w:szCs w:val="21"/>
          <w:u w:val="single"/>
        </w:rPr>
        <w:t xml:space="preserve">                        </w:t>
      </w:r>
      <w:r>
        <w:rPr>
          <w:rFonts w:hint="eastAsia"/>
          <w:szCs w:val="21"/>
        </w:rPr>
        <w:t>职务：</w:t>
      </w:r>
      <w:r>
        <w:rPr>
          <w:rFonts w:hint="eastAsia"/>
          <w:szCs w:val="21"/>
          <w:u w:val="single"/>
        </w:rPr>
        <w:t xml:space="preserve">       </w:t>
      </w:r>
    </w:p>
    <w:p>
      <w:pPr>
        <w:spacing w:line="360" w:lineRule="auto"/>
        <w:ind w:left="540" w:leftChars="257"/>
        <w:rPr>
          <w:szCs w:val="21"/>
        </w:rPr>
      </w:pPr>
      <w:r>
        <w:rPr>
          <w:rFonts w:hint="eastAsia"/>
          <w:szCs w:val="21"/>
        </w:rPr>
        <w:t>投标人：</w:t>
      </w:r>
      <w:r>
        <w:rPr>
          <w:rFonts w:hint="eastAsia"/>
          <w:szCs w:val="21"/>
          <w:u w:val="single"/>
        </w:rPr>
        <w:t xml:space="preserve">                                         </w:t>
      </w:r>
    </w:p>
    <w:p>
      <w:pPr>
        <w:spacing w:line="360" w:lineRule="auto"/>
        <w:ind w:left="540" w:leftChars="257"/>
        <w:rPr>
          <w:szCs w:val="21"/>
        </w:rPr>
      </w:pPr>
      <w:r>
        <w:rPr>
          <w:rFonts w:hint="eastAsia"/>
          <w:szCs w:val="21"/>
        </w:rPr>
        <w:t>法定代表人：</w:t>
      </w:r>
      <w:r>
        <w:rPr>
          <w:rFonts w:hint="eastAsia"/>
          <w:szCs w:val="21"/>
          <w:u w:val="single"/>
        </w:rPr>
        <w:t xml:space="preserve">                            </w:t>
      </w:r>
      <w:r>
        <w:rPr>
          <w:rFonts w:hint="eastAsia"/>
          <w:szCs w:val="21"/>
        </w:rPr>
        <w:t>（签名或</w:t>
      </w:r>
      <w:r>
        <w:rPr>
          <w:szCs w:val="21"/>
        </w:rPr>
        <w:t>签章</w:t>
      </w:r>
      <w:r>
        <w:rPr>
          <w:rFonts w:hint="eastAsia"/>
          <w:szCs w:val="21"/>
        </w:rPr>
        <w:t>）  （公章）</w:t>
      </w:r>
    </w:p>
    <w:p>
      <w:pPr>
        <w:ind w:firstLine="420"/>
        <w:rPr>
          <w:szCs w:val="21"/>
        </w:rPr>
      </w:pPr>
      <w:r>
        <w:rPr>
          <w:rFonts w:hint="eastAsia"/>
          <w:szCs w:val="21"/>
        </w:rPr>
        <w:t>授权委托日期：</w:t>
      </w:r>
      <w:r>
        <w:rPr>
          <w:rFonts w:hint="eastAsia"/>
          <w:szCs w:val="21"/>
          <w:u w:val="single"/>
        </w:rPr>
        <w:t xml:space="preserve">         </w:t>
      </w:r>
      <w:r>
        <w:rPr>
          <w:rFonts w:hint="eastAsia"/>
          <w:szCs w:val="21"/>
        </w:rPr>
        <w:t>年</w:t>
      </w:r>
      <w:r>
        <w:rPr>
          <w:rFonts w:hint="eastAsia"/>
          <w:szCs w:val="21"/>
          <w:u w:val="single"/>
        </w:rPr>
        <w:t xml:space="preserve">     </w:t>
      </w:r>
      <w:r>
        <w:rPr>
          <w:rFonts w:hint="eastAsia"/>
          <w:szCs w:val="21"/>
        </w:rPr>
        <w:t xml:space="preserve">月 </w:t>
      </w:r>
      <w:r>
        <w:rPr>
          <w:rFonts w:hint="eastAsia"/>
          <w:szCs w:val="21"/>
          <w:u w:val="single"/>
        </w:rPr>
        <w:t xml:space="preserve">      </w:t>
      </w:r>
      <w:r>
        <w:rPr>
          <w:rFonts w:hint="eastAsia"/>
          <w:szCs w:val="21"/>
        </w:rPr>
        <w:t>日</w:t>
      </w:r>
    </w:p>
    <w:p>
      <w:pPr>
        <w:ind w:firstLine="420"/>
        <w:rPr>
          <w:b/>
          <w:bCs/>
        </w:rPr>
      </w:pPr>
      <w:r>
        <w:rPr>
          <w:szCs w:val="21"/>
        </w:rPr>
        <w:br w:type="page"/>
      </w:r>
    </w:p>
    <w:p>
      <w:pPr>
        <w:pStyle w:val="3"/>
        <w:jc w:val="center"/>
        <w:rPr>
          <w:rFonts w:ascii="黑体" w:eastAsia="黑体"/>
          <w:b w:val="0"/>
          <w:kern w:val="0"/>
          <w:sz w:val="24"/>
        </w:rPr>
      </w:pPr>
      <w:bookmarkStart w:id="36" w:name="_Toc100052461"/>
      <w:bookmarkStart w:id="37" w:name="_Toc101074892"/>
      <w:r>
        <w:rPr>
          <w:rFonts w:hint="eastAsia" w:ascii="黑体" w:eastAsia="黑体"/>
          <w:b w:val="0"/>
          <w:kern w:val="0"/>
          <w:sz w:val="24"/>
        </w:rPr>
        <w:t>二、</w:t>
      </w:r>
      <w:bookmarkEnd w:id="36"/>
      <w:bookmarkEnd w:id="37"/>
      <w:r>
        <w:rPr>
          <w:rFonts w:hint="eastAsia" w:ascii="黑体" w:eastAsia="黑体"/>
          <w:b w:val="0"/>
          <w:kern w:val="0"/>
          <w:sz w:val="24"/>
        </w:rPr>
        <w:t>工程量清单报价格式</w:t>
      </w:r>
    </w:p>
    <w:p>
      <w:pPr>
        <w:wordWrap w:val="0"/>
        <w:jc w:val="center"/>
        <w:rPr>
          <w:rFonts w:ascii="华文新魏" w:hAnsi="华文新魏" w:eastAsia="华文新魏"/>
          <w:b/>
          <w:sz w:val="48"/>
          <w:szCs w:val="48"/>
        </w:rPr>
      </w:pPr>
      <w:bookmarkStart w:id="38" w:name="_Toc84303613"/>
      <w:bookmarkStart w:id="39" w:name="_Toc71860049"/>
      <w:bookmarkStart w:id="40" w:name="_Toc100052462"/>
      <w:bookmarkStart w:id="41" w:name="_Toc101074893"/>
      <w:bookmarkStart w:id="42" w:name="_Toc69878058"/>
      <w:bookmarkStart w:id="43" w:name="_Toc71860051"/>
      <w:bookmarkStart w:id="44" w:name="_Toc45964657"/>
      <w:bookmarkStart w:id="45" w:name="_Toc73521628"/>
      <w:bookmarkStart w:id="46" w:name="_Toc100052479"/>
      <w:bookmarkStart w:id="47" w:name="_Toc73517714"/>
      <w:bookmarkStart w:id="48" w:name="_Toc60631689"/>
      <w:bookmarkStart w:id="49" w:name="_Toc73521716"/>
      <w:bookmarkStart w:id="50" w:name="_Toc73518192"/>
      <w:bookmarkStart w:id="51" w:name="_Toc71860066"/>
      <w:bookmarkStart w:id="52" w:name="_Toc101074909"/>
      <w:r>
        <w:rPr>
          <w:rFonts w:ascii="华文新魏" w:hAnsi="华文新魏" w:eastAsia="华文新魏"/>
          <w:b/>
          <w:sz w:val="48"/>
          <w:szCs w:val="48"/>
        </w:rPr>
        <w:t>单位工程费汇总表</w:t>
      </w:r>
    </w:p>
    <w:p>
      <w:pPr>
        <w:wordWrap w:val="0"/>
        <w:rPr>
          <w:rFonts w:ascii="Calibri" w:hAnsi="宋体"/>
        </w:rPr>
      </w:pPr>
    </w:p>
    <w:tbl>
      <w:tblPr>
        <w:tblStyle w:val="54"/>
        <w:tblW w:w="8296" w:type="dxa"/>
        <w:tblInd w:w="0" w:type="dxa"/>
        <w:tblLayout w:type="fixed"/>
        <w:tblCellMar>
          <w:top w:w="0" w:type="dxa"/>
          <w:left w:w="0" w:type="dxa"/>
          <w:bottom w:w="0" w:type="dxa"/>
          <w:right w:w="0" w:type="dxa"/>
        </w:tblCellMar>
      </w:tblPr>
      <w:tblGrid>
        <w:gridCol w:w="567"/>
        <w:gridCol w:w="5472"/>
        <w:gridCol w:w="2257"/>
      </w:tblGrid>
      <w:tr>
        <w:tblPrEx>
          <w:tblCellMar>
            <w:top w:w="0" w:type="dxa"/>
            <w:left w:w="0" w:type="dxa"/>
            <w:bottom w:w="0" w:type="dxa"/>
            <w:right w:w="0" w:type="dxa"/>
          </w:tblCellMar>
        </w:tblPrEx>
        <w:trPr>
          <w:trHeight w:val="409" w:hRule="atLeast"/>
        </w:trPr>
        <w:tc>
          <w:tcPr>
            <w:tcW w:w="6039" w:type="dxa"/>
            <w:gridSpan w:val="2"/>
            <w:tcBorders>
              <w:top w:val="nil"/>
              <w:left w:val="nil"/>
              <w:bottom w:val="nil"/>
              <w:right w:val="nil"/>
            </w:tcBorders>
            <w:tcMar>
              <w:left w:w="15" w:type="dxa"/>
              <w:right w:w="15" w:type="dxa"/>
            </w:tcMar>
            <w:vAlign w:val="center"/>
          </w:tcPr>
          <w:p>
            <w:pPr>
              <w:wordWrap w:val="0"/>
              <w:rPr>
                <w:rFonts w:ascii="宋体" w:hAnsi="Arial" w:eastAsia="Arial"/>
                <w:color w:val="000000"/>
                <w:sz w:val="20"/>
                <w:szCs w:val="20"/>
              </w:rPr>
            </w:pPr>
            <w:r>
              <w:rPr>
                <w:rFonts w:ascii="Calibri" w:hAnsi="宋体"/>
                <w:color w:val="000000"/>
                <w:sz w:val="20"/>
                <w:szCs w:val="20"/>
              </w:rPr>
              <w:t>单位工程名称</w:t>
            </w:r>
            <w:r>
              <w:rPr>
                <w:rFonts w:ascii="Calibri" w:hAnsi="Arial" w:eastAsia="Arial"/>
                <w:color w:val="000000"/>
                <w:sz w:val="20"/>
                <w:szCs w:val="20"/>
              </w:rPr>
              <w:t>:</w:t>
            </w:r>
            <w:r>
              <w:rPr>
                <w:rFonts w:ascii="Calibri" w:hAnsi="宋体"/>
                <w:color w:val="000000"/>
                <w:sz w:val="20"/>
                <w:szCs w:val="20"/>
              </w:rPr>
              <w:t xml:space="preserve"> </w:t>
            </w:r>
          </w:p>
        </w:tc>
        <w:tc>
          <w:tcPr>
            <w:tcW w:w="2257" w:type="dxa"/>
            <w:tcBorders>
              <w:top w:val="nil"/>
              <w:left w:val="nil"/>
              <w:bottom w:val="nil"/>
              <w:right w:val="nil"/>
            </w:tcBorders>
            <w:tcMar>
              <w:left w:w="15" w:type="dxa"/>
              <w:right w:w="15" w:type="dxa"/>
            </w:tcMar>
            <w:vAlign w:val="center"/>
          </w:tcPr>
          <w:p>
            <w:pPr>
              <w:wordWrap w:val="0"/>
              <w:jc w:val="right"/>
              <w:rPr>
                <w:rFonts w:ascii="宋体" w:hAnsi="Arial" w:eastAsia="Arial"/>
                <w:color w:val="000000"/>
                <w:sz w:val="20"/>
                <w:szCs w:val="20"/>
              </w:rPr>
            </w:pPr>
            <w:r>
              <w:rPr>
                <w:rFonts w:ascii="Calibri" w:hAnsi="宋体"/>
                <w:color w:val="000000"/>
                <w:sz w:val="20"/>
                <w:szCs w:val="20"/>
              </w:rPr>
              <w:t>第</w:t>
            </w:r>
            <w:r>
              <w:rPr>
                <w:rFonts w:ascii="Calibri" w:hAnsi="Arial" w:eastAsia="Arial"/>
                <w:color w:val="000000"/>
                <w:sz w:val="20"/>
                <w:szCs w:val="20"/>
              </w:rPr>
              <w:t>1</w:t>
            </w:r>
            <w:r>
              <w:rPr>
                <w:rFonts w:hint="eastAsia" w:ascii="微软雅黑" w:hAnsi="微软雅黑" w:eastAsia="微软雅黑" w:cs="微软雅黑"/>
                <w:color w:val="000000"/>
                <w:sz w:val="20"/>
                <w:szCs w:val="20"/>
              </w:rPr>
              <w:t>页</w:t>
            </w:r>
            <w:r>
              <w:rPr>
                <w:rFonts w:ascii="Calibri" w:hAnsi="Arial" w:eastAsia="Arial"/>
                <w:color w:val="000000"/>
                <w:sz w:val="20"/>
                <w:szCs w:val="20"/>
              </w:rPr>
              <w:t xml:space="preserve"> </w:t>
            </w:r>
            <w:r>
              <w:rPr>
                <w:rFonts w:hint="eastAsia" w:ascii="微软雅黑" w:hAnsi="微软雅黑" w:eastAsia="微软雅黑" w:cs="微软雅黑"/>
                <w:color w:val="000000"/>
                <w:sz w:val="20"/>
                <w:szCs w:val="20"/>
              </w:rPr>
              <w:t>共</w:t>
            </w:r>
            <w:r>
              <w:rPr>
                <w:rFonts w:ascii="Calibri" w:hAnsi="宋体"/>
                <w:color w:val="000000"/>
                <w:sz w:val="20"/>
                <w:szCs w:val="20"/>
              </w:rPr>
              <w:t>2</w:t>
            </w:r>
            <w:r>
              <w:rPr>
                <w:rFonts w:hint="eastAsia" w:ascii="微软雅黑" w:hAnsi="微软雅黑" w:eastAsia="微软雅黑" w:cs="微软雅黑"/>
                <w:color w:val="000000"/>
                <w:sz w:val="20"/>
                <w:szCs w:val="20"/>
              </w:rPr>
              <w:t>页</w:t>
            </w:r>
          </w:p>
        </w:tc>
      </w:tr>
      <w:tr>
        <w:tblPrEx>
          <w:tblCellMar>
            <w:top w:w="0" w:type="dxa"/>
            <w:left w:w="0" w:type="dxa"/>
            <w:bottom w:w="0" w:type="dxa"/>
            <w:right w:w="0" w:type="dxa"/>
          </w:tblCellMar>
        </w:tblPrEx>
        <w:trPr>
          <w:trHeight w:val="342" w:hRule="atLeast"/>
        </w:trPr>
        <w:tc>
          <w:tcPr>
            <w:tcW w:w="567" w:type="dxa"/>
            <w:tcBorders>
              <w:top w:val="single" w:color="auto" w:sz="4" w:space="0"/>
              <w:left w:val="single" w:color="auto" w:sz="4" w:space="0"/>
              <w:bottom w:val="single" w:color="auto" w:sz="4" w:space="0"/>
              <w:right w:val="single" w:color="auto" w:sz="4" w:space="0"/>
            </w:tcBorders>
            <w:tcMar>
              <w:left w:w="15" w:type="dxa"/>
              <w:right w:w="15" w:type="dxa"/>
            </w:tcMar>
            <w:vAlign w:val="center"/>
          </w:tcPr>
          <w:p>
            <w:pPr>
              <w:wordWrap w:val="0"/>
              <w:jc w:val="center"/>
              <w:rPr>
                <w:rFonts w:ascii="宋体" w:hAnsi="Arial" w:eastAsia="Arial"/>
                <w:sz w:val="20"/>
                <w:szCs w:val="20"/>
              </w:rPr>
            </w:pPr>
            <w:r>
              <w:rPr>
                <w:rFonts w:ascii="Calibri" w:hAnsi="宋体"/>
                <w:sz w:val="20"/>
                <w:szCs w:val="20"/>
              </w:rPr>
              <w:t>序号</w:t>
            </w:r>
          </w:p>
        </w:tc>
        <w:tc>
          <w:tcPr>
            <w:tcW w:w="5472" w:type="dxa"/>
            <w:tcBorders>
              <w:top w:val="single" w:color="auto" w:sz="4" w:space="0"/>
              <w:left w:val="nil"/>
              <w:bottom w:val="single" w:color="auto" w:sz="4" w:space="0"/>
              <w:right w:val="single" w:color="auto" w:sz="4" w:space="0"/>
            </w:tcBorders>
            <w:tcMar>
              <w:left w:w="15" w:type="dxa"/>
              <w:right w:w="15" w:type="dxa"/>
            </w:tcMar>
            <w:vAlign w:val="center"/>
          </w:tcPr>
          <w:p>
            <w:pPr>
              <w:wordWrap w:val="0"/>
              <w:jc w:val="center"/>
              <w:rPr>
                <w:rFonts w:ascii="宋体" w:hAnsi="Arial" w:eastAsia="Arial"/>
                <w:sz w:val="20"/>
                <w:szCs w:val="20"/>
              </w:rPr>
            </w:pPr>
            <w:r>
              <w:rPr>
                <w:rFonts w:ascii="Calibri" w:hAnsi="宋体"/>
                <w:sz w:val="20"/>
                <w:szCs w:val="20"/>
              </w:rPr>
              <w:t>单位工程名称</w:t>
            </w:r>
          </w:p>
        </w:tc>
        <w:tc>
          <w:tcPr>
            <w:tcW w:w="2257" w:type="dxa"/>
            <w:tcBorders>
              <w:top w:val="single" w:color="auto" w:sz="4" w:space="0"/>
              <w:left w:val="nil"/>
              <w:bottom w:val="single" w:color="auto" w:sz="4" w:space="0"/>
              <w:right w:val="single" w:color="auto" w:sz="4" w:space="0"/>
            </w:tcBorders>
            <w:tcMar>
              <w:left w:w="15" w:type="dxa"/>
              <w:right w:w="15" w:type="dxa"/>
            </w:tcMar>
            <w:vAlign w:val="center"/>
          </w:tcPr>
          <w:p>
            <w:pPr>
              <w:wordWrap w:val="0"/>
              <w:jc w:val="center"/>
              <w:rPr>
                <w:rFonts w:ascii="宋体" w:hAnsi="Arial" w:eastAsia="Arial"/>
                <w:sz w:val="20"/>
                <w:szCs w:val="20"/>
              </w:rPr>
            </w:pPr>
            <w:r>
              <w:rPr>
                <w:rFonts w:ascii="Calibri" w:hAnsi="宋体"/>
                <w:sz w:val="20"/>
                <w:szCs w:val="20"/>
              </w:rPr>
              <w:t>金额</w:t>
            </w:r>
            <w:r>
              <w:rPr>
                <w:rFonts w:ascii="Calibri" w:hAnsi="Arial" w:eastAsia="Arial"/>
                <w:sz w:val="20"/>
                <w:szCs w:val="20"/>
              </w:rPr>
              <w:t>(</w:t>
            </w:r>
            <w:r>
              <w:rPr>
                <w:rFonts w:hint="eastAsia" w:ascii="微软雅黑" w:hAnsi="微软雅黑" w:eastAsia="微软雅黑" w:cs="微软雅黑"/>
                <w:sz w:val="20"/>
                <w:szCs w:val="20"/>
              </w:rPr>
              <w:t>元</w:t>
            </w:r>
            <w:r>
              <w:rPr>
                <w:rFonts w:ascii="Calibri" w:hAnsi="Arial" w:eastAsia="Arial"/>
                <w:sz w:val="20"/>
                <w:szCs w:val="20"/>
              </w:rPr>
              <w:t>)</w:t>
            </w:r>
          </w:p>
        </w:tc>
      </w:tr>
      <w:tr>
        <w:tblPrEx>
          <w:tblCellMar>
            <w:top w:w="0" w:type="dxa"/>
            <w:left w:w="0" w:type="dxa"/>
            <w:bottom w:w="0" w:type="dxa"/>
            <w:right w:w="0" w:type="dxa"/>
          </w:tblCellMar>
        </w:tblPrEx>
        <w:trPr>
          <w:trHeight w:val="342" w:hRule="atLeast"/>
        </w:trPr>
        <w:tc>
          <w:tcPr>
            <w:tcW w:w="567" w:type="dxa"/>
            <w:tcBorders>
              <w:top w:val="nil"/>
              <w:left w:val="single" w:color="auto" w:sz="4" w:space="0"/>
              <w:bottom w:val="single" w:color="auto" w:sz="4" w:space="0"/>
              <w:right w:val="single" w:color="auto" w:sz="4" w:space="0"/>
            </w:tcBorders>
            <w:tcMar>
              <w:left w:w="15" w:type="dxa"/>
              <w:right w:w="15" w:type="dxa"/>
            </w:tcMar>
            <w:vAlign w:val="center"/>
          </w:tcPr>
          <w:p>
            <w:pPr>
              <w:wordWrap w:val="0"/>
              <w:jc w:val="center"/>
              <w:rPr>
                <w:rFonts w:ascii="宋体" w:hAnsi="Arial" w:eastAsia="Arial"/>
                <w:sz w:val="18"/>
                <w:szCs w:val="18"/>
              </w:rPr>
            </w:pPr>
            <w:r>
              <w:rPr>
                <w:rFonts w:ascii="Calibri" w:hAnsi="Arial" w:eastAsia="Arial"/>
                <w:sz w:val="18"/>
                <w:szCs w:val="18"/>
              </w:rPr>
              <w:t>1</w:t>
            </w:r>
          </w:p>
        </w:tc>
        <w:tc>
          <w:tcPr>
            <w:tcW w:w="5472" w:type="dxa"/>
            <w:tcBorders>
              <w:top w:val="nil"/>
              <w:left w:val="nil"/>
              <w:bottom w:val="single" w:color="auto" w:sz="4" w:space="0"/>
              <w:right w:val="single" w:color="auto" w:sz="4" w:space="0"/>
            </w:tcBorders>
            <w:tcMar>
              <w:left w:w="15" w:type="dxa"/>
              <w:right w:w="15" w:type="dxa"/>
            </w:tcMar>
            <w:vAlign w:val="center"/>
          </w:tcPr>
          <w:p>
            <w:pPr>
              <w:wordWrap w:val="0"/>
              <w:rPr>
                <w:rFonts w:ascii="宋体" w:hAnsi="Arial" w:eastAsia="Arial"/>
                <w:sz w:val="18"/>
                <w:szCs w:val="18"/>
              </w:rPr>
            </w:pPr>
            <w:r>
              <w:rPr>
                <w:rFonts w:ascii="Calibri" w:hAnsi="宋体"/>
                <w:sz w:val="18"/>
                <w:szCs w:val="18"/>
              </w:rPr>
              <w:t>分部分项工程量清单计价合计</w:t>
            </w:r>
          </w:p>
        </w:tc>
        <w:tc>
          <w:tcPr>
            <w:tcW w:w="2257" w:type="dxa"/>
            <w:tcBorders>
              <w:top w:val="nil"/>
              <w:left w:val="nil"/>
              <w:bottom w:val="single" w:color="auto" w:sz="4" w:space="0"/>
              <w:right w:val="single" w:color="auto" w:sz="4" w:space="0"/>
            </w:tcBorders>
            <w:tcMar>
              <w:left w:w="15" w:type="dxa"/>
              <w:right w:w="15" w:type="dxa"/>
            </w:tcMar>
            <w:vAlign w:val="center"/>
          </w:tcPr>
          <w:p>
            <w:pPr>
              <w:wordWrap w:val="0"/>
              <w:jc w:val="right"/>
              <w:rPr>
                <w:rFonts w:ascii="宋体" w:hAnsi="Arial" w:eastAsia="Arial"/>
                <w:sz w:val="18"/>
                <w:szCs w:val="18"/>
              </w:rPr>
            </w:pPr>
            <w:r>
              <w:rPr>
                <w:rFonts w:ascii="Calibri" w:hAnsi="宋体"/>
                <w:sz w:val="18"/>
                <w:szCs w:val="18"/>
              </w:rPr>
              <w:t>　</w:t>
            </w:r>
          </w:p>
        </w:tc>
      </w:tr>
      <w:tr>
        <w:tblPrEx>
          <w:tblCellMar>
            <w:top w:w="0" w:type="dxa"/>
            <w:left w:w="0" w:type="dxa"/>
            <w:bottom w:w="0" w:type="dxa"/>
            <w:right w:w="0" w:type="dxa"/>
          </w:tblCellMar>
        </w:tblPrEx>
        <w:trPr>
          <w:trHeight w:val="342" w:hRule="atLeast"/>
        </w:trPr>
        <w:tc>
          <w:tcPr>
            <w:tcW w:w="567" w:type="dxa"/>
            <w:tcBorders>
              <w:top w:val="nil"/>
              <w:left w:val="single" w:color="auto" w:sz="4" w:space="0"/>
              <w:bottom w:val="single" w:color="auto" w:sz="4" w:space="0"/>
              <w:right w:val="single" w:color="auto" w:sz="4" w:space="0"/>
            </w:tcBorders>
            <w:tcMar>
              <w:left w:w="15" w:type="dxa"/>
              <w:right w:w="15" w:type="dxa"/>
            </w:tcMar>
            <w:vAlign w:val="center"/>
          </w:tcPr>
          <w:p>
            <w:pPr>
              <w:wordWrap w:val="0"/>
              <w:jc w:val="center"/>
              <w:rPr>
                <w:rFonts w:ascii="宋体" w:hAnsi="Arial" w:eastAsia="Arial"/>
                <w:sz w:val="18"/>
                <w:szCs w:val="18"/>
              </w:rPr>
            </w:pPr>
            <w:r>
              <w:rPr>
                <w:rFonts w:ascii="Calibri" w:hAnsi="Arial" w:eastAsia="Arial"/>
                <w:sz w:val="18"/>
                <w:szCs w:val="18"/>
              </w:rPr>
              <w:t>2</w:t>
            </w:r>
          </w:p>
        </w:tc>
        <w:tc>
          <w:tcPr>
            <w:tcW w:w="5472" w:type="dxa"/>
            <w:tcBorders>
              <w:top w:val="nil"/>
              <w:left w:val="nil"/>
              <w:bottom w:val="single" w:color="auto" w:sz="4" w:space="0"/>
              <w:right w:val="single" w:color="auto" w:sz="4" w:space="0"/>
            </w:tcBorders>
            <w:tcMar>
              <w:left w:w="15" w:type="dxa"/>
              <w:right w:w="15" w:type="dxa"/>
            </w:tcMar>
            <w:vAlign w:val="center"/>
          </w:tcPr>
          <w:p>
            <w:pPr>
              <w:wordWrap w:val="0"/>
              <w:rPr>
                <w:rFonts w:ascii="宋体" w:hAnsi="Arial" w:eastAsia="Arial"/>
                <w:sz w:val="18"/>
                <w:szCs w:val="18"/>
              </w:rPr>
            </w:pPr>
            <w:r>
              <w:rPr>
                <w:rFonts w:ascii="Calibri" w:hAnsi="宋体"/>
                <w:sz w:val="18"/>
                <w:szCs w:val="18"/>
              </w:rPr>
              <w:t>措施项目清单计价合计</w:t>
            </w:r>
          </w:p>
        </w:tc>
        <w:tc>
          <w:tcPr>
            <w:tcW w:w="2257" w:type="dxa"/>
            <w:tcBorders>
              <w:top w:val="nil"/>
              <w:left w:val="nil"/>
              <w:bottom w:val="single" w:color="auto" w:sz="4" w:space="0"/>
              <w:right w:val="single" w:color="auto" w:sz="4" w:space="0"/>
            </w:tcBorders>
            <w:tcMar>
              <w:left w:w="15" w:type="dxa"/>
              <w:right w:w="15" w:type="dxa"/>
            </w:tcMar>
            <w:vAlign w:val="center"/>
          </w:tcPr>
          <w:p>
            <w:pPr>
              <w:wordWrap w:val="0"/>
              <w:jc w:val="center"/>
              <w:rPr>
                <w:rFonts w:ascii="宋体" w:hAnsi="Arial" w:eastAsia="Arial"/>
                <w:sz w:val="18"/>
                <w:szCs w:val="18"/>
              </w:rPr>
            </w:pPr>
            <w:r>
              <w:rPr>
                <w:rFonts w:ascii="Calibri" w:hAnsi="宋体"/>
                <w:color w:val="FF0000"/>
                <w:sz w:val="18"/>
                <w:szCs w:val="18"/>
              </w:rPr>
              <w:t>0</w:t>
            </w:r>
          </w:p>
        </w:tc>
      </w:tr>
      <w:tr>
        <w:tblPrEx>
          <w:tblCellMar>
            <w:top w:w="0" w:type="dxa"/>
            <w:left w:w="0" w:type="dxa"/>
            <w:bottom w:w="0" w:type="dxa"/>
            <w:right w:w="0" w:type="dxa"/>
          </w:tblCellMar>
        </w:tblPrEx>
        <w:trPr>
          <w:trHeight w:val="342" w:hRule="atLeast"/>
        </w:trPr>
        <w:tc>
          <w:tcPr>
            <w:tcW w:w="567" w:type="dxa"/>
            <w:tcBorders>
              <w:top w:val="nil"/>
              <w:left w:val="single" w:color="auto" w:sz="4" w:space="0"/>
              <w:bottom w:val="single" w:color="auto" w:sz="4" w:space="0"/>
              <w:right w:val="single" w:color="auto" w:sz="4" w:space="0"/>
            </w:tcBorders>
            <w:tcMar>
              <w:left w:w="15" w:type="dxa"/>
              <w:right w:w="15" w:type="dxa"/>
            </w:tcMar>
            <w:vAlign w:val="center"/>
          </w:tcPr>
          <w:p>
            <w:pPr>
              <w:wordWrap w:val="0"/>
              <w:jc w:val="center"/>
              <w:rPr>
                <w:rFonts w:ascii="宋体" w:hAnsi="Arial" w:eastAsia="Arial"/>
                <w:sz w:val="18"/>
                <w:szCs w:val="18"/>
              </w:rPr>
            </w:pPr>
            <w:r>
              <w:rPr>
                <w:rFonts w:ascii="Calibri" w:hAnsi="Arial" w:eastAsia="Arial"/>
                <w:sz w:val="18"/>
                <w:szCs w:val="18"/>
              </w:rPr>
              <w:t>3</w:t>
            </w:r>
          </w:p>
        </w:tc>
        <w:tc>
          <w:tcPr>
            <w:tcW w:w="5472" w:type="dxa"/>
            <w:tcBorders>
              <w:top w:val="nil"/>
              <w:left w:val="nil"/>
              <w:bottom w:val="single" w:color="auto" w:sz="4" w:space="0"/>
              <w:right w:val="single" w:color="auto" w:sz="4" w:space="0"/>
            </w:tcBorders>
            <w:tcMar>
              <w:left w:w="15" w:type="dxa"/>
              <w:right w:w="15" w:type="dxa"/>
            </w:tcMar>
            <w:vAlign w:val="center"/>
          </w:tcPr>
          <w:p>
            <w:pPr>
              <w:wordWrap w:val="0"/>
              <w:rPr>
                <w:rFonts w:ascii="宋体" w:hAnsi="Arial" w:eastAsia="Arial"/>
                <w:sz w:val="18"/>
                <w:szCs w:val="18"/>
              </w:rPr>
            </w:pPr>
            <w:r>
              <w:rPr>
                <w:rFonts w:ascii="Calibri" w:hAnsi="宋体"/>
                <w:sz w:val="18"/>
                <w:szCs w:val="18"/>
              </w:rPr>
              <w:t>其它项目清单计价合计</w:t>
            </w:r>
          </w:p>
        </w:tc>
        <w:tc>
          <w:tcPr>
            <w:tcW w:w="2257" w:type="dxa"/>
            <w:tcBorders>
              <w:top w:val="nil"/>
              <w:left w:val="nil"/>
              <w:bottom w:val="single" w:color="auto" w:sz="4" w:space="0"/>
              <w:right w:val="single" w:color="auto" w:sz="4" w:space="0"/>
            </w:tcBorders>
            <w:tcMar>
              <w:left w:w="15" w:type="dxa"/>
              <w:right w:w="15" w:type="dxa"/>
            </w:tcMar>
            <w:vAlign w:val="center"/>
          </w:tcPr>
          <w:p>
            <w:pPr>
              <w:wordWrap w:val="0"/>
              <w:jc w:val="center"/>
              <w:rPr>
                <w:rFonts w:ascii="宋体" w:hAnsi="Arial" w:eastAsia="Arial"/>
                <w:sz w:val="18"/>
                <w:szCs w:val="18"/>
              </w:rPr>
            </w:pPr>
          </w:p>
        </w:tc>
      </w:tr>
      <w:tr>
        <w:tblPrEx>
          <w:tblCellMar>
            <w:top w:w="0" w:type="dxa"/>
            <w:left w:w="0" w:type="dxa"/>
            <w:bottom w:w="0" w:type="dxa"/>
            <w:right w:w="0" w:type="dxa"/>
          </w:tblCellMar>
        </w:tblPrEx>
        <w:trPr>
          <w:trHeight w:val="342" w:hRule="atLeast"/>
        </w:trPr>
        <w:tc>
          <w:tcPr>
            <w:tcW w:w="567" w:type="dxa"/>
            <w:tcBorders>
              <w:top w:val="nil"/>
              <w:left w:val="single" w:color="auto" w:sz="4" w:space="0"/>
              <w:bottom w:val="single" w:color="auto" w:sz="4" w:space="0"/>
              <w:right w:val="single" w:color="auto" w:sz="4" w:space="0"/>
            </w:tcBorders>
            <w:tcMar>
              <w:left w:w="15" w:type="dxa"/>
              <w:right w:w="15" w:type="dxa"/>
            </w:tcMar>
            <w:vAlign w:val="center"/>
          </w:tcPr>
          <w:p>
            <w:pPr>
              <w:wordWrap w:val="0"/>
              <w:jc w:val="center"/>
              <w:rPr>
                <w:rFonts w:ascii="宋体" w:hAnsi="Arial" w:eastAsia="Arial"/>
                <w:sz w:val="18"/>
                <w:szCs w:val="18"/>
              </w:rPr>
            </w:pPr>
            <w:r>
              <w:rPr>
                <w:rFonts w:ascii="Calibri" w:hAnsi="Arial" w:eastAsia="Arial"/>
                <w:sz w:val="18"/>
                <w:szCs w:val="18"/>
              </w:rPr>
              <w:t>4</w:t>
            </w:r>
          </w:p>
        </w:tc>
        <w:tc>
          <w:tcPr>
            <w:tcW w:w="5472" w:type="dxa"/>
            <w:tcBorders>
              <w:top w:val="nil"/>
              <w:left w:val="nil"/>
              <w:bottom w:val="single" w:color="auto" w:sz="4" w:space="0"/>
              <w:right w:val="single" w:color="auto" w:sz="4" w:space="0"/>
            </w:tcBorders>
            <w:tcMar>
              <w:left w:w="15" w:type="dxa"/>
              <w:right w:w="15" w:type="dxa"/>
            </w:tcMar>
            <w:vAlign w:val="center"/>
          </w:tcPr>
          <w:p>
            <w:pPr>
              <w:wordWrap w:val="0"/>
              <w:rPr>
                <w:rFonts w:ascii="宋体" w:hAnsi="Arial" w:eastAsia="Arial"/>
                <w:sz w:val="18"/>
                <w:szCs w:val="18"/>
              </w:rPr>
            </w:pPr>
            <w:r>
              <w:rPr>
                <w:rFonts w:ascii="Calibri" w:hAnsi="宋体"/>
                <w:sz w:val="18"/>
                <w:szCs w:val="18"/>
              </w:rPr>
              <w:t>规费</w:t>
            </w:r>
          </w:p>
        </w:tc>
        <w:tc>
          <w:tcPr>
            <w:tcW w:w="2257" w:type="dxa"/>
            <w:tcBorders>
              <w:top w:val="nil"/>
              <w:left w:val="nil"/>
              <w:bottom w:val="single" w:color="auto" w:sz="4" w:space="0"/>
              <w:right w:val="single" w:color="auto" w:sz="4" w:space="0"/>
            </w:tcBorders>
            <w:tcMar>
              <w:left w:w="15" w:type="dxa"/>
              <w:right w:w="15" w:type="dxa"/>
            </w:tcMar>
            <w:vAlign w:val="center"/>
          </w:tcPr>
          <w:p>
            <w:pPr>
              <w:wordWrap w:val="0"/>
              <w:jc w:val="center"/>
              <w:rPr>
                <w:rFonts w:ascii="宋体" w:hAnsi="Arial" w:eastAsia="Arial"/>
                <w:sz w:val="18"/>
                <w:szCs w:val="18"/>
              </w:rPr>
            </w:pPr>
            <w:r>
              <w:rPr>
                <w:rFonts w:ascii="Calibri" w:hAnsi="宋体"/>
                <w:color w:val="FF0000"/>
                <w:sz w:val="18"/>
                <w:szCs w:val="18"/>
              </w:rPr>
              <w:t>0</w:t>
            </w:r>
          </w:p>
        </w:tc>
      </w:tr>
      <w:tr>
        <w:tblPrEx>
          <w:tblCellMar>
            <w:top w:w="0" w:type="dxa"/>
            <w:left w:w="0" w:type="dxa"/>
            <w:bottom w:w="0" w:type="dxa"/>
            <w:right w:w="0" w:type="dxa"/>
          </w:tblCellMar>
        </w:tblPrEx>
        <w:trPr>
          <w:trHeight w:val="342" w:hRule="atLeast"/>
        </w:trPr>
        <w:tc>
          <w:tcPr>
            <w:tcW w:w="567" w:type="dxa"/>
            <w:tcBorders>
              <w:top w:val="nil"/>
              <w:left w:val="single" w:color="auto" w:sz="4" w:space="0"/>
              <w:bottom w:val="single" w:color="auto" w:sz="4" w:space="0"/>
              <w:right w:val="single" w:color="auto" w:sz="4" w:space="0"/>
            </w:tcBorders>
            <w:tcMar>
              <w:left w:w="15" w:type="dxa"/>
              <w:right w:w="15" w:type="dxa"/>
            </w:tcMar>
            <w:vAlign w:val="center"/>
          </w:tcPr>
          <w:p>
            <w:pPr>
              <w:wordWrap w:val="0"/>
              <w:jc w:val="center"/>
              <w:rPr>
                <w:rFonts w:ascii="宋体" w:hAnsi="Arial" w:eastAsia="Arial"/>
                <w:sz w:val="18"/>
                <w:szCs w:val="18"/>
              </w:rPr>
            </w:pPr>
            <w:r>
              <w:rPr>
                <w:rFonts w:ascii="Calibri" w:hAnsi="Arial" w:eastAsia="Arial"/>
                <w:sz w:val="18"/>
                <w:szCs w:val="18"/>
              </w:rPr>
              <w:t>5</w:t>
            </w:r>
          </w:p>
        </w:tc>
        <w:tc>
          <w:tcPr>
            <w:tcW w:w="5472" w:type="dxa"/>
            <w:tcBorders>
              <w:top w:val="nil"/>
              <w:left w:val="nil"/>
              <w:bottom w:val="single" w:color="auto" w:sz="4" w:space="0"/>
              <w:right w:val="single" w:color="auto" w:sz="4" w:space="0"/>
            </w:tcBorders>
            <w:tcMar>
              <w:left w:w="15" w:type="dxa"/>
              <w:right w:w="15" w:type="dxa"/>
            </w:tcMar>
            <w:vAlign w:val="center"/>
          </w:tcPr>
          <w:p>
            <w:pPr>
              <w:wordWrap w:val="0"/>
              <w:rPr>
                <w:rFonts w:ascii="宋体" w:hAnsi="Arial" w:eastAsia="Arial"/>
                <w:sz w:val="18"/>
                <w:szCs w:val="18"/>
              </w:rPr>
            </w:pPr>
            <w:r>
              <w:rPr>
                <w:rFonts w:ascii="Calibri" w:hAnsi="宋体"/>
                <w:sz w:val="18"/>
                <w:szCs w:val="18"/>
              </w:rPr>
              <w:t>不含税工程造价</w:t>
            </w:r>
            <w:r>
              <w:rPr>
                <w:rFonts w:ascii="Calibri" w:hAnsi="Arial" w:eastAsia="Arial"/>
                <w:sz w:val="18"/>
                <w:szCs w:val="18"/>
              </w:rPr>
              <w:t>[(5)=(1)+(2)+(3)+(4)]</w:t>
            </w:r>
          </w:p>
        </w:tc>
        <w:tc>
          <w:tcPr>
            <w:tcW w:w="2257" w:type="dxa"/>
            <w:tcBorders>
              <w:top w:val="nil"/>
              <w:left w:val="nil"/>
              <w:bottom w:val="single" w:color="auto" w:sz="4" w:space="0"/>
              <w:right w:val="single" w:color="auto" w:sz="4" w:space="0"/>
            </w:tcBorders>
            <w:tcMar>
              <w:left w:w="15" w:type="dxa"/>
              <w:right w:w="15" w:type="dxa"/>
            </w:tcMar>
            <w:vAlign w:val="center"/>
          </w:tcPr>
          <w:p>
            <w:pPr>
              <w:wordWrap w:val="0"/>
              <w:jc w:val="right"/>
              <w:rPr>
                <w:rFonts w:ascii="宋体" w:hAnsi="Arial" w:eastAsia="Arial"/>
                <w:sz w:val="18"/>
                <w:szCs w:val="18"/>
              </w:rPr>
            </w:pPr>
            <w:r>
              <w:rPr>
                <w:rFonts w:ascii="Calibri" w:hAnsi="宋体"/>
                <w:sz w:val="18"/>
                <w:szCs w:val="18"/>
              </w:rPr>
              <w:t>　</w:t>
            </w:r>
          </w:p>
        </w:tc>
      </w:tr>
      <w:tr>
        <w:tblPrEx>
          <w:tblCellMar>
            <w:top w:w="0" w:type="dxa"/>
            <w:left w:w="0" w:type="dxa"/>
            <w:bottom w:w="0" w:type="dxa"/>
            <w:right w:w="0" w:type="dxa"/>
          </w:tblCellMar>
        </w:tblPrEx>
        <w:trPr>
          <w:trHeight w:val="342" w:hRule="atLeast"/>
        </w:trPr>
        <w:tc>
          <w:tcPr>
            <w:tcW w:w="567" w:type="dxa"/>
            <w:tcBorders>
              <w:top w:val="nil"/>
              <w:left w:val="single" w:color="auto" w:sz="4" w:space="0"/>
              <w:bottom w:val="single" w:color="auto" w:sz="4" w:space="0"/>
              <w:right w:val="single" w:color="auto" w:sz="4" w:space="0"/>
            </w:tcBorders>
            <w:tcMar>
              <w:left w:w="15" w:type="dxa"/>
              <w:right w:w="15" w:type="dxa"/>
            </w:tcMar>
            <w:vAlign w:val="center"/>
          </w:tcPr>
          <w:p>
            <w:pPr>
              <w:wordWrap w:val="0"/>
              <w:jc w:val="center"/>
              <w:rPr>
                <w:rFonts w:ascii="宋体" w:hAnsi="Arial" w:eastAsia="Arial"/>
                <w:sz w:val="18"/>
                <w:szCs w:val="18"/>
              </w:rPr>
            </w:pPr>
            <w:r>
              <w:rPr>
                <w:rFonts w:ascii="Calibri" w:hAnsi="Arial" w:eastAsia="Arial"/>
                <w:sz w:val="18"/>
                <w:szCs w:val="18"/>
              </w:rPr>
              <w:t>6</w:t>
            </w:r>
          </w:p>
        </w:tc>
        <w:tc>
          <w:tcPr>
            <w:tcW w:w="5472" w:type="dxa"/>
            <w:tcBorders>
              <w:top w:val="nil"/>
              <w:left w:val="nil"/>
              <w:bottom w:val="single" w:color="auto" w:sz="4" w:space="0"/>
              <w:right w:val="single" w:color="auto" w:sz="4" w:space="0"/>
            </w:tcBorders>
            <w:tcMar>
              <w:left w:w="15" w:type="dxa"/>
              <w:right w:w="15" w:type="dxa"/>
            </w:tcMar>
            <w:vAlign w:val="center"/>
          </w:tcPr>
          <w:p>
            <w:pPr>
              <w:wordWrap w:val="0"/>
              <w:rPr>
                <w:rFonts w:ascii="宋体" w:hAnsi="Arial" w:eastAsia="Arial"/>
                <w:sz w:val="18"/>
                <w:szCs w:val="18"/>
              </w:rPr>
            </w:pPr>
            <w:r>
              <w:rPr>
                <w:rFonts w:ascii="Calibri" w:hAnsi="宋体"/>
                <w:sz w:val="18"/>
                <w:szCs w:val="18"/>
              </w:rPr>
              <w:t>只计税金项目费</w:t>
            </w:r>
          </w:p>
        </w:tc>
        <w:tc>
          <w:tcPr>
            <w:tcW w:w="2257" w:type="dxa"/>
            <w:tcBorders>
              <w:top w:val="nil"/>
              <w:left w:val="nil"/>
              <w:bottom w:val="single" w:color="auto" w:sz="4" w:space="0"/>
              <w:right w:val="single" w:color="auto" w:sz="4" w:space="0"/>
            </w:tcBorders>
            <w:tcMar>
              <w:left w:w="15" w:type="dxa"/>
              <w:right w:w="15" w:type="dxa"/>
            </w:tcMar>
            <w:vAlign w:val="center"/>
          </w:tcPr>
          <w:p>
            <w:pPr>
              <w:wordWrap w:val="0"/>
              <w:jc w:val="right"/>
              <w:rPr>
                <w:rFonts w:ascii="宋体" w:hAnsi="Arial" w:eastAsia="Arial"/>
                <w:sz w:val="18"/>
                <w:szCs w:val="18"/>
              </w:rPr>
            </w:pPr>
            <w:r>
              <w:rPr>
                <w:rFonts w:ascii="Calibri" w:hAnsi="宋体"/>
                <w:sz w:val="18"/>
                <w:szCs w:val="18"/>
              </w:rPr>
              <w:t>　</w:t>
            </w:r>
          </w:p>
        </w:tc>
      </w:tr>
      <w:tr>
        <w:tblPrEx>
          <w:tblCellMar>
            <w:top w:w="0" w:type="dxa"/>
            <w:left w:w="0" w:type="dxa"/>
            <w:bottom w:w="0" w:type="dxa"/>
            <w:right w:w="0" w:type="dxa"/>
          </w:tblCellMar>
        </w:tblPrEx>
        <w:trPr>
          <w:trHeight w:val="342" w:hRule="atLeast"/>
        </w:trPr>
        <w:tc>
          <w:tcPr>
            <w:tcW w:w="567" w:type="dxa"/>
            <w:tcBorders>
              <w:top w:val="nil"/>
              <w:left w:val="single" w:color="auto" w:sz="4" w:space="0"/>
              <w:bottom w:val="single" w:color="auto" w:sz="4" w:space="0"/>
              <w:right w:val="single" w:color="auto" w:sz="4" w:space="0"/>
            </w:tcBorders>
            <w:tcMar>
              <w:left w:w="15" w:type="dxa"/>
              <w:right w:w="15" w:type="dxa"/>
            </w:tcMar>
            <w:vAlign w:val="center"/>
          </w:tcPr>
          <w:p>
            <w:pPr>
              <w:wordWrap w:val="0"/>
              <w:jc w:val="center"/>
              <w:rPr>
                <w:rFonts w:ascii="宋体" w:hAnsi="Arial" w:eastAsia="Arial"/>
                <w:sz w:val="18"/>
                <w:szCs w:val="18"/>
              </w:rPr>
            </w:pPr>
            <w:r>
              <w:rPr>
                <w:rFonts w:ascii="Calibri" w:hAnsi="Arial" w:eastAsia="Arial"/>
                <w:sz w:val="18"/>
                <w:szCs w:val="18"/>
              </w:rPr>
              <w:t>7</w:t>
            </w:r>
          </w:p>
        </w:tc>
        <w:tc>
          <w:tcPr>
            <w:tcW w:w="5472" w:type="dxa"/>
            <w:tcBorders>
              <w:top w:val="nil"/>
              <w:left w:val="nil"/>
              <w:bottom w:val="single" w:color="auto" w:sz="4" w:space="0"/>
              <w:right w:val="single" w:color="auto" w:sz="4" w:space="0"/>
            </w:tcBorders>
            <w:tcMar>
              <w:left w:w="15" w:type="dxa"/>
              <w:right w:w="15" w:type="dxa"/>
            </w:tcMar>
            <w:vAlign w:val="center"/>
          </w:tcPr>
          <w:p>
            <w:pPr>
              <w:wordWrap w:val="0"/>
              <w:rPr>
                <w:rFonts w:ascii="宋体" w:hAnsi="Arial" w:eastAsia="Arial"/>
                <w:sz w:val="18"/>
                <w:szCs w:val="18"/>
              </w:rPr>
            </w:pPr>
            <w:r>
              <w:rPr>
                <w:rFonts w:ascii="Calibri" w:hAnsi="宋体"/>
                <w:sz w:val="18"/>
                <w:szCs w:val="18"/>
              </w:rPr>
              <w:t>税金</w:t>
            </w:r>
            <w:r>
              <w:rPr>
                <w:rFonts w:ascii="Calibri" w:hAnsi="Arial" w:eastAsia="Arial"/>
                <w:sz w:val="18"/>
                <w:szCs w:val="18"/>
              </w:rPr>
              <w:t>[(7)=(7.1)+(7.2)]</w:t>
            </w:r>
          </w:p>
        </w:tc>
        <w:tc>
          <w:tcPr>
            <w:tcW w:w="2257" w:type="dxa"/>
            <w:tcBorders>
              <w:top w:val="nil"/>
              <w:left w:val="nil"/>
              <w:bottom w:val="single" w:color="auto" w:sz="4" w:space="0"/>
              <w:right w:val="single" w:color="auto" w:sz="4" w:space="0"/>
            </w:tcBorders>
            <w:tcMar>
              <w:left w:w="15" w:type="dxa"/>
              <w:right w:w="15" w:type="dxa"/>
            </w:tcMar>
            <w:vAlign w:val="center"/>
          </w:tcPr>
          <w:p>
            <w:pPr>
              <w:wordWrap w:val="0"/>
              <w:jc w:val="right"/>
              <w:rPr>
                <w:rFonts w:ascii="宋体" w:hAnsi="Arial" w:eastAsia="Arial"/>
                <w:sz w:val="18"/>
                <w:szCs w:val="18"/>
              </w:rPr>
            </w:pPr>
            <w:r>
              <w:rPr>
                <w:rFonts w:ascii="Calibri" w:hAnsi="宋体"/>
                <w:sz w:val="18"/>
                <w:szCs w:val="18"/>
              </w:rPr>
              <w:t>　</w:t>
            </w:r>
          </w:p>
        </w:tc>
      </w:tr>
      <w:tr>
        <w:tblPrEx>
          <w:tblCellMar>
            <w:top w:w="0" w:type="dxa"/>
            <w:left w:w="0" w:type="dxa"/>
            <w:bottom w:w="0" w:type="dxa"/>
            <w:right w:w="0" w:type="dxa"/>
          </w:tblCellMar>
        </w:tblPrEx>
        <w:trPr>
          <w:trHeight w:val="342" w:hRule="atLeast"/>
        </w:trPr>
        <w:tc>
          <w:tcPr>
            <w:tcW w:w="567" w:type="dxa"/>
            <w:tcBorders>
              <w:top w:val="nil"/>
              <w:left w:val="single" w:color="auto" w:sz="4" w:space="0"/>
              <w:bottom w:val="single" w:color="auto" w:sz="4" w:space="0"/>
              <w:right w:val="single" w:color="auto" w:sz="4" w:space="0"/>
            </w:tcBorders>
            <w:tcMar>
              <w:left w:w="15" w:type="dxa"/>
              <w:right w:w="15" w:type="dxa"/>
            </w:tcMar>
            <w:vAlign w:val="center"/>
          </w:tcPr>
          <w:p>
            <w:pPr>
              <w:wordWrap w:val="0"/>
              <w:jc w:val="center"/>
              <w:rPr>
                <w:rFonts w:ascii="Calibri" w:hAnsi="Arial" w:eastAsiaTheme="minorEastAsia"/>
                <w:sz w:val="18"/>
                <w:szCs w:val="18"/>
              </w:rPr>
            </w:pPr>
            <w:r>
              <w:rPr>
                <w:rFonts w:hint="eastAsia" w:ascii="Calibri" w:hAnsi="Arial" w:eastAsiaTheme="minorEastAsia"/>
                <w:sz w:val="18"/>
                <w:szCs w:val="18"/>
              </w:rPr>
              <w:t>7.1</w:t>
            </w:r>
          </w:p>
        </w:tc>
        <w:tc>
          <w:tcPr>
            <w:tcW w:w="5472" w:type="dxa"/>
            <w:tcBorders>
              <w:top w:val="nil"/>
              <w:left w:val="nil"/>
              <w:bottom w:val="single" w:color="auto" w:sz="4" w:space="0"/>
              <w:right w:val="single" w:color="auto" w:sz="4" w:space="0"/>
            </w:tcBorders>
            <w:tcMar>
              <w:left w:w="15" w:type="dxa"/>
              <w:right w:w="15" w:type="dxa"/>
            </w:tcMar>
            <w:vAlign w:val="center"/>
          </w:tcPr>
          <w:p>
            <w:pPr>
              <w:wordWrap w:val="0"/>
              <w:rPr>
                <w:rFonts w:ascii="Calibri" w:hAnsi="宋体"/>
                <w:sz w:val="18"/>
                <w:szCs w:val="18"/>
              </w:rPr>
            </w:pPr>
            <w:r>
              <w:rPr>
                <w:rFonts w:hint="eastAsia" w:ascii="Calibri" w:hAnsi="宋体"/>
                <w:sz w:val="18"/>
                <w:szCs w:val="18"/>
              </w:rPr>
              <w:t>增值税</w:t>
            </w:r>
            <w:r>
              <w:rPr>
                <w:rFonts w:ascii="Calibri" w:hAnsi="宋体"/>
                <w:sz w:val="18"/>
                <w:szCs w:val="18"/>
              </w:rPr>
              <w:t>应纳税</w:t>
            </w:r>
            <w:r>
              <w:rPr>
                <w:rFonts w:hint="eastAsia" w:ascii="Calibri" w:hAnsi="宋体"/>
                <w:sz w:val="18"/>
                <w:szCs w:val="18"/>
              </w:rPr>
              <w:t>额 [(7</w:t>
            </w:r>
            <w:r>
              <w:rPr>
                <w:rFonts w:ascii="Calibri" w:hAnsi="宋体"/>
                <w:sz w:val="18"/>
                <w:szCs w:val="18"/>
              </w:rPr>
              <w:t>.1</w:t>
            </w:r>
            <w:r>
              <w:rPr>
                <w:rFonts w:hint="eastAsia" w:ascii="Calibri" w:hAnsi="宋体"/>
                <w:sz w:val="18"/>
                <w:szCs w:val="18"/>
              </w:rPr>
              <w:t>)=(5+6)×税金的费率(%)]</w:t>
            </w:r>
          </w:p>
        </w:tc>
        <w:tc>
          <w:tcPr>
            <w:tcW w:w="2257" w:type="dxa"/>
            <w:tcBorders>
              <w:top w:val="nil"/>
              <w:left w:val="nil"/>
              <w:bottom w:val="single" w:color="auto" w:sz="4" w:space="0"/>
              <w:right w:val="single" w:color="auto" w:sz="4" w:space="0"/>
            </w:tcBorders>
            <w:tcMar>
              <w:left w:w="15" w:type="dxa"/>
              <w:right w:w="15" w:type="dxa"/>
            </w:tcMar>
            <w:vAlign w:val="center"/>
          </w:tcPr>
          <w:p>
            <w:pPr>
              <w:wordWrap w:val="0"/>
              <w:jc w:val="right"/>
              <w:rPr>
                <w:rFonts w:ascii="Calibri" w:hAnsi="宋体"/>
                <w:sz w:val="18"/>
                <w:szCs w:val="18"/>
              </w:rPr>
            </w:pPr>
          </w:p>
        </w:tc>
      </w:tr>
      <w:tr>
        <w:tblPrEx>
          <w:tblCellMar>
            <w:top w:w="0" w:type="dxa"/>
            <w:left w:w="0" w:type="dxa"/>
            <w:bottom w:w="0" w:type="dxa"/>
            <w:right w:w="0" w:type="dxa"/>
          </w:tblCellMar>
        </w:tblPrEx>
        <w:trPr>
          <w:trHeight w:val="342" w:hRule="atLeast"/>
        </w:trPr>
        <w:tc>
          <w:tcPr>
            <w:tcW w:w="567" w:type="dxa"/>
            <w:tcBorders>
              <w:top w:val="nil"/>
              <w:left w:val="single" w:color="auto" w:sz="4" w:space="0"/>
              <w:bottom w:val="single" w:color="auto" w:sz="4" w:space="0"/>
              <w:right w:val="single" w:color="auto" w:sz="4" w:space="0"/>
            </w:tcBorders>
            <w:tcMar>
              <w:left w:w="15" w:type="dxa"/>
              <w:right w:w="15" w:type="dxa"/>
            </w:tcMar>
            <w:vAlign w:val="center"/>
          </w:tcPr>
          <w:p>
            <w:pPr>
              <w:wordWrap w:val="0"/>
              <w:jc w:val="center"/>
              <w:rPr>
                <w:rFonts w:ascii="Calibri" w:hAnsi="Arial" w:eastAsiaTheme="minorEastAsia"/>
                <w:sz w:val="18"/>
                <w:szCs w:val="18"/>
              </w:rPr>
            </w:pPr>
            <w:r>
              <w:rPr>
                <w:rFonts w:hint="eastAsia" w:ascii="Calibri" w:hAnsi="Arial" w:eastAsiaTheme="minorEastAsia"/>
                <w:sz w:val="18"/>
                <w:szCs w:val="18"/>
              </w:rPr>
              <w:t>7.2</w:t>
            </w:r>
          </w:p>
        </w:tc>
        <w:tc>
          <w:tcPr>
            <w:tcW w:w="5472" w:type="dxa"/>
            <w:tcBorders>
              <w:top w:val="nil"/>
              <w:left w:val="nil"/>
              <w:bottom w:val="single" w:color="auto" w:sz="4" w:space="0"/>
              <w:right w:val="single" w:color="auto" w:sz="4" w:space="0"/>
            </w:tcBorders>
            <w:tcMar>
              <w:left w:w="15" w:type="dxa"/>
              <w:right w:w="15" w:type="dxa"/>
            </w:tcMar>
            <w:vAlign w:val="center"/>
          </w:tcPr>
          <w:p>
            <w:pPr>
              <w:wordWrap w:val="0"/>
              <w:rPr>
                <w:rFonts w:ascii="Calibri" w:hAnsi="宋体"/>
                <w:sz w:val="18"/>
                <w:szCs w:val="18"/>
              </w:rPr>
            </w:pPr>
            <w:r>
              <w:rPr>
                <w:rFonts w:hint="eastAsia" w:ascii="Calibri" w:hAnsi="宋体"/>
                <w:sz w:val="18"/>
                <w:szCs w:val="18"/>
              </w:rPr>
              <w:t>城市</w:t>
            </w:r>
            <w:r>
              <w:rPr>
                <w:rFonts w:ascii="Calibri" w:hAnsi="宋体"/>
                <w:sz w:val="18"/>
                <w:szCs w:val="18"/>
              </w:rPr>
              <w:t>维护建设税、教育费附加及地方教育费附加</w:t>
            </w:r>
            <w:r>
              <w:rPr>
                <w:rFonts w:hint="eastAsia" w:ascii="Calibri" w:hAnsi="宋体"/>
                <w:sz w:val="18"/>
                <w:szCs w:val="18"/>
              </w:rPr>
              <w:t xml:space="preserve"> (7</w:t>
            </w:r>
            <w:r>
              <w:rPr>
                <w:rFonts w:ascii="Calibri" w:hAnsi="宋体"/>
                <w:sz w:val="18"/>
                <w:szCs w:val="18"/>
              </w:rPr>
              <w:t>.2</w:t>
            </w:r>
            <w:r>
              <w:rPr>
                <w:rFonts w:hint="eastAsia" w:ascii="Calibri" w:hAnsi="宋体"/>
                <w:sz w:val="18"/>
                <w:szCs w:val="18"/>
              </w:rPr>
              <w:t>)= (7</w:t>
            </w:r>
            <w:r>
              <w:rPr>
                <w:rFonts w:ascii="Calibri" w:hAnsi="宋体"/>
                <w:sz w:val="18"/>
                <w:szCs w:val="18"/>
              </w:rPr>
              <w:t>.1</w:t>
            </w:r>
            <w:r>
              <w:rPr>
                <w:rFonts w:hint="eastAsia" w:ascii="Calibri" w:hAnsi="宋体"/>
                <w:sz w:val="18"/>
                <w:szCs w:val="18"/>
              </w:rPr>
              <w:t>)×税金的费率(%)]</w:t>
            </w:r>
          </w:p>
        </w:tc>
        <w:tc>
          <w:tcPr>
            <w:tcW w:w="2257" w:type="dxa"/>
            <w:tcBorders>
              <w:top w:val="nil"/>
              <w:left w:val="nil"/>
              <w:bottom w:val="single" w:color="auto" w:sz="4" w:space="0"/>
              <w:right w:val="single" w:color="auto" w:sz="4" w:space="0"/>
            </w:tcBorders>
            <w:tcMar>
              <w:left w:w="15" w:type="dxa"/>
              <w:right w:w="15" w:type="dxa"/>
            </w:tcMar>
            <w:vAlign w:val="center"/>
          </w:tcPr>
          <w:p>
            <w:pPr>
              <w:wordWrap w:val="0"/>
              <w:jc w:val="right"/>
              <w:rPr>
                <w:rFonts w:ascii="Calibri" w:hAnsi="宋体"/>
                <w:sz w:val="18"/>
                <w:szCs w:val="18"/>
              </w:rPr>
            </w:pPr>
          </w:p>
        </w:tc>
      </w:tr>
      <w:tr>
        <w:tblPrEx>
          <w:tblCellMar>
            <w:top w:w="0" w:type="dxa"/>
            <w:left w:w="0" w:type="dxa"/>
            <w:bottom w:w="0" w:type="dxa"/>
            <w:right w:w="0" w:type="dxa"/>
          </w:tblCellMar>
        </w:tblPrEx>
        <w:trPr>
          <w:trHeight w:val="342" w:hRule="atLeast"/>
        </w:trPr>
        <w:tc>
          <w:tcPr>
            <w:tcW w:w="567" w:type="dxa"/>
            <w:tcBorders>
              <w:top w:val="nil"/>
              <w:left w:val="single" w:color="auto" w:sz="4" w:space="0"/>
              <w:bottom w:val="single" w:color="auto" w:sz="4" w:space="0"/>
              <w:right w:val="single" w:color="auto" w:sz="4" w:space="0"/>
            </w:tcBorders>
            <w:tcMar>
              <w:left w:w="15" w:type="dxa"/>
              <w:right w:w="15" w:type="dxa"/>
            </w:tcMar>
            <w:vAlign w:val="center"/>
          </w:tcPr>
          <w:p>
            <w:pPr>
              <w:wordWrap w:val="0"/>
              <w:jc w:val="center"/>
              <w:rPr>
                <w:rFonts w:ascii="宋体" w:hAnsi="Arial" w:eastAsia="Arial"/>
                <w:sz w:val="18"/>
                <w:szCs w:val="18"/>
              </w:rPr>
            </w:pPr>
            <w:r>
              <w:rPr>
                <w:rFonts w:ascii="Calibri" w:hAnsi="Arial" w:eastAsia="Arial"/>
                <w:sz w:val="18"/>
                <w:szCs w:val="18"/>
              </w:rPr>
              <w:t>8</w:t>
            </w:r>
          </w:p>
        </w:tc>
        <w:tc>
          <w:tcPr>
            <w:tcW w:w="5472" w:type="dxa"/>
            <w:tcBorders>
              <w:top w:val="nil"/>
              <w:left w:val="nil"/>
              <w:bottom w:val="single" w:color="auto" w:sz="4" w:space="0"/>
              <w:right w:val="single" w:color="auto" w:sz="4" w:space="0"/>
            </w:tcBorders>
            <w:tcMar>
              <w:left w:w="15" w:type="dxa"/>
              <w:right w:w="15" w:type="dxa"/>
            </w:tcMar>
            <w:vAlign w:val="center"/>
          </w:tcPr>
          <w:p>
            <w:pPr>
              <w:wordWrap w:val="0"/>
              <w:rPr>
                <w:rFonts w:ascii="宋体" w:hAnsi="Arial" w:eastAsia="Arial"/>
                <w:sz w:val="18"/>
                <w:szCs w:val="18"/>
              </w:rPr>
            </w:pPr>
            <w:r>
              <w:rPr>
                <w:rFonts w:ascii="Calibri" w:hAnsi="宋体"/>
                <w:sz w:val="18"/>
                <w:szCs w:val="18"/>
              </w:rPr>
              <w:t>不计税金项目费</w:t>
            </w:r>
          </w:p>
        </w:tc>
        <w:tc>
          <w:tcPr>
            <w:tcW w:w="2257" w:type="dxa"/>
            <w:tcBorders>
              <w:top w:val="nil"/>
              <w:left w:val="nil"/>
              <w:bottom w:val="single" w:color="auto" w:sz="4" w:space="0"/>
              <w:right w:val="single" w:color="auto" w:sz="4" w:space="0"/>
            </w:tcBorders>
            <w:tcMar>
              <w:left w:w="15" w:type="dxa"/>
              <w:right w:w="15" w:type="dxa"/>
            </w:tcMar>
            <w:vAlign w:val="center"/>
          </w:tcPr>
          <w:p>
            <w:pPr>
              <w:wordWrap w:val="0"/>
              <w:jc w:val="right"/>
              <w:rPr>
                <w:rFonts w:ascii="宋体" w:hAnsi="Arial" w:eastAsia="Arial"/>
                <w:sz w:val="18"/>
                <w:szCs w:val="18"/>
              </w:rPr>
            </w:pPr>
            <w:r>
              <w:rPr>
                <w:rFonts w:ascii="Calibri" w:hAnsi="宋体"/>
                <w:sz w:val="18"/>
                <w:szCs w:val="18"/>
              </w:rPr>
              <w:t>　</w:t>
            </w:r>
          </w:p>
        </w:tc>
      </w:tr>
      <w:tr>
        <w:tblPrEx>
          <w:tblCellMar>
            <w:top w:w="0" w:type="dxa"/>
            <w:left w:w="0" w:type="dxa"/>
            <w:bottom w:w="0" w:type="dxa"/>
            <w:right w:w="0" w:type="dxa"/>
          </w:tblCellMar>
        </w:tblPrEx>
        <w:trPr>
          <w:trHeight w:val="342" w:hRule="atLeast"/>
        </w:trPr>
        <w:tc>
          <w:tcPr>
            <w:tcW w:w="567" w:type="dxa"/>
            <w:tcBorders>
              <w:top w:val="nil"/>
              <w:left w:val="single" w:color="auto" w:sz="4" w:space="0"/>
              <w:bottom w:val="single" w:color="auto" w:sz="4" w:space="0"/>
              <w:right w:val="single" w:color="auto" w:sz="4" w:space="0"/>
            </w:tcBorders>
            <w:tcMar>
              <w:left w:w="15" w:type="dxa"/>
              <w:right w:w="15" w:type="dxa"/>
            </w:tcMar>
            <w:vAlign w:val="center"/>
          </w:tcPr>
          <w:p>
            <w:pPr>
              <w:wordWrap w:val="0"/>
              <w:jc w:val="center"/>
              <w:rPr>
                <w:rFonts w:ascii="宋体" w:hAnsi="Arial" w:eastAsia="Arial"/>
                <w:sz w:val="18"/>
                <w:szCs w:val="18"/>
              </w:rPr>
            </w:pPr>
            <w:r>
              <w:rPr>
                <w:rFonts w:ascii="Calibri" w:hAnsi="Arial" w:eastAsia="Arial"/>
                <w:sz w:val="18"/>
                <w:szCs w:val="18"/>
              </w:rPr>
              <w:t>9</w:t>
            </w:r>
          </w:p>
        </w:tc>
        <w:tc>
          <w:tcPr>
            <w:tcW w:w="5472" w:type="dxa"/>
            <w:tcBorders>
              <w:top w:val="nil"/>
              <w:left w:val="nil"/>
              <w:bottom w:val="single" w:color="auto" w:sz="4" w:space="0"/>
              <w:right w:val="single" w:color="auto" w:sz="4" w:space="0"/>
            </w:tcBorders>
            <w:tcMar>
              <w:left w:w="15" w:type="dxa"/>
              <w:right w:w="15" w:type="dxa"/>
            </w:tcMar>
            <w:vAlign w:val="center"/>
          </w:tcPr>
          <w:p>
            <w:pPr>
              <w:wordWrap w:val="0"/>
              <w:rPr>
                <w:rFonts w:ascii="宋体" w:hAnsi="Arial" w:eastAsia="Arial"/>
                <w:sz w:val="18"/>
                <w:szCs w:val="18"/>
              </w:rPr>
            </w:pPr>
            <w:r>
              <w:rPr>
                <w:rFonts w:ascii="Calibri" w:hAnsi="宋体"/>
                <w:sz w:val="18"/>
                <w:szCs w:val="18"/>
              </w:rPr>
              <w:t>设备购置费</w:t>
            </w:r>
            <w:r>
              <w:rPr>
                <w:rFonts w:ascii="Calibri" w:hAnsi="Arial" w:eastAsia="Arial"/>
                <w:sz w:val="18"/>
                <w:szCs w:val="18"/>
              </w:rPr>
              <w:t>(</w:t>
            </w:r>
            <w:r>
              <w:rPr>
                <w:rFonts w:hint="eastAsia" w:ascii="微软雅黑" w:hAnsi="微软雅黑" w:eastAsia="微软雅黑" w:cs="微软雅黑"/>
                <w:sz w:val="18"/>
                <w:szCs w:val="18"/>
              </w:rPr>
              <w:t>不计税设备</w:t>
            </w:r>
            <w:r>
              <w:rPr>
                <w:rFonts w:ascii="Calibri" w:hAnsi="Arial" w:eastAsia="Arial"/>
                <w:sz w:val="18"/>
                <w:szCs w:val="18"/>
              </w:rPr>
              <w:t>)</w:t>
            </w:r>
          </w:p>
        </w:tc>
        <w:tc>
          <w:tcPr>
            <w:tcW w:w="2257" w:type="dxa"/>
            <w:tcBorders>
              <w:top w:val="nil"/>
              <w:left w:val="nil"/>
              <w:bottom w:val="single" w:color="auto" w:sz="4" w:space="0"/>
              <w:right w:val="single" w:color="auto" w:sz="4" w:space="0"/>
            </w:tcBorders>
            <w:tcMar>
              <w:left w:w="15" w:type="dxa"/>
              <w:right w:w="15" w:type="dxa"/>
            </w:tcMar>
            <w:vAlign w:val="center"/>
          </w:tcPr>
          <w:p>
            <w:pPr>
              <w:wordWrap w:val="0"/>
              <w:jc w:val="right"/>
              <w:rPr>
                <w:rFonts w:ascii="宋体" w:hAnsi="Arial" w:eastAsia="Arial"/>
                <w:sz w:val="18"/>
                <w:szCs w:val="18"/>
              </w:rPr>
            </w:pPr>
            <w:r>
              <w:rPr>
                <w:rFonts w:ascii="Calibri" w:hAnsi="宋体"/>
                <w:sz w:val="18"/>
                <w:szCs w:val="18"/>
              </w:rPr>
              <w:t>　</w:t>
            </w:r>
          </w:p>
        </w:tc>
      </w:tr>
      <w:tr>
        <w:tblPrEx>
          <w:tblCellMar>
            <w:top w:w="0" w:type="dxa"/>
            <w:left w:w="0" w:type="dxa"/>
            <w:bottom w:w="0" w:type="dxa"/>
            <w:right w:w="0" w:type="dxa"/>
          </w:tblCellMar>
        </w:tblPrEx>
        <w:trPr>
          <w:trHeight w:val="342" w:hRule="atLeast"/>
        </w:trPr>
        <w:tc>
          <w:tcPr>
            <w:tcW w:w="567" w:type="dxa"/>
            <w:tcBorders>
              <w:top w:val="nil"/>
              <w:left w:val="single" w:color="auto" w:sz="4" w:space="0"/>
              <w:bottom w:val="single" w:color="auto" w:sz="4" w:space="0"/>
              <w:right w:val="single" w:color="auto" w:sz="4" w:space="0"/>
            </w:tcBorders>
            <w:tcMar>
              <w:left w:w="15" w:type="dxa"/>
              <w:right w:w="15" w:type="dxa"/>
            </w:tcMar>
            <w:vAlign w:val="center"/>
          </w:tcPr>
          <w:p>
            <w:pPr>
              <w:wordWrap w:val="0"/>
              <w:jc w:val="center"/>
              <w:rPr>
                <w:rFonts w:ascii="宋体" w:hAnsi="Arial" w:eastAsia="Arial"/>
                <w:sz w:val="18"/>
                <w:szCs w:val="18"/>
              </w:rPr>
            </w:pPr>
            <w:r>
              <w:rPr>
                <w:rFonts w:ascii="Calibri" w:hAnsi="Arial" w:eastAsia="Arial"/>
                <w:sz w:val="18"/>
                <w:szCs w:val="18"/>
              </w:rPr>
              <w:t>10</w:t>
            </w:r>
          </w:p>
        </w:tc>
        <w:tc>
          <w:tcPr>
            <w:tcW w:w="5472" w:type="dxa"/>
            <w:tcBorders>
              <w:top w:val="nil"/>
              <w:left w:val="nil"/>
              <w:bottom w:val="single" w:color="auto" w:sz="4" w:space="0"/>
              <w:right w:val="single" w:color="auto" w:sz="4" w:space="0"/>
            </w:tcBorders>
            <w:tcMar>
              <w:left w:w="15" w:type="dxa"/>
              <w:right w:w="15" w:type="dxa"/>
            </w:tcMar>
            <w:vAlign w:val="center"/>
          </w:tcPr>
          <w:p>
            <w:pPr>
              <w:wordWrap w:val="0"/>
              <w:rPr>
                <w:rFonts w:ascii="宋体" w:hAnsi="Arial" w:eastAsia="Arial"/>
                <w:sz w:val="18"/>
                <w:szCs w:val="18"/>
              </w:rPr>
            </w:pPr>
            <w:r>
              <w:rPr>
                <w:rFonts w:ascii="Calibri" w:hAnsi="宋体"/>
                <w:sz w:val="18"/>
                <w:szCs w:val="18"/>
              </w:rPr>
              <w:t>含税工程总造价</w:t>
            </w:r>
            <w:r>
              <w:rPr>
                <w:rFonts w:ascii="Calibri" w:hAnsi="Arial" w:eastAsia="Arial"/>
                <w:sz w:val="18"/>
                <w:szCs w:val="18"/>
              </w:rPr>
              <w:t>[(10)=(5)+(6)+(7)+(8)]</w:t>
            </w:r>
          </w:p>
        </w:tc>
        <w:tc>
          <w:tcPr>
            <w:tcW w:w="2257" w:type="dxa"/>
            <w:tcBorders>
              <w:top w:val="nil"/>
              <w:left w:val="nil"/>
              <w:bottom w:val="single" w:color="auto" w:sz="4" w:space="0"/>
              <w:right w:val="single" w:color="auto" w:sz="4" w:space="0"/>
            </w:tcBorders>
            <w:tcMar>
              <w:left w:w="15" w:type="dxa"/>
              <w:right w:w="15" w:type="dxa"/>
            </w:tcMar>
            <w:vAlign w:val="center"/>
          </w:tcPr>
          <w:p>
            <w:pPr>
              <w:wordWrap w:val="0"/>
              <w:jc w:val="right"/>
              <w:rPr>
                <w:rFonts w:ascii="宋体" w:hAnsi="Arial" w:eastAsia="Arial"/>
                <w:sz w:val="18"/>
                <w:szCs w:val="18"/>
              </w:rPr>
            </w:pPr>
            <w:r>
              <w:rPr>
                <w:rFonts w:ascii="Calibri" w:hAnsi="宋体"/>
                <w:sz w:val="18"/>
                <w:szCs w:val="18"/>
              </w:rPr>
              <w:t>　</w:t>
            </w:r>
          </w:p>
        </w:tc>
      </w:tr>
      <w:tr>
        <w:tblPrEx>
          <w:tblCellMar>
            <w:top w:w="0" w:type="dxa"/>
            <w:left w:w="0" w:type="dxa"/>
            <w:bottom w:w="0" w:type="dxa"/>
            <w:right w:w="0" w:type="dxa"/>
          </w:tblCellMar>
        </w:tblPrEx>
        <w:trPr>
          <w:trHeight w:val="379" w:hRule="atLeast"/>
        </w:trPr>
        <w:tc>
          <w:tcPr>
            <w:tcW w:w="567" w:type="dxa"/>
            <w:tcBorders>
              <w:top w:val="nil"/>
              <w:left w:val="single" w:color="auto" w:sz="4" w:space="0"/>
              <w:bottom w:val="single" w:color="auto" w:sz="4" w:space="0"/>
              <w:right w:val="single" w:color="auto" w:sz="4" w:space="0"/>
            </w:tcBorders>
            <w:tcMar>
              <w:left w:w="15" w:type="dxa"/>
              <w:right w:w="15" w:type="dxa"/>
            </w:tcMar>
            <w:vAlign w:val="bottom"/>
          </w:tcPr>
          <w:p>
            <w:pPr>
              <w:wordWrap w:val="0"/>
              <w:rPr>
                <w:rFonts w:ascii="宋体" w:hAnsi="Arial" w:eastAsia="Arial"/>
                <w:sz w:val="20"/>
                <w:szCs w:val="20"/>
              </w:rPr>
            </w:pPr>
            <w:r>
              <w:rPr>
                <w:rFonts w:ascii="Calibri" w:hAnsi="宋体"/>
                <w:sz w:val="20"/>
                <w:szCs w:val="20"/>
              </w:rPr>
              <w:t>　</w:t>
            </w:r>
          </w:p>
        </w:tc>
        <w:tc>
          <w:tcPr>
            <w:tcW w:w="5472" w:type="dxa"/>
            <w:tcBorders>
              <w:top w:val="nil"/>
              <w:left w:val="nil"/>
              <w:bottom w:val="single" w:color="auto" w:sz="4" w:space="0"/>
              <w:right w:val="single" w:color="auto" w:sz="4" w:space="0"/>
            </w:tcBorders>
            <w:tcMar>
              <w:left w:w="15" w:type="dxa"/>
              <w:right w:w="15" w:type="dxa"/>
            </w:tcMar>
            <w:vAlign w:val="bottom"/>
          </w:tcPr>
          <w:p>
            <w:pPr>
              <w:wordWrap w:val="0"/>
              <w:rPr>
                <w:rFonts w:ascii="宋体" w:hAnsi="Arial" w:eastAsia="Arial"/>
                <w:sz w:val="20"/>
                <w:szCs w:val="20"/>
              </w:rPr>
            </w:pPr>
            <w:r>
              <w:rPr>
                <w:rFonts w:ascii="Calibri" w:hAnsi="宋体"/>
                <w:sz w:val="20"/>
                <w:szCs w:val="20"/>
              </w:rPr>
              <w:t>　</w:t>
            </w:r>
          </w:p>
        </w:tc>
        <w:tc>
          <w:tcPr>
            <w:tcW w:w="2257" w:type="dxa"/>
            <w:tcBorders>
              <w:top w:val="nil"/>
              <w:left w:val="nil"/>
              <w:bottom w:val="single" w:color="auto" w:sz="4" w:space="0"/>
              <w:right w:val="single" w:color="auto" w:sz="4" w:space="0"/>
            </w:tcBorders>
            <w:tcMar>
              <w:left w:w="15" w:type="dxa"/>
              <w:right w:w="15" w:type="dxa"/>
            </w:tcMar>
            <w:vAlign w:val="bottom"/>
          </w:tcPr>
          <w:p>
            <w:pPr>
              <w:wordWrap w:val="0"/>
              <w:rPr>
                <w:rFonts w:ascii="宋体" w:hAnsi="Arial" w:eastAsia="Arial"/>
                <w:sz w:val="20"/>
                <w:szCs w:val="20"/>
              </w:rPr>
            </w:pPr>
            <w:r>
              <w:rPr>
                <w:rFonts w:ascii="Calibri" w:hAnsi="宋体"/>
                <w:sz w:val="20"/>
                <w:szCs w:val="20"/>
              </w:rPr>
              <w:t>　</w:t>
            </w:r>
          </w:p>
        </w:tc>
      </w:tr>
      <w:tr>
        <w:tblPrEx>
          <w:tblCellMar>
            <w:top w:w="0" w:type="dxa"/>
            <w:left w:w="0" w:type="dxa"/>
            <w:bottom w:w="0" w:type="dxa"/>
            <w:right w:w="0" w:type="dxa"/>
          </w:tblCellMar>
        </w:tblPrEx>
        <w:trPr>
          <w:trHeight w:val="379" w:hRule="atLeast"/>
        </w:trPr>
        <w:tc>
          <w:tcPr>
            <w:tcW w:w="567" w:type="dxa"/>
            <w:tcBorders>
              <w:top w:val="nil"/>
              <w:left w:val="single" w:color="auto" w:sz="4" w:space="0"/>
              <w:bottom w:val="single" w:color="auto" w:sz="4" w:space="0"/>
              <w:right w:val="single" w:color="auto" w:sz="4" w:space="0"/>
            </w:tcBorders>
            <w:tcMar>
              <w:left w:w="15" w:type="dxa"/>
              <w:right w:w="15" w:type="dxa"/>
            </w:tcMar>
            <w:vAlign w:val="bottom"/>
          </w:tcPr>
          <w:p>
            <w:pPr>
              <w:wordWrap w:val="0"/>
              <w:rPr>
                <w:rFonts w:ascii="宋体" w:hAnsi="Arial" w:eastAsia="Arial"/>
                <w:sz w:val="20"/>
                <w:szCs w:val="20"/>
              </w:rPr>
            </w:pPr>
            <w:r>
              <w:rPr>
                <w:rFonts w:ascii="Calibri" w:hAnsi="宋体"/>
                <w:sz w:val="20"/>
                <w:szCs w:val="20"/>
              </w:rPr>
              <w:t>　</w:t>
            </w:r>
          </w:p>
        </w:tc>
        <w:tc>
          <w:tcPr>
            <w:tcW w:w="5472" w:type="dxa"/>
            <w:tcBorders>
              <w:top w:val="nil"/>
              <w:left w:val="nil"/>
              <w:bottom w:val="single" w:color="auto" w:sz="4" w:space="0"/>
              <w:right w:val="single" w:color="auto" w:sz="4" w:space="0"/>
            </w:tcBorders>
            <w:tcMar>
              <w:left w:w="15" w:type="dxa"/>
              <w:right w:w="15" w:type="dxa"/>
            </w:tcMar>
            <w:vAlign w:val="bottom"/>
          </w:tcPr>
          <w:p>
            <w:pPr>
              <w:wordWrap w:val="0"/>
              <w:rPr>
                <w:rFonts w:ascii="宋体" w:hAnsi="Arial" w:eastAsia="Arial"/>
                <w:sz w:val="20"/>
                <w:szCs w:val="20"/>
              </w:rPr>
            </w:pPr>
            <w:r>
              <w:rPr>
                <w:rFonts w:ascii="Calibri" w:hAnsi="宋体"/>
                <w:sz w:val="20"/>
                <w:szCs w:val="20"/>
              </w:rPr>
              <w:t>　</w:t>
            </w:r>
          </w:p>
        </w:tc>
        <w:tc>
          <w:tcPr>
            <w:tcW w:w="2257" w:type="dxa"/>
            <w:tcBorders>
              <w:top w:val="nil"/>
              <w:left w:val="nil"/>
              <w:bottom w:val="single" w:color="auto" w:sz="4" w:space="0"/>
              <w:right w:val="single" w:color="auto" w:sz="4" w:space="0"/>
            </w:tcBorders>
            <w:tcMar>
              <w:left w:w="15" w:type="dxa"/>
              <w:right w:w="15" w:type="dxa"/>
            </w:tcMar>
            <w:vAlign w:val="bottom"/>
          </w:tcPr>
          <w:p>
            <w:pPr>
              <w:wordWrap w:val="0"/>
              <w:rPr>
                <w:rFonts w:ascii="宋体" w:hAnsi="Arial" w:eastAsia="Arial"/>
                <w:sz w:val="20"/>
                <w:szCs w:val="20"/>
              </w:rPr>
            </w:pPr>
            <w:r>
              <w:rPr>
                <w:rFonts w:ascii="Calibri" w:hAnsi="宋体"/>
                <w:sz w:val="20"/>
                <w:szCs w:val="20"/>
              </w:rPr>
              <w:t>　</w:t>
            </w:r>
          </w:p>
        </w:tc>
      </w:tr>
      <w:tr>
        <w:tblPrEx>
          <w:tblCellMar>
            <w:top w:w="0" w:type="dxa"/>
            <w:left w:w="0" w:type="dxa"/>
            <w:bottom w:w="0" w:type="dxa"/>
            <w:right w:w="0" w:type="dxa"/>
          </w:tblCellMar>
        </w:tblPrEx>
        <w:trPr>
          <w:trHeight w:val="379" w:hRule="atLeast"/>
        </w:trPr>
        <w:tc>
          <w:tcPr>
            <w:tcW w:w="567" w:type="dxa"/>
            <w:tcBorders>
              <w:top w:val="nil"/>
              <w:left w:val="single" w:color="auto" w:sz="4" w:space="0"/>
              <w:bottom w:val="single" w:color="auto" w:sz="4" w:space="0"/>
              <w:right w:val="single" w:color="auto" w:sz="4" w:space="0"/>
            </w:tcBorders>
            <w:tcMar>
              <w:left w:w="15" w:type="dxa"/>
              <w:right w:w="15" w:type="dxa"/>
            </w:tcMar>
            <w:vAlign w:val="bottom"/>
          </w:tcPr>
          <w:p>
            <w:pPr>
              <w:wordWrap w:val="0"/>
              <w:rPr>
                <w:rFonts w:ascii="宋体" w:hAnsi="Arial" w:eastAsia="Arial"/>
                <w:sz w:val="20"/>
                <w:szCs w:val="20"/>
              </w:rPr>
            </w:pPr>
            <w:r>
              <w:rPr>
                <w:rFonts w:ascii="Calibri" w:hAnsi="宋体"/>
                <w:sz w:val="20"/>
                <w:szCs w:val="20"/>
              </w:rPr>
              <w:t>　</w:t>
            </w:r>
          </w:p>
        </w:tc>
        <w:tc>
          <w:tcPr>
            <w:tcW w:w="5472" w:type="dxa"/>
            <w:tcBorders>
              <w:top w:val="nil"/>
              <w:left w:val="nil"/>
              <w:bottom w:val="single" w:color="auto" w:sz="4" w:space="0"/>
              <w:right w:val="single" w:color="auto" w:sz="4" w:space="0"/>
            </w:tcBorders>
            <w:tcMar>
              <w:left w:w="15" w:type="dxa"/>
              <w:right w:w="15" w:type="dxa"/>
            </w:tcMar>
            <w:vAlign w:val="bottom"/>
          </w:tcPr>
          <w:p>
            <w:pPr>
              <w:wordWrap w:val="0"/>
              <w:rPr>
                <w:rFonts w:ascii="宋体" w:hAnsi="Arial" w:eastAsia="Arial"/>
                <w:sz w:val="20"/>
                <w:szCs w:val="20"/>
              </w:rPr>
            </w:pPr>
            <w:r>
              <w:rPr>
                <w:rFonts w:ascii="Calibri" w:hAnsi="宋体"/>
                <w:sz w:val="20"/>
                <w:szCs w:val="20"/>
              </w:rPr>
              <w:t>　</w:t>
            </w:r>
          </w:p>
        </w:tc>
        <w:tc>
          <w:tcPr>
            <w:tcW w:w="2257" w:type="dxa"/>
            <w:tcBorders>
              <w:top w:val="nil"/>
              <w:left w:val="nil"/>
              <w:bottom w:val="single" w:color="auto" w:sz="4" w:space="0"/>
              <w:right w:val="single" w:color="auto" w:sz="4" w:space="0"/>
            </w:tcBorders>
            <w:tcMar>
              <w:left w:w="15" w:type="dxa"/>
              <w:right w:w="15" w:type="dxa"/>
            </w:tcMar>
            <w:vAlign w:val="bottom"/>
          </w:tcPr>
          <w:p>
            <w:pPr>
              <w:wordWrap w:val="0"/>
              <w:rPr>
                <w:rFonts w:ascii="宋体" w:hAnsi="Arial" w:eastAsia="Arial"/>
                <w:sz w:val="20"/>
                <w:szCs w:val="20"/>
              </w:rPr>
            </w:pPr>
            <w:r>
              <w:rPr>
                <w:rFonts w:ascii="Calibri" w:hAnsi="宋体"/>
                <w:sz w:val="20"/>
                <w:szCs w:val="20"/>
              </w:rPr>
              <w:t>　</w:t>
            </w:r>
          </w:p>
        </w:tc>
      </w:tr>
      <w:tr>
        <w:tblPrEx>
          <w:tblCellMar>
            <w:top w:w="0" w:type="dxa"/>
            <w:left w:w="0" w:type="dxa"/>
            <w:bottom w:w="0" w:type="dxa"/>
            <w:right w:w="0" w:type="dxa"/>
          </w:tblCellMar>
        </w:tblPrEx>
        <w:trPr>
          <w:trHeight w:val="379" w:hRule="atLeast"/>
        </w:trPr>
        <w:tc>
          <w:tcPr>
            <w:tcW w:w="567" w:type="dxa"/>
            <w:tcBorders>
              <w:top w:val="nil"/>
              <w:left w:val="single" w:color="auto" w:sz="4" w:space="0"/>
              <w:bottom w:val="single" w:color="auto" w:sz="4" w:space="0"/>
              <w:right w:val="single" w:color="auto" w:sz="4" w:space="0"/>
            </w:tcBorders>
            <w:tcMar>
              <w:left w:w="15" w:type="dxa"/>
              <w:right w:w="15" w:type="dxa"/>
            </w:tcMar>
            <w:vAlign w:val="bottom"/>
          </w:tcPr>
          <w:p>
            <w:pPr>
              <w:wordWrap w:val="0"/>
              <w:rPr>
                <w:rFonts w:ascii="宋体" w:hAnsi="Arial" w:eastAsia="Arial"/>
                <w:sz w:val="20"/>
                <w:szCs w:val="20"/>
              </w:rPr>
            </w:pPr>
            <w:r>
              <w:rPr>
                <w:rFonts w:ascii="Calibri" w:hAnsi="宋体"/>
                <w:sz w:val="20"/>
                <w:szCs w:val="20"/>
              </w:rPr>
              <w:t>　</w:t>
            </w:r>
          </w:p>
        </w:tc>
        <w:tc>
          <w:tcPr>
            <w:tcW w:w="5472" w:type="dxa"/>
            <w:tcBorders>
              <w:top w:val="nil"/>
              <w:left w:val="nil"/>
              <w:bottom w:val="single" w:color="auto" w:sz="4" w:space="0"/>
              <w:right w:val="single" w:color="auto" w:sz="4" w:space="0"/>
            </w:tcBorders>
            <w:tcMar>
              <w:left w:w="15" w:type="dxa"/>
              <w:right w:w="15" w:type="dxa"/>
            </w:tcMar>
            <w:vAlign w:val="bottom"/>
          </w:tcPr>
          <w:p>
            <w:pPr>
              <w:wordWrap w:val="0"/>
              <w:rPr>
                <w:rFonts w:ascii="宋体" w:hAnsi="Arial" w:eastAsia="Arial"/>
                <w:sz w:val="20"/>
                <w:szCs w:val="20"/>
              </w:rPr>
            </w:pPr>
            <w:r>
              <w:rPr>
                <w:rFonts w:ascii="Calibri" w:hAnsi="宋体"/>
                <w:sz w:val="20"/>
                <w:szCs w:val="20"/>
              </w:rPr>
              <w:t>　</w:t>
            </w:r>
          </w:p>
        </w:tc>
        <w:tc>
          <w:tcPr>
            <w:tcW w:w="2257" w:type="dxa"/>
            <w:tcBorders>
              <w:top w:val="nil"/>
              <w:left w:val="nil"/>
              <w:bottom w:val="single" w:color="auto" w:sz="4" w:space="0"/>
              <w:right w:val="single" w:color="auto" w:sz="4" w:space="0"/>
            </w:tcBorders>
            <w:tcMar>
              <w:left w:w="15" w:type="dxa"/>
              <w:right w:w="15" w:type="dxa"/>
            </w:tcMar>
            <w:vAlign w:val="bottom"/>
          </w:tcPr>
          <w:p>
            <w:pPr>
              <w:wordWrap w:val="0"/>
              <w:rPr>
                <w:rFonts w:ascii="宋体" w:hAnsi="Arial" w:eastAsia="Arial"/>
                <w:sz w:val="20"/>
                <w:szCs w:val="20"/>
              </w:rPr>
            </w:pPr>
            <w:r>
              <w:rPr>
                <w:rFonts w:ascii="Calibri" w:hAnsi="宋体"/>
                <w:sz w:val="20"/>
                <w:szCs w:val="20"/>
              </w:rPr>
              <w:t>　</w:t>
            </w:r>
          </w:p>
        </w:tc>
      </w:tr>
      <w:tr>
        <w:tblPrEx>
          <w:tblCellMar>
            <w:top w:w="0" w:type="dxa"/>
            <w:left w:w="0" w:type="dxa"/>
            <w:bottom w:w="0" w:type="dxa"/>
            <w:right w:w="0" w:type="dxa"/>
          </w:tblCellMar>
        </w:tblPrEx>
        <w:trPr>
          <w:trHeight w:val="379" w:hRule="atLeast"/>
        </w:trPr>
        <w:tc>
          <w:tcPr>
            <w:tcW w:w="567" w:type="dxa"/>
            <w:tcBorders>
              <w:top w:val="nil"/>
              <w:left w:val="single" w:color="auto" w:sz="4" w:space="0"/>
              <w:bottom w:val="single" w:color="auto" w:sz="4" w:space="0"/>
              <w:right w:val="single" w:color="auto" w:sz="4" w:space="0"/>
            </w:tcBorders>
            <w:tcMar>
              <w:left w:w="15" w:type="dxa"/>
              <w:right w:w="15" w:type="dxa"/>
            </w:tcMar>
            <w:vAlign w:val="bottom"/>
          </w:tcPr>
          <w:p>
            <w:pPr>
              <w:wordWrap w:val="0"/>
              <w:rPr>
                <w:rFonts w:ascii="宋体" w:hAnsi="Arial" w:eastAsia="Arial"/>
                <w:sz w:val="20"/>
                <w:szCs w:val="20"/>
              </w:rPr>
            </w:pPr>
            <w:r>
              <w:rPr>
                <w:rFonts w:ascii="Calibri" w:hAnsi="宋体"/>
                <w:sz w:val="20"/>
                <w:szCs w:val="20"/>
              </w:rPr>
              <w:t>　</w:t>
            </w:r>
          </w:p>
        </w:tc>
        <w:tc>
          <w:tcPr>
            <w:tcW w:w="5472" w:type="dxa"/>
            <w:tcBorders>
              <w:top w:val="nil"/>
              <w:left w:val="nil"/>
              <w:bottom w:val="single" w:color="auto" w:sz="4" w:space="0"/>
              <w:right w:val="single" w:color="auto" w:sz="4" w:space="0"/>
            </w:tcBorders>
            <w:tcMar>
              <w:left w:w="15" w:type="dxa"/>
              <w:right w:w="15" w:type="dxa"/>
            </w:tcMar>
            <w:vAlign w:val="bottom"/>
          </w:tcPr>
          <w:p>
            <w:pPr>
              <w:wordWrap w:val="0"/>
              <w:rPr>
                <w:rFonts w:ascii="宋体" w:hAnsi="Arial" w:eastAsia="Arial"/>
                <w:sz w:val="20"/>
                <w:szCs w:val="20"/>
              </w:rPr>
            </w:pPr>
            <w:r>
              <w:rPr>
                <w:rFonts w:ascii="Calibri" w:hAnsi="宋体"/>
                <w:sz w:val="20"/>
                <w:szCs w:val="20"/>
              </w:rPr>
              <w:t>　</w:t>
            </w:r>
          </w:p>
        </w:tc>
        <w:tc>
          <w:tcPr>
            <w:tcW w:w="2257" w:type="dxa"/>
            <w:tcBorders>
              <w:top w:val="nil"/>
              <w:left w:val="nil"/>
              <w:bottom w:val="single" w:color="auto" w:sz="4" w:space="0"/>
              <w:right w:val="single" w:color="auto" w:sz="4" w:space="0"/>
            </w:tcBorders>
            <w:tcMar>
              <w:left w:w="15" w:type="dxa"/>
              <w:right w:w="15" w:type="dxa"/>
            </w:tcMar>
            <w:vAlign w:val="bottom"/>
          </w:tcPr>
          <w:p>
            <w:pPr>
              <w:wordWrap w:val="0"/>
              <w:rPr>
                <w:rFonts w:ascii="宋体" w:hAnsi="Arial" w:eastAsia="Arial"/>
                <w:sz w:val="20"/>
                <w:szCs w:val="20"/>
              </w:rPr>
            </w:pPr>
            <w:r>
              <w:rPr>
                <w:rFonts w:ascii="Calibri" w:hAnsi="宋体"/>
                <w:sz w:val="20"/>
                <w:szCs w:val="20"/>
              </w:rPr>
              <w:t>　</w:t>
            </w:r>
          </w:p>
        </w:tc>
      </w:tr>
      <w:tr>
        <w:tblPrEx>
          <w:tblCellMar>
            <w:top w:w="0" w:type="dxa"/>
            <w:left w:w="0" w:type="dxa"/>
            <w:bottom w:w="0" w:type="dxa"/>
            <w:right w:w="0" w:type="dxa"/>
          </w:tblCellMar>
        </w:tblPrEx>
        <w:trPr>
          <w:trHeight w:val="379" w:hRule="atLeast"/>
        </w:trPr>
        <w:tc>
          <w:tcPr>
            <w:tcW w:w="567" w:type="dxa"/>
            <w:tcBorders>
              <w:top w:val="nil"/>
              <w:left w:val="single" w:color="auto" w:sz="4" w:space="0"/>
              <w:bottom w:val="single" w:color="auto" w:sz="4" w:space="0"/>
              <w:right w:val="single" w:color="auto" w:sz="4" w:space="0"/>
            </w:tcBorders>
            <w:tcMar>
              <w:left w:w="15" w:type="dxa"/>
              <w:right w:w="15" w:type="dxa"/>
            </w:tcMar>
            <w:vAlign w:val="bottom"/>
          </w:tcPr>
          <w:p>
            <w:pPr>
              <w:wordWrap w:val="0"/>
              <w:rPr>
                <w:rFonts w:ascii="Calibri" w:hAnsi="Arial" w:eastAsia="Arial"/>
                <w:sz w:val="20"/>
                <w:szCs w:val="20"/>
              </w:rPr>
            </w:pPr>
          </w:p>
        </w:tc>
        <w:tc>
          <w:tcPr>
            <w:tcW w:w="5472" w:type="dxa"/>
            <w:tcBorders>
              <w:top w:val="nil"/>
              <w:left w:val="nil"/>
              <w:bottom w:val="single" w:color="auto" w:sz="4" w:space="0"/>
              <w:right w:val="single" w:color="auto" w:sz="4" w:space="0"/>
            </w:tcBorders>
            <w:tcMar>
              <w:left w:w="15" w:type="dxa"/>
              <w:right w:w="15" w:type="dxa"/>
            </w:tcMar>
            <w:vAlign w:val="bottom"/>
          </w:tcPr>
          <w:p>
            <w:pPr>
              <w:wordWrap w:val="0"/>
              <w:rPr>
                <w:rFonts w:ascii="Calibri" w:hAnsi="Arial" w:eastAsia="Arial"/>
                <w:sz w:val="20"/>
                <w:szCs w:val="20"/>
              </w:rPr>
            </w:pPr>
          </w:p>
        </w:tc>
        <w:tc>
          <w:tcPr>
            <w:tcW w:w="2257" w:type="dxa"/>
            <w:tcBorders>
              <w:top w:val="nil"/>
              <w:left w:val="nil"/>
              <w:bottom w:val="single" w:color="auto" w:sz="4" w:space="0"/>
              <w:right w:val="single" w:color="auto" w:sz="4" w:space="0"/>
            </w:tcBorders>
            <w:tcMar>
              <w:left w:w="15" w:type="dxa"/>
              <w:right w:w="15" w:type="dxa"/>
            </w:tcMar>
            <w:vAlign w:val="bottom"/>
          </w:tcPr>
          <w:p>
            <w:pPr>
              <w:wordWrap w:val="0"/>
              <w:rPr>
                <w:rFonts w:ascii="Calibri" w:hAnsi="Arial" w:eastAsia="Arial"/>
                <w:sz w:val="20"/>
                <w:szCs w:val="20"/>
              </w:rPr>
            </w:pPr>
          </w:p>
        </w:tc>
      </w:tr>
      <w:tr>
        <w:tblPrEx>
          <w:tblCellMar>
            <w:top w:w="0" w:type="dxa"/>
            <w:left w:w="0" w:type="dxa"/>
            <w:bottom w:w="0" w:type="dxa"/>
            <w:right w:w="0" w:type="dxa"/>
          </w:tblCellMar>
        </w:tblPrEx>
        <w:trPr>
          <w:trHeight w:val="379" w:hRule="atLeast"/>
        </w:trPr>
        <w:tc>
          <w:tcPr>
            <w:tcW w:w="567" w:type="dxa"/>
            <w:tcBorders>
              <w:top w:val="nil"/>
              <w:left w:val="single" w:color="auto" w:sz="4" w:space="0"/>
              <w:bottom w:val="single" w:color="auto" w:sz="4" w:space="0"/>
              <w:right w:val="single" w:color="auto" w:sz="4" w:space="0"/>
            </w:tcBorders>
            <w:tcMar>
              <w:left w:w="15" w:type="dxa"/>
              <w:right w:w="15" w:type="dxa"/>
            </w:tcMar>
            <w:vAlign w:val="bottom"/>
          </w:tcPr>
          <w:p>
            <w:pPr>
              <w:wordWrap w:val="0"/>
              <w:rPr>
                <w:rFonts w:ascii="Calibri" w:hAnsi="Arial" w:eastAsia="Arial"/>
                <w:sz w:val="20"/>
                <w:szCs w:val="20"/>
              </w:rPr>
            </w:pPr>
          </w:p>
        </w:tc>
        <w:tc>
          <w:tcPr>
            <w:tcW w:w="5472" w:type="dxa"/>
            <w:tcBorders>
              <w:top w:val="nil"/>
              <w:left w:val="nil"/>
              <w:bottom w:val="single" w:color="auto" w:sz="4" w:space="0"/>
              <w:right w:val="single" w:color="auto" w:sz="4" w:space="0"/>
            </w:tcBorders>
            <w:tcMar>
              <w:left w:w="15" w:type="dxa"/>
              <w:right w:w="15" w:type="dxa"/>
            </w:tcMar>
            <w:vAlign w:val="bottom"/>
          </w:tcPr>
          <w:p>
            <w:pPr>
              <w:wordWrap w:val="0"/>
              <w:rPr>
                <w:rFonts w:ascii="Calibri" w:hAnsi="Arial" w:eastAsia="Arial"/>
                <w:sz w:val="20"/>
                <w:szCs w:val="20"/>
              </w:rPr>
            </w:pPr>
          </w:p>
        </w:tc>
        <w:tc>
          <w:tcPr>
            <w:tcW w:w="2257" w:type="dxa"/>
            <w:tcBorders>
              <w:top w:val="nil"/>
              <w:left w:val="nil"/>
              <w:bottom w:val="single" w:color="auto" w:sz="4" w:space="0"/>
              <w:right w:val="single" w:color="auto" w:sz="4" w:space="0"/>
            </w:tcBorders>
            <w:tcMar>
              <w:left w:w="15" w:type="dxa"/>
              <w:right w:w="15" w:type="dxa"/>
            </w:tcMar>
            <w:vAlign w:val="bottom"/>
          </w:tcPr>
          <w:p>
            <w:pPr>
              <w:wordWrap w:val="0"/>
              <w:rPr>
                <w:rFonts w:ascii="Calibri" w:hAnsi="Arial" w:eastAsia="Arial"/>
                <w:sz w:val="20"/>
                <w:szCs w:val="20"/>
              </w:rPr>
            </w:pPr>
          </w:p>
        </w:tc>
      </w:tr>
      <w:tr>
        <w:tblPrEx>
          <w:tblCellMar>
            <w:top w:w="0" w:type="dxa"/>
            <w:left w:w="0" w:type="dxa"/>
            <w:bottom w:w="0" w:type="dxa"/>
            <w:right w:w="0" w:type="dxa"/>
          </w:tblCellMar>
        </w:tblPrEx>
        <w:trPr>
          <w:trHeight w:val="379" w:hRule="atLeast"/>
        </w:trPr>
        <w:tc>
          <w:tcPr>
            <w:tcW w:w="567" w:type="dxa"/>
            <w:tcBorders>
              <w:top w:val="nil"/>
              <w:left w:val="single" w:color="auto" w:sz="4" w:space="0"/>
              <w:bottom w:val="single" w:color="auto" w:sz="4" w:space="0"/>
              <w:right w:val="single" w:color="auto" w:sz="4" w:space="0"/>
            </w:tcBorders>
            <w:tcMar>
              <w:left w:w="15" w:type="dxa"/>
              <w:right w:w="15" w:type="dxa"/>
            </w:tcMar>
            <w:vAlign w:val="bottom"/>
          </w:tcPr>
          <w:p>
            <w:pPr>
              <w:wordWrap w:val="0"/>
              <w:rPr>
                <w:rFonts w:ascii="宋体" w:hAnsi="Arial" w:eastAsia="Arial"/>
                <w:sz w:val="20"/>
                <w:szCs w:val="20"/>
              </w:rPr>
            </w:pPr>
            <w:r>
              <w:rPr>
                <w:rFonts w:ascii="Calibri" w:hAnsi="宋体"/>
                <w:sz w:val="20"/>
                <w:szCs w:val="20"/>
              </w:rPr>
              <w:t>　</w:t>
            </w:r>
          </w:p>
        </w:tc>
        <w:tc>
          <w:tcPr>
            <w:tcW w:w="5472" w:type="dxa"/>
            <w:tcBorders>
              <w:top w:val="nil"/>
              <w:left w:val="nil"/>
              <w:bottom w:val="single" w:color="auto" w:sz="4" w:space="0"/>
              <w:right w:val="single" w:color="auto" w:sz="4" w:space="0"/>
            </w:tcBorders>
            <w:tcMar>
              <w:left w:w="15" w:type="dxa"/>
              <w:right w:w="15" w:type="dxa"/>
            </w:tcMar>
            <w:vAlign w:val="bottom"/>
          </w:tcPr>
          <w:p>
            <w:pPr>
              <w:wordWrap w:val="0"/>
              <w:rPr>
                <w:rFonts w:ascii="宋体" w:hAnsi="Arial" w:eastAsia="Arial"/>
                <w:sz w:val="20"/>
                <w:szCs w:val="20"/>
              </w:rPr>
            </w:pPr>
            <w:r>
              <w:rPr>
                <w:rFonts w:ascii="Calibri" w:hAnsi="宋体"/>
                <w:sz w:val="20"/>
                <w:szCs w:val="20"/>
              </w:rPr>
              <w:t>　</w:t>
            </w:r>
          </w:p>
        </w:tc>
        <w:tc>
          <w:tcPr>
            <w:tcW w:w="2257" w:type="dxa"/>
            <w:tcBorders>
              <w:top w:val="nil"/>
              <w:left w:val="nil"/>
              <w:bottom w:val="single" w:color="auto" w:sz="4" w:space="0"/>
              <w:right w:val="single" w:color="auto" w:sz="4" w:space="0"/>
            </w:tcBorders>
            <w:tcMar>
              <w:left w:w="15" w:type="dxa"/>
              <w:right w:w="15" w:type="dxa"/>
            </w:tcMar>
            <w:vAlign w:val="bottom"/>
          </w:tcPr>
          <w:p>
            <w:pPr>
              <w:wordWrap w:val="0"/>
              <w:rPr>
                <w:rFonts w:ascii="宋体" w:hAnsi="Arial" w:eastAsia="Arial"/>
                <w:sz w:val="20"/>
                <w:szCs w:val="20"/>
              </w:rPr>
            </w:pPr>
            <w:r>
              <w:rPr>
                <w:rFonts w:ascii="Calibri" w:hAnsi="宋体"/>
                <w:sz w:val="20"/>
                <w:szCs w:val="20"/>
              </w:rPr>
              <w:t>　</w:t>
            </w:r>
          </w:p>
        </w:tc>
      </w:tr>
      <w:tr>
        <w:tblPrEx>
          <w:tblCellMar>
            <w:top w:w="0" w:type="dxa"/>
            <w:left w:w="0" w:type="dxa"/>
            <w:bottom w:w="0" w:type="dxa"/>
            <w:right w:w="0" w:type="dxa"/>
          </w:tblCellMar>
        </w:tblPrEx>
        <w:trPr>
          <w:trHeight w:val="379" w:hRule="atLeast"/>
        </w:trPr>
        <w:tc>
          <w:tcPr>
            <w:tcW w:w="567" w:type="dxa"/>
            <w:tcBorders>
              <w:top w:val="nil"/>
              <w:left w:val="single" w:color="auto" w:sz="4" w:space="0"/>
              <w:bottom w:val="single" w:color="auto" w:sz="4" w:space="0"/>
              <w:right w:val="single" w:color="auto" w:sz="4" w:space="0"/>
            </w:tcBorders>
            <w:tcMar>
              <w:left w:w="15" w:type="dxa"/>
              <w:right w:w="15" w:type="dxa"/>
            </w:tcMar>
            <w:vAlign w:val="bottom"/>
          </w:tcPr>
          <w:p>
            <w:pPr>
              <w:wordWrap w:val="0"/>
              <w:rPr>
                <w:rFonts w:ascii="宋体" w:hAnsi="Arial" w:eastAsia="Arial"/>
                <w:sz w:val="20"/>
                <w:szCs w:val="20"/>
              </w:rPr>
            </w:pPr>
            <w:r>
              <w:rPr>
                <w:rFonts w:ascii="Calibri" w:hAnsi="宋体"/>
                <w:sz w:val="20"/>
                <w:szCs w:val="20"/>
              </w:rPr>
              <w:t>　</w:t>
            </w:r>
          </w:p>
        </w:tc>
        <w:tc>
          <w:tcPr>
            <w:tcW w:w="5472" w:type="dxa"/>
            <w:tcBorders>
              <w:top w:val="nil"/>
              <w:left w:val="nil"/>
              <w:bottom w:val="single" w:color="auto" w:sz="4" w:space="0"/>
              <w:right w:val="single" w:color="auto" w:sz="4" w:space="0"/>
            </w:tcBorders>
            <w:tcMar>
              <w:left w:w="15" w:type="dxa"/>
              <w:right w:w="15" w:type="dxa"/>
            </w:tcMar>
            <w:vAlign w:val="bottom"/>
          </w:tcPr>
          <w:p>
            <w:pPr>
              <w:wordWrap w:val="0"/>
              <w:rPr>
                <w:rFonts w:ascii="宋体" w:hAnsi="Arial" w:eastAsia="Arial"/>
                <w:sz w:val="20"/>
                <w:szCs w:val="20"/>
              </w:rPr>
            </w:pPr>
            <w:r>
              <w:rPr>
                <w:rFonts w:ascii="Calibri" w:hAnsi="宋体"/>
                <w:sz w:val="20"/>
                <w:szCs w:val="20"/>
              </w:rPr>
              <w:t>　</w:t>
            </w:r>
          </w:p>
        </w:tc>
        <w:tc>
          <w:tcPr>
            <w:tcW w:w="2257" w:type="dxa"/>
            <w:tcBorders>
              <w:top w:val="nil"/>
              <w:left w:val="nil"/>
              <w:bottom w:val="single" w:color="auto" w:sz="4" w:space="0"/>
              <w:right w:val="single" w:color="auto" w:sz="4" w:space="0"/>
            </w:tcBorders>
            <w:tcMar>
              <w:left w:w="15" w:type="dxa"/>
              <w:right w:w="15" w:type="dxa"/>
            </w:tcMar>
            <w:vAlign w:val="bottom"/>
          </w:tcPr>
          <w:p>
            <w:pPr>
              <w:wordWrap w:val="0"/>
              <w:rPr>
                <w:rFonts w:ascii="宋体" w:hAnsi="Arial" w:eastAsia="Arial"/>
                <w:sz w:val="20"/>
                <w:szCs w:val="20"/>
              </w:rPr>
            </w:pPr>
            <w:r>
              <w:rPr>
                <w:rFonts w:ascii="Calibri" w:hAnsi="宋体"/>
                <w:sz w:val="20"/>
                <w:szCs w:val="20"/>
              </w:rPr>
              <w:t>　</w:t>
            </w:r>
          </w:p>
        </w:tc>
      </w:tr>
      <w:tr>
        <w:tblPrEx>
          <w:tblCellMar>
            <w:top w:w="0" w:type="dxa"/>
            <w:left w:w="0" w:type="dxa"/>
            <w:bottom w:w="0" w:type="dxa"/>
            <w:right w:w="0" w:type="dxa"/>
          </w:tblCellMar>
        </w:tblPrEx>
        <w:trPr>
          <w:trHeight w:val="379" w:hRule="atLeast"/>
        </w:trPr>
        <w:tc>
          <w:tcPr>
            <w:tcW w:w="567" w:type="dxa"/>
            <w:tcBorders>
              <w:top w:val="nil"/>
              <w:left w:val="single" w:color="auto" w:sz="4" w:space="0"/>
              <w:bottom w:val="single" w:color="auto" w:sz="4" w:space="0"/>
              <w:right w:val="single" w:color="auto" w:sz="4" w:space="0"/>
            </w:tcBorders>
            <w:tcMar>
              <w:left w:w="15" w:type="dxa"/>
              <w:right w:w="15" w:type="dxa"/>
            </w:tcMar>
            <w:vAlign w:val="bottom"/>
          </w:tcPr>
          <w:p>
            <w:pPr>
              <w:wordWrap w:val="0"/>
              <w:rPr>
                <w:rFonts w:ascii="宋体" w:hAnsi="Arial" w:eastAsia="Arial"/>
                <w:sz w:val="20"/>
                <w:szCs w:val="20"/>
              </w:rPr>
            </w:pPr>
            <w:r>
              <w:rPr>
                <w:rFonts w:ascii="Calibri" w:hAnsi="宋体"/>
                <w:sz w:val="20"/>
                <w:szCs w:val="20"/>
              </w:rPr>
              <w:t>　</w:t>
            </w:r>
          </w:p>
        </w:tc>
        <w:tc>
          <w:tcPr>
            <w:tcW w:w="5472" w:type="dxa"/>
            <w:tcBorders>
              <w:top w:val="nil"/>
              <w:left w:val="nil"/>
              <w:bottom w:val="single" w:color="auto" w:sz="4" w:space="0"/>
              <w:right w:val="single" w:color="auto" w:sz="4" w:space="0"/>
            </w:tcBorders>
            <w:tcMar>
              <w:left w:w="15" w:type="dxa"/>
              <w:right w:w="15" w:type="dxa"/>
            </w:tcMar>
            <w:vAlign w:val="bottom"/>
          </w:tcPr>
          <w:p>
            <w:pPr>
              <w:wordWrap w:val="0"/>
              <w:rPr>
                <w:rFonts w:ascii="宋体" w:hAnsi="Arial" w:eastAsia="Arial"/>
                <w:sz w:val="20"/>
                <w:szCs w:val="20"/>
              </w:rPr>
            </w:pPr>
            <w:r>
              <w:rPr>
                <w:rFonts w:ascii="Calibri" w:hAnsi="宋体"/>
                <w:sz w:val="20"/>
                <w:szCs w:val="20"/>
              </w:rPr>
              <w:t>　</w:t>
            </w:r>
          </w:p>
        </w:tc>
        <w:tc>
          <w:tcPr>
            <w:tcW w:w="2257" w:type="dxa"/>
            <w:tcBorders>
              <w:top w:val="nil"/>
              <w:left w:val="nil"/>
              <w:bottom w:val="single" w:color="auto" w:sz="4" w:space="0"/>
              <w:right w:val="single" w:color="auto" w:sz="4" w:space="0"/>
            </w:tcBorders>
            <w:tcMar>
              <w:left w:w="15" w:type="dxa"/>
              <w:right w:w="15" w:type="dxa"/>
            </w:tcMar>
            <w:vAlign w:val="bottom"/>
          </w:tcPr>
          <w:p>
            <w:pPr>
              <w:wordWrap w:val="0"/>
              <w:rPr>
                <w:rFonts w:ascii="宋体" w:hAnsi="Arial" w:eastAsia="Arial"/>
                <w:sz w:val="20"/>
                <w:szCs w:val="20"/>
              </w:rPr>
            </w:pPr>
            <w:r>
              <w:rPr>
                <w:rFonts w:ascii="Calibri" w:hAnsi="宋体"/>
                <w:sz w:val="20"/>
                <w:szCs w:val="20"/>
              </w:rPr>
              <w:t>　</w:t>
            </w:r>
          </w:p>
        </w:tc>
      </w:tr>
      <w:tr>
        <w:tblPrEx>
          <w:tblCellMar>
            <w:top w:w="0" w:type="dxa"/>
            <w:left w:w="0" w:type="dxa"/>
            <w:bottom w:w="0" w:type="dxa"/>
            <w:right w:w="0" w:type="dxa"/>
          </w:tblCellMar>
        </w:tblPrEx>
        <w:trPr>
          <w:trHeight w:val="379" w:hRule="atLeast"/>
        </w:trPr>
        <w:tc>
          <w:tcPr>
            <w:tcW w:w="567" w:type="dxa"/>
            <w:tcBorders>
              <w:top w:val="nil"/>
              <w:left w:val="single" w:color="auto" w:sz="4" w:space="0"/>
              <w:bottom w:val="single" w:color="auto" w:sz="4" w:space="0"/>
              <w:right w:val="single" w:color="auto" w:sz="4" w:space="0"/>
            </w:tcBorders>
            <w:tcMar>
              <w:left w:w="15" w:type="dxa"/>
              <w:right w:w="15" w:type="dxa"/>
            </w:tcMar>
            <w:vAlign w:val="bottom"/>
          </w:tcPr>
          <w:p>
            <w:pPr>
              <w:wordWrap w:val="0"/>
              <w:rPr>
                <w:rFonts w:ascii="宋体" w:hAnsi="Arial" w:eastAsia="Arial"/>
                <w:sz w:val="20"/>
                <w:szCs w:val="20"/>
              </w:rPr>
            </w:pPr>
            <w:r>
              <w:rPr>
                <w:rFonts w:ascii="Calibri" w:hAnsi="宋体"/>
                <w:sz w:val="20"/>
                <w:szCs w:val="20"/>
              </w:rPr>
              <w:t>　</w:t>
            </w:r>
          </w:p>
        </w:tc>
        <w:tc>
          <w:tcPr>
            <w:tcW w:w="5472" w:type="dxa"/>
            <w:tcBorders>
              <w:top w:val="nil"/>
              <w:left w:val="nil"/>
              <w:bottom w:val="single" w:color="auto" w:sz="4" w:space="0"/>
              <w:right w:val="single" w:color="auto" w:sz="4" w:space="0"/>
            </w:tcBorders>
            <w:tcMar>
              <w:left w:w="15" w:type="dxa"/>
              <w:right w:w="15" w:type="dxa"/>
            </w:tcMar>
            <w:vAlign w:val="bottom"/>
          </w:tcPr>
          <w:p>
            <w:pPr>
              <w:wordWrap w:val="0"/>
              <w:rPr>
                <w:rFonts w:ascii="宋体" w:hAnsi="Arial" w:eastAsia="Arial"/>
                <w:sz w:val="20"/>
                <w:szCs w:val="20"/>
              </w:rPr>
            </w:pPr>
            <w:r>
              <w:rPr>
                <w:rFonts w:ascii="Calibri" w:hAnsi="宋体"/>
                <w:sz w:val="20"/>
                <w:szCs w:val="20"/>
              </w:rPr>
              <w:t>　</w:t>
            </w:r>
          </w:p>
        </w:tc>
        <w:tc>
          <w:tcPr>
            <w:tcW w:w="2257" w:type="dxa"/>
            <w:tcBorders>
              <w:top w:val="nil"/>
              <w:left w:val="nil"/>
              <w:bottom w:val="single" w:color="auto" w:sz="4" w:space="0"/>
              <w:right w:val="single" w:color="auto" w:sz="4" w:space="0"/>
            </w:tcBorders>
            <w:tcMar>
              <w:left w:w="15" w:type="dxa"/>
              <w:right w:w="15" w:type="dxa"/>
            </w:tcMar>
            <w:vAlign w:val="bottom"/>
          </w:tcPr>
          <w:p>
            <w:pPr>
              <w:wordWrap w:val="0"/>
              <w:rPr>
                <w:rFonts w:ascii="宋体" w:hAnsi="Arial" w:eastAsia="Arial"/>
                <w:sz w:val="20"/>
                <w:szCs w:val="20"/>
              </w:rPr>
            </w:pPr>
            <w:r>
              <w:rPr>
                <w:rFonts w:ascii="Calibri" w:hAnsi="宋体"/>
                <w:sz w:val="20"/>
                <w:szCs w:val="20"/>
              </w:rPr>
              <w:t>　</w:t>
            </w:r>
          </w:p>
        </w:tc>
      </w:tr>
      <w:tr>
        <w:tblPrEx>
          <w:tblCellMar>
            <w:top w:w="0" w:type="dxa"/>
            <w:left w:w="0" w:type="dxa"/>
            <w:bottom w:w="0" w:type="dxa"/>
            <w:right w:w="0" w:type="dxa"/>
          </w:tblCellMar>
        </w:tblPrEx>
        <w:trPr>
          <w:trHeight w:val="379" w:hRule="atLeast"/>
        </w:trPr>
        <w:tc>
          <w:tcPr>
            <w:tcW w:w="567" w:type="dxa"/>
            <w:tcBorders>
              <w:top w:val="nil"/>
              <w:left w:val="single" w:color="auto" w:sz="4" w:space="0"/>
              <w:bottom w:val="single" w:color="auto" w:sz="4" w:space="0"/>
              <w:right w:val="single" w:color="auto" w:sz="4" w:space="0"/>
            </w:tcBorders>
            <w:tcMar>
              <w:left w:w="15" w:type="dxa"/>
              <w:right w:w="15" w:type="dxa"/>
            </w:tcMar>
            <w:vAlign w:val="bottom"/>
          </w:tcPr>
          <w:p>
            <w:pPr>
              <w:wordWrap w:val="0"/>
              <w:rPr>
                <w:rFonts w:ascii="宋体" w:hAnsi="Arial" w:eastAsia="Arial"/>
                <w:sz w:val="20"/>
                <w:szCs w:val="20"/>
              </w:rPr>
            </w:pPr>
            <w:r>
              <w:rPr>
                <w:rFonts w:ascii="Calibri" w:hAnsi="宋体"/>
                <w:sz w:val="20"/>
                <w:szCs w:val="20"/>
              </w:rPr>
              <w:t>　</w:t>
            </w:r>
          </w:p>
        </w:tc>
        <w:tc>
          <w:tcPr>
            <w:tcW w:w="5472" w:type="dxa"/>
            <w:tcBorders>
              <w:top w:val="nil"/>
              <w:left w:val="nil"/>
              <w:bottom w:val="single" w:color="auto" w:sz="4" w:space="0"/>
              <w:right w:val="single" w:color="auto" w:sz="4" w:space="0"/>
            </w:tcBorders>
            <w:tcMar>
              <w:left w:w="15" w:type="dxa"/>
              <w:right w:w="15" w:type="dxa"/>
            </w:tcMar>
            <w:vAlign w:val="bottom"/>
          </w:tcPr>
          <w:p>
            <w:pPr>
              <w:wordWrap w:val="0"/>
              <w:rPr>
                <w:rFonts w:ascii="宋体" w:hAnsi="Arial" w:eastAsia="Arial"/>
                <w:sz w:val="20"/>
                <w:szCs w:val="20"/>
              </w:rPr>
            </w:pPr>
            <w:r>
              <w:rPr>
                <w:rFonts w:ascii="Calibri" w:hAnsi="宋体"/>
                <w:sz w:val="20"/>
                <w:szCs w:val="20"/>
              </w:rPr>
              <w:t>　</w:t>
            </w:r>
          </w:p>
        </w:tc>
        <w:tc>
          <w:tcPr>
            <w:tcW w:w="2257" w:type="dxa"/>
            <w:tcBorders>
              <w:top w:val="nil"/>
              <w:left w:val="nil"/>
              <w:bottom w:val="single" w:color="auto" w:sz="4" w:space="0"/>
              <w:right w:val="single" w:color="auto" w:sz="4" w:space="0"/>
            </w:tcBorders>
            <w:tcMar>
              <w:left w:w="15" w:type="dxa"/>
              <w:right w:w="15" w:type="dxa"/>
            </w:tcMar>
            <w:vAlign w:val="bottom"/>
          </w:tcPr>
          <w:p>
            <w:pPr>
              <w:wordWrap w:val="0"/>
              <w:rPr>
                <w:rFonts w:ascii="宋体" w:hAnsi="Arial" w:eastAsia="Arial"/>
                <w:sz w:val="20"/>
                <w:szCs w:val="20"/>
              </w:rPr>
            </w:pPr>
            <w:r>
              <w:rPr>
                <w:rFonts w:ascii="Calibri" w:hAnsi="宋体"/>
                <w:sz w:val="20"/>
                <w:szCs w:val="20"/>
              </w:rPr>
              <w:t>　</w:t>
            </w:r>
          </w:p>
        </w:tc>
      </w:tr>
      <w:tr>
        <w:tblPrEx>
          <w:tblCellMar>
            <w:top w:w="0" w:type="dxa"/>
            <w:left w:w="0" w:type="dxa"/>
            <w:bottom w:w="0" w:type="dxa"/>
            <w:right w:w="0" w:type="dxa"/>
          </w:tblCellMar>
        </w:tblPrEx>
        <w:trPr>
          <w:trHeight w:val="379" w:hRule="atLeast"/>
        </w:trPr>
        <w:tc>
          <w:tcPr>
            <w:tcW w:w="567" w:type="dxa"/>
            <w:tcBorders>
              <w:top w:val="nil"/>
              <w:left w:val="single" w:color="auto" w:sz="4" w:space="0"/>
              <w:bottom w:val="single" w:color="auto" w:sz="4" w:space="0"/>
              <w:right w:val="single" w:color="auto" w:sz="4" w:space="0"/>
            </w:tcBorders>
            <w:tcMar>
              <w:left w:w="15" w:type="dxa"/>
              <w:right w:w="15" w:type="dxa"/>
            </w:tcMar>
            <w:vAlign w:val="bottom"/>
          </w:tcPr>
          <w:p>
            <w:pPr>
              <w:wordWrap w:val="0"/>
              <w:rPr>
                <w:rFonts w:ascii="宋体" w:hAnsi="Arial" w:eastAsia="Arial"/>
                <w:sz w:val="20"/>
                <w:szCs w:val="20"/>
              </w:rPr>
            </w:pPr>
            <w:r>
              <w:rPr>
                <w:rFonts w:ascii="Calibri" w:hAnsi="宋体"/>
                <w:sz w:val="20"/>
                <w:szCs w:val="20"/>
              </w:rPr>
              <w:t>　</w:t>
            </w:r>
          </w:p>
        </w:tc>
        <w:tc>
          <w:tcPr>
            <w:tcW w:w="5472" w:type="dxa"/>
            <w:tcBorders>
              <w:top w:val="nil"/>
              <w:left w:val="nil"/>
              <w:bottom w:val="single" w:color="auto" w:sz="4" w:space="0"/>
              <w:right w:val="single" w:color="auto" w:sz="4" w:space="0"/>
            </w:tcBorders>
            <w:tcMar>
              <w:left w:w="15" w:type="dxa"/>
              <w:right w:w="15" w:type="dxa"/>
            </w:tcMar>
            <w:vAlign w:val="bottom"/>
          </w:tcPr>
          <w:p>
            <w:pPr>
              <w:wordWrap w:val="0"/>
              <w:rPr>
                <w:rFonts w:ascii="宋体" w:hAnsi="Arial" w:eastAsia="Arial"/>
                <w:sz w:val="20"/>
                <w:szCs w:val="20"/>
              </w:rPr>
            </w:pPr>
            <w:r>
              <w:rPr>
                <w:rFonts w:ascii="Calibri" w:hAnsi="宋体"/>
                <w:sz w:val="20"/>
                <w:szCs w:val="20"/>
              </w:rPr>
              <w:t>　</w:t>
            </w:r>
          </w:p>
        </w:tc>
        <w:tc>
          <w:tcPr>
            <w:tcW w:w="2257" w:type="dxa"/>
            <w:tcBorders>
              <w:top w:val="nil"/>
              <w:left w:val="nil"/>
              <w:bottom w:val="single" w:color="auto" w:sz="4" w:space="0"/>
              <w:right w:val="single" w:color="auto" w:sz="4" w:space="0"/>
            </w:tcBorders>
            <w:tcMar>
              <w:left w:w="15" w:type="dxa"/>
              <w:right w:w="15" w:type="dxa"/>
            </w:tcMar>
            <w:vAlign w:val="bottom"/>
          </w:tcPr>
          <w:p>
            <w:pPr>
              <w:wordWrap w:val="0"/>
              <w:rPr>
                <w:rFonts w:ascii="宋体" w:hAnsi="Arial" w:eastAsia="Arial"/>
                <w:sz w:val="20"/>
                <w:szCs w:val="20"/>
              </w:rPr>
            </w:pPr>
            <w:r>
              <w:rPr>
                <w:rFonts w:ascii="Calibri" w:hAnsi="宋体"/>
                <w:sz w:val="20"/>
                <w:szCs w:val="20"/>
              </w:rPr>
              <w:t>　</w:t>
            </w:r>
          </w:p>
        </w:tc>
      </w:tr>
      <w:tr>
        <w:tblPrEx>
          <w:tblCellMar>
            <w:top w:w="0" w:type="dxa"/>
            <w:left w:w="0" w:type="dxa"/>
            <w:bottom w:w="0" w:type="dxa"/>
            <w:right w:w="0" w:type="dxa"/>
          </w:tblCellMar>
        </w:tblPrEx>
        <w:trPr>
          <w:trHeight w:val="379" w:hRule="atLeast"/>
        </w:trPr>
        <w:tc>
          <w:tcPr>
            <w:tcW w:w="567" w:type="dxa"/>
            <w:tcBorders>
              <w:top w:val="nil"/>
              <w:left w:val="single" w:color="auto" w:sz="4" w:space="0"/>
              <w:bottom w:val="single" w:color="auto" w:sz="4" w:space="0"/>
              <w:right w:val="single" w:color="auto" w:sz="4" w:space="0"/>
            </w:tcBorders>
            <w:tcMar>
              <w:left w:w="15" w:type="dxa"/>
              <w:right w:w="15" w:type="dxa"/>
            </w:tcMar>
            <w:vAlign w:val="bottom"/>
          </w:tcPr>
          <w:p>
            <w:pPr>
              <w:wordWrap w:val="0"/>
              <w:rPr>
                <w:rFonts w:ascii="宋体" w:hAnsi="Arial" w:eastAsia="Arial"/>
                <w:sz w:val="20"/>
                <w:szCs w:val="20"/>
              </w:rPr>
            </w:pPr>
            <w:r>
              <w:rPr>
                <w:rFonts w:ascii="Calibri" w:hAnsi="宋体"/>
                <w:sz w:val="20"/>
                <w:szCs w:val="20"/>
              </w:rPr>
              <w:t>　</w:t>
            </w:r>
          </w:p>
        </w:tc>
        <w:tc>
          <w:tcPr>
            <w:tcW w:w="5472" w:type="dxa"/>
            <w:tcBorders>
              <w:top w:val="nil"/>
              <w:left w:val="nil"/>
              <w:bottom w:val="single" w:color="auto" w:sz="4" w:space="0"/>
              <w:right w:val="single" w:color="auto" w:sz="4" w:space="0"/>
            </w:tcBorders>
            <w:tcMar>
              <w:left w:w="15" w:type="dxa"/>
              <w:right w:w="15" w:type="dxa"/>
            </w:tcMar>
            <w:vAlign w:val="bottom"/>
          </w:tcPr>
          <w:p>
            <w:pPr>
              <w:wordWrap w:val="0"/>
              <w:rPr>
                <w:rFonts w:ascii="宋体" w:hAnsi="Arial" w:eastAsia="Arial"/>
                <w:sz w:val="20"/>
                <w:szCs w:val="20"/>
              </w:rPr>
            </w:pPr>
            <w:r>
              <w:rPr>
                <w:rFonts w:ascii="Calibri" w:hAnsi="宋体"/>
                <w:sz w:val="20"/>
                <w:szCs w:val="20"/>
              </w:rPr>
              <w:t>　</w:t>
            </w:r>
          </w:p>
        </w:tc>
        <w:tc>
          <w:tcPr>
            <w:tcW w:w="2257" w:type="dxa"/>
            <w:tcBorders>
              <w:top w:val="nil"/>
              <w:left w:val="nil"/>
              <w:bottom w:val="single" w:color="auto" w:sz="4" w:space="0"/>
              <w:right w:val="single" w:color="auto" w:sz="4" w:space="0"/>
            </w:tcBorders>
            <w:tcMar>
              <w:left w:w="15" w:type="dxa"/>
              <w:right w:w="15" w:type="dxa"/>
            </w:tcMar>
            <w:vAlign w:val="bottom"/>
          </w:tcPr>
          <w:p>
            <w:pPr>
              <w:wordWrap w:val="0"/>
              <w:rPr>
                <w:rFonts w:ascii="宋体" w:hAnsi="Arial" w:eastAsia="Arial"/>
                <w:sz w:val="20"/>
                <w:szCs w:val="20"/>
              </w:rPr>
            </w:pPr>
            <w:r>
              <w:rPr>
                <w:rFonts w:ascii="Calibri" w:hAnsi="宋体"/>
                <w:sz w:val="20"/>
                <w:szCs w:val="20"/>
              </w:rPr>
              <w:t>　</w:t>
            </w:r>
          </w:p>
        </w:tc>
      </w:tr>
      <w:tr>
        <w:tblPrEx>
          <w:tblCellMar>
            <w:top w:w="0" w:type="dxa"/>
            <w:left w:w="0" w:type="dxa"/>
            <w:bottom w:w="0" w:type="dxa"/>
            <w:right w:w="0" w:type="dxa"/>
          </w:tblCellMar>
        </w:tblPrEx>
        <w:trPr>
          <w:trHeight w:val="379" w:hRule="atLeast"/>
        </w:trPr>
        <w:tc>
          <w:tcPr>
            <w:tcW w:w="567" w:type="dxa"/>
            <w:tcBorders>
              <w:top w:val="nil"/>
              <w:left w:val="single" w:color="auto" w:sz="4" w:space="0"/>
              <w:bottom w:val="single" w:color="auto" w:sz="4" w:space="0"/>
              <w:right w:val="single" w:color="auto" w:sz="4" w:space="0"/>
            </w:tcBorders>
            <w:tcMar>
              <w:left w:w="15" w:type="dxa"/>
              <w:right w:w="15" w:type="dxa"/>
            </w:tcMar>
            <w:vAlign w:val="bottom"/>
          </w:tcPr>
          <w:p>
            <w:pPr>
              <w:wordWrap w:val="0"/>
              <w:rPr>
                <w:rFonts w:ascii="宋体" w:hAnsi="Arial" w:eastAsia="Arial"/>
                <w:sz w:val="20"/>
                <w:szCs w:val="20"/>
              </w:rPr>
            </w:pPr>
            <w:r>
              <w:rPr>
                <w:rFonts w:ascii="Calibri" w:hAnsi="宋体"/>
                <w:sz w:val="20"/>
                <w:szCs w:val="20"/>
              </w:rPr>
              <w:t>　</w:t>
            </w:r>
          </w:p>
        </w:tc>
        <w:tc>
          <w:tcPr>
            <w:tcW w:w="5472" w:type="dxa"/>
            <w:tcBorders>
              <w:top w:val="nil"/>
              <w:left w:val="nil"/>
              <w:bottom w:val="single" w:color="auto" w:sz="4" w:space="0"/>
              <w:right w:val="single" w:color="auto" w:sz="4" w:space="0"/>
            </w:tcBorders>
            <w:tcMar>
              <w:left w:w="15" w:type="dxa"/>
              <w:right w:w="15" w:type="dxa"/>
            </w:tcMar>
            <w:vAlign w:val="bottom"/>
          </w:tcPr>
          <w:p>
            <w:pPr>
              <w:wordWrap w:val="0"/>
              <w:rPr>
                <w:rFonts w:ascii="宋体" w:hAnsi="Arial" w:eastAsia="Arial"/>
                <w:sz w:val="20"/>
                <w:szCs w:val="20"/>
              </w:rPr>
            </w:pPr>
            <w:r>
              <w:rPr>
                <w:rFonts w:ascii="Calibri" w:hAnsi="宋体"/>
                <w:sz w:val="20"/>
                <w:szCs w:val="20"/>
              </w:rPr>
              <w:t>　</w:t>
            </w:r>
          </w:p>
        </w:tc>
        <w:tc>
          <w:tcPr>
            <w:tcW w:w="2257" w:type="dxa"/>
            <w:tcBorders>
              <w:top w:val="nil"/>
              <w:left w:val="nil"/>
              <w:bottom w:val="single" w:color="auto" w:sz="4" w:space="0"/>
              <w:right w:val="single" w:color="auto" w:sz="4" w:space="0"/>
            </w:tcBorders>
            <w:tcMar>
              <w:left w:w="15" w:type="dxa"/>
              <w:right w:w="15" w:type="dxa"/>
            </w:tcMar>
            <w:vAlign w:val="bottom"/>
          </w:tcPr>
          <w:p>
            <w:pPr>
              <w:wordWrap w:val="0"/>
              <w:rPr>
                <w:rFonts w:ascii="宋体" w:hAnsi="Arial" w:eastAsia="Arial"/>
                <w:sz w:val="20"/>
                <w:szCs w:val="20"/>
              </w:rPr>
            </w:pPr>
            <w:r>
              <w:rPr>
                <w:rFonts w:ascii="Calibri" w:hAnsi="Arial" w:eastAsia="Arial"/>
                <w:sz w:val="20"/>
                <w:szCs w:val="20"/>
              </w:rPr>
              <w:t xml:space="preserve"> </w:t>
            </w:r>
          </w:p>
        </w:tc>
      </w:tr>
      <w:tr>
        <w:tblPrEx>
          <w:tblCellMar>
            <w:top w:w="0" w:type="dxa"/>
            <w:left w:w="0" w:type="dxa"/>
            <w:bottom w:w="0" w:type="dxa"/>
            <w:right w:w="0" w:type="dxa"/>
          </w:tblCellMar>
        </w:tblPrEx>
        <w:trPr>
          <w:trHeight w:val="558" w:hRule="atLeast"/>
        </w:trPr>
        <w:tc>
          <w:tcPr>
            <w:tcW w:w="567" w:type="dxa"/>
            <w:tcBorders>
              <w:top w:val="nil"/>
              <w:left w:val="single" w:color="auto" w:sz="4" w:space="0"/>
              <w:bottom w:val="single" w:color="auto" w:sz="4" w:space="0"/>
              <w:right w:val="single" w:color="auto" w:sz="4" w:space="0"/>
            </w:tcBorders>
            <w:tcMar>
              <w:left w:w="15" w:type="dxa"/>
              <w:right w:w="15" w:type="dxa"/>
            </w:tcMar>
            <w:vAlign w:val="bottom"/>
          </w:tcPr>
          <w:p>
            <w:pPr>
              <w:wordWrap w:val="0"/>
              <w:rPr>
                <w:rFonts w:ascii="宋体" w:hAnsi="Arial" w:eastAsia="Arial"/>
                <w:sz w:val="20"/>
                <w:szCs w:val="20"/>
              </w:rPr>
            </w:pPr>
            <w:r>
              <w:rPr>
                <w:rFonts w:ascii="Calibri" w:hAnsi="宋体"/>
                <w:sz w:val="20"/>
                <w:szCs w:val="20"/>
              </w:rPr>
              <w:t>　</w:t>
            </w:r>
          </w:p>
        </w:tc>
        <w:tc>
          <w:tcPr>
            <w:tcW w:w="5472" w:type="dxa"/>
            <w:tcBorders>
              <w:top w:val="nil"/>
              <w:left w:val="nil"/>
              <w:bottom w:val="single" w:color="auto" w:sz="4" w:space="0"/>
              <w:right w:val="single" w:color="auto" w:sz="4" w:space="0"/>
            </w:tcBorders>
            <w:tcMar>
              <w:left w:w="15" w:type="dxa"/>
              <w:right w:w="15" w:type="dxa"/>
            </w:tcMar>
            <w:vAlign w:val="center"/>
          </w:tcPr>
          <w:p>
            <w:pPr>
              <w:wordWrap w:val="0"/>
              <w:jc w:val="center"/>
              <w:rPr>
                <w:rFonts w:ascii="宋体" w:hAnsi="Arial" w:eastAsia="Arial"/>
                <w:sz w:val="18"/>
                <w:szCs w:val="18"/>
              </w:rPr>
            </w:pPr>
            <w:r>
              <w:rPr>
                <w:rFonts w:ascii="Calibri" w:hAnsi="宋体"/>
                <w:sz w:val="18"/>
                <w:szCs w:val="18"/>
              </w:rPr>
              <w:t>合</w:t>
            </w:r>
            <w:r>
              <w:rPr>
                <w:rFonts w:ascii="Calibri" w:hAnsi="Arial" w:eastAsia="Arial"/>
                <w:sz w:val="18"/>
                <w:szCs w:val="18"/>
              </w:rPr>
              <w:t xml:space="preserve">    </w:t>
            </w:r>
            <w:r>
              <w:rPr>
                <w:rFonts w:ascii="Calibri" w:hAnsi="宋体"/>
                <w:sz w:val="18"/>
                <w:szCs w:val="18"/>
              </w:rPr>
              <w:t>计</w:t>
            </w:r>
          </w:p>
        </w:tc>
        <w:tc>
          <w:tcPr>
            <w:tcW w:w="2257" w:type="dxa"/>
            <w:tcBorders>
              <w:top w:val="nil"/>
              <w:left w:val="nil"/>
              <w:bottom w:val="single" w:color="auto" w:sz="4" w:space="0"/>
              <w:right w:val="single" w:color="auto" w:sz="4" w:space="0"/>
            </w:tcBorders>
            <w:tcMar>
              <w:left w:w="15" w:type="dxa"/>
              <w:right w:w="15" w:type="dxa"/>
            </w:tcMar>
            <w:vAlign w:val="center"/>
          </w:tcPr>
          <w:p>
            <w:pPr>
              <w:wordWrap w:val="0"/>
              <w:jc w:val="right"/>
              <w:rPr>
                <w:rFonts w:ascii="宋体" w:hAnsi="Arial" w:eastAsia="Arial"/>
                <w:sz w:val="18"/>
                <w:szCs w:val="18"/>
              </w:rPr>
            </w:pPr>
            <w:r>
              <w:rPr>
                <w:rFonts w:ascii="Calibri" w:hAnsi="宋体"/>
                <w:sz w:val="18"/>
                <w:szCs w:val="18"/>
              </w:rPr>
              <w:t>　</w:t>
            </w:r>
          </w:p>
        </w:tc>
      </w:tr>
    </w:tbl>
    <w:p>
      <w:pPr>
        <w:adjustRightInd w:val="0"/>
        <w:snapToGrid w:val="0"/>
        <w:spacing w:line="360" w:lineRule="auto"/>
        <w:jc w:val="left"/>
        <w:rPr>
          <w:color w:val="000000" w:themeColor="text1"/>
          <w:sz w:val="30"/>
          <w:szCs w:val="30"/>
        </w:rPr>
      </w:pPr>
      <w:r>
        <w:rPr>
          <w:color w:val="000000" w:themeColor="text1"/>
          <w:sz w:val="30"/>
          <w:szCs w:val="30"/>
        </w:rPr>
        <w:t>备注：规费、措施费请填写为零，相关费用分摊到其他分项。</w:t>
      </w:r>
    </w:p>
    <w:p>
      <w:pPr>
        <w:adjustRightInd w:val="0"/>
        <w:snapToGrid w:val="0"/>
        <w:spacing w:line="360" w:lineRule="auto"/>
        <w:jc w:val="left"/>
      </w:pPr>
      <w:r>
        <w:rPr>
          <w:color w:val="000000" w:themeColor="text1"/>
          <w:sz w:val="30"/>
          <w:szCs w:val="30"/>
        </w:rPr>
        <w:t>但</w:t>
      </w:r>
      <w:r>
        <w:rPr>
          <w:b/>
          <w:color w:val="0066FF"/>
          <w:sz w:val="30"/>
          <w:szCs w:val="30"/>
        </w:rPr>
        <w:t>税金</w:t>
      </w:r>
      <w:r>
        <w:rPr>
          <w:color w:val="000000" w:themeColor="text1"/>
          <w:sz w:val="30"/>
          <w:szCs w:val="30"/>
        </w:rPr>
        <w:t>必须列出（依据《深圳市建设工程造价管理站关于调整深圳市建设工程计价费率标准增值税综合应纳税费率的通知【2018】21号》，</w:t>
      </w:r>
      <w:r>
        <w:rPr>
          <w:rFonts w:hint="eastAsia"/>
          <w:color w:val="000000" w:themeColor="text1"/>
          <w:sz w:val="30"/>
          <w:szCs w:val="30"/>
        </w:rPr>
        <w:t xml:space="preserve">增值税应纳税额 </w:t>
      </w:r>
      <w:r>
        <w:rPr>
          <w:color w:val="000000" w:themeColor="text1"/>
          <w:sz w:val="30"/>
          <w:szCs w:val="30"/>
        </w:rPr>
        <w:t>税</w:t>
      </w:r>
      <w:r>
        <w:rPr>
          <w:rFonts w:hint="eastAsia"/>
          <w:color w:val="000000" w:themeColor="text1"/>
          <w:sz w:val="30"/>
          <w:szCs w:val="30"/>
        </w:rPr>
        <w:t>（费）</w:t>
      </w:r>
      <w:r>
        <w:rPr>
          <w:color w:val="000000" w:themeColor="text1"/>
          <w:sz w:val="30"/>
          <w:szCs w:val="30"/>
        </w:rPr>
        <w:t>率以</w:t>
      </w:r>
      <w:r>
        <w:rPr>
          <w:b/>
          <w:color w:val="FF0000"/>
          <w:sz w:val="30"/>
          <w:szCs w:val="30"/>
        </w:rPr>
        <w:t>3.14%</w:t>
      </w:r>
      <w:r>
        <w:rPr>
          <w:color w:val="000000" w:themeColor="text1"/>
          <w:sz w:val="30"/>
          <w:szCs w:val="30"/>
        </w:rPr>
        <w:t>计算，城市维护建设税、教育费附加及地方教育费附加</w:t>
      </w:r>
      <w:r>
        <w:rPr>
          <w:rFonts w:hint="eastAsia"/>
          <w:color w:val="000000" w:themeColor="text1"/>
          <w:sz w:val="30"/>
          <w:szCs w:val="30"/>
        </w:rPr>
        <w:t xml:space="preserve"> </w:t>
      </w:r>
      <w:r>
        <w:rPr>
          <w:color w:val="000000" w:themeColor="text1"/>
          <w:sz w:val="30"/>
          <w:szCs w:val="30"/>
        </w:rPr>
        <w:t>税</w:t>
      </w:r>
      <w:r>
        <w:rPr>
          <w:rFonts w:hint="eastAsia"/>
          <w:color w:val="000000" w:themeColor="text1"/>
          <w:sz w:val="30"/>
          <w:szCs w:val="30"/>
        </w:rPr>
        <w:t>（</w:t>
      </w:r>
      <w:r>
        <w:rPr>
          <w:color w:val="000000" w:themeColor="text1"/>
          <w:sz w:val="30"/>
          <w:szCs w:val="30"/>
        </w:rPr>
        <w:t>费</w:t>
      </w:r>
      <w:r>
        <w:rPr>
          <w:rFonts w:hint="eastAsia"/>
          <w:color w:val="000000" w:themeColor="text1"/>
          <w:sz w:val="30"/>
          <w:szCs w:val="30"/>
        </w:rPr>
        <w:t>）</w:t>
      </w:r>
      <w:r>
        <w:rPr>
          <w:color w:val="000000" w:themeColor="text1"/>
          <w:sz w:val="30"/>
          <w:szCs w:val="30"/>
        </w:rPr>
        <w:t>率以</w:t>
      </w:r>
      <w:r>
        <w:rPr>
          <w:b/>
          <w:color w:val="FF0000"/>
          <w:sz w:val="30"/>
          <w:szCs w:val="30"/>
        </w:rPr>
        <w:t>12%</w:t>
      </w:r>
      <w:r>
        <w:rPr>
          <w:color w:val="000000" w:themeColor="text1"/>
          <w:sz w:val="30"/>
          <w:szCs w:val="30"/>
        </w:rPr>
        <w:t>计算</w:t>
      </w:r>
      <w:r>
        <w:rPr>
          <w:rFonts w:hint="eastAsia"/>
          <w:color w:val="000000" w:themeColor="text1"/>
          <w:sz w:val="30"/>
          <w:szCs w:val="30"/>
        </w:rPr>
        <w:t>，</w:t>
      </w:r>
      <w:r>
        <w:rPr>
          <w:b/>
          <w:color w:val="FF0000"/>
          <w:sz w:val="30"/>
          <w:szCs w:val="30"/>
        </w:rPr>
        <w:t>需严格按照此</w:t>
      </w:r>
      <w:r>
        <w:rPr>
          <w:rFonts w:hint="eastAsia"/>
          <w:b/>
          <w:color w:val="FF0000"/>
          <w:sz w:val="30"/>
          <w:szCs w:val="30"/>
        </w:rPr>
        <w:t>税（费）率</w:t>
      </w:r>
      <w:r>
        <w:rPr>
          <w:b/>
          <w:color w:val="FF0000"/>
          <w:sz w:val="30"/>
          <w:szCs w:val="30"/>
        </w:rPr>
        <w:t>计算</w:t>
      </w:r>
      <w:r>
        <w:rPr>
          <w:rFonts w:hint="eastAsia"/>
          <w:b/>
          <w:color w:val="FF0000"/>
          <w:sz w:val="30"/>
          <w:szCs w:val="30"/>
        </w:rPr>
        <w:t>单位</w:t>
      </w:r>
      <w:r>
        <w:rPr>
          <w:b/>
          <w:color w:val="FF0000"/>
          <w:sz w:val="30"/>
          <w:szCs w:val="30"/>
        </w:rPr>
        <w:t>工程费</w:t>
      </w:r>
      <w:r>
        <w:rPr>
          <w:color w:val="000000" w:themeColor="text1"/>
          <w:sz w:val="30"/>
          <w:szCs w:val="30"/>
        </w:rPr>
        <w:t>）。</w:t>
      </w:r>
    </w:p>
    <w:p>
      <w:pPr>
        <w:wordWrap w:val="0"/>
        <w:spacing w:line="360" w:lineRule="auto"/>
        <w:jc w:val="left"/>
        <w:rPr>
          <w:color w:val="FF0000"/>
          <w:sz w:val="30"/>
          <w:szCs w:val="30"/>
        </w:rPr>
      </w:pPr>
    </w:p>
    <w:p>
      <w:pPr>
        <w:wordWrap w:val="0"/>
        <w:jc w:val="left"/>
        <w:rPr>
          <w:rFonts w:ascii="Calibri" w:hAnsi="宋体"/>
          <w:sz w:val="30"/>
          <w:szCs w:val="30"/>
        </w:rPr>
      </w:pPr>
      <w:r>
        <w:br w:type="page"/>
      </w:r>
    </w:p>
    <w:p>
      <w:pPr>
        <w:wordWrap w:val="0"/>
        <w:jc w:val="center"/>
        <w:rPr>
          <w:rFonts w:ascii="华文新魏" w:hAnsi="华文新魏" w:eastAsia="华文新魏"/>
          <w:b/>
          <w:sz w:val="48"/>
          <w:szCs w:val="48"/>
        </w:rPr>
      </w:pPr>
      <w:r>
        <w:rPr>
          <w:rFonts w:ascii="华文新魏" w:hAnsi="华文新魏" w:eastAsia="华文新魏"/>
          <w:b/>
          <w:sz w:val="48"/>
          <w:szCs w:val="48"/>
        </w:rPr>
        <w:t>分部分项工程量清单计价表</w:t>
      </w:r>
    </w:p>
    <w:tbl>
      <w:tblPr>
        <w:tblStyle w:val="54"/>
        <w:tblW w:w="9224" w:type="dxa"/>
        <w:jc w:val="center"/>
        <w:tblLayout w:type="fixed"/>
        <w:tblCellMar>
          <w:top w:w="0" w:type="dxa"/>
          <w:left w:w="0" w:type="dxa"/>
          <w:bottom w:w="0" w:type="dxa"/>
          <w:right w:w="0" w:type="dxa"/>
        </w:tblCellMar>
      </w:tblPr>
      <w:tblGrid>
        <w:gridCol w:w="737"/>
        <w:gridCol w:w="1275"/>
        <w:gridCol w:w="2410"/>
        <w:gridCol w:w="1701"/>
        <w:gridCol w:w="573"/>
        <w:gridCol w:w="709"/>
        <w:gridCol w:w="709"/>
        <w:gridCol w:w="1110"/>
      </w:tblGrid>
      <w:tr>
        <w:tblPrEx>
          <w:tblCellMar>
            <w:top w:w="0" w:type="dxa"/>
            <w:left w:w="0" w:type="dxa"/>
            <w:bottom w:w="0" w:type="dxa"/>
            <w:right w:w="0" w:type="dxa"/>
          </w:tblCellMar>
        </w:tblPrEx>
        <w:trPr>
          <w:trHeight w:val="379" w:hRule="atLeast"/>
          <w:jc w:val="center"/>
        </w:trPr>
        <w:tc>
          <w:tcPr>
            <w:tcW w:w="737" w:type="dxa"/>
            <w:vMerge w:val="restart"/>
            <w:tcBorders>
              <w:top w:val="single" w:color="auto" w:sz="4" w:space="0"/>
              <w:left w:val="single" w:color="auto" w:sz="4" w:space="0"/>
              <w:bottom w:val="single" w:color="000000" w:sz="4" w:space="0"/>
              <w:right w:val="single" w:color="000000" w:sz="4" w:space="0"/>
            </w:tcBorders>
            <w:shd w:val="clear" w:color="000000" w:fill="FFFFFF"/>
            <w:tcMar>
              <w:left w:w="15" w:type="dxa"/>
              <w:right w:w="15" w:type="dxa"/>
            </w:tcMar>
            <w:vAlign w:val="center"/>
          </w:tcPr>
          <w:p>
            <w:pPr>
              <w:wordWrap w:val="0"/>
              <w:jc w:val="center"/>
              <w:rPr>
                <w:rFonts w:ascii="宋体" w:hAnsi="宋体"/>
                <w:color w:val="000000"/>
                <w:sz w:val="20"/>
                <w:szCs w:val="20"/>
              </w:rPr>
            </w:pPr>
            <w:r>
              <w:rPr>
                <w:rFonts w:ascii="Calibri" w:hAnsi="宋体"/>
                <w:color w:val="000000"/>
                <w:sz w:val="20"/>
                <w:szCs w:val="20"/>
              </w:rPr>
              <w:t>序号</w:t>
            </w:r>
          </w:p>
        </w:tc>
        <w:tc>
          <w:tcPr>
            <w:tcW w:w="1275" w:type="dxa"/>
            <w:vMerge w:val="restart"/>
            <w:tcBorders>
              <w:top w:val="single" w:color="auto" w:sz="4" w:space="0"/>
              <w:left w:val="single" w:color="000000" w:sz="4" w:space="0"/>
              <w:bottom w:val="single" w:color="000000" w:sz="4" w:space="0"/>
              <w:right w:val="single" w:color="000000" w:sz="4" w:space="0"/>
            </w:tcBorders>
            <w:shd w:val="clear" w:color="000000" w:fill="FFFFFF"/>
            <w:tcMar>
              <w:left w:w="15" w:type="dxa"/>
              <w:right w:w="15" w:type="dxa"/>
            </w:tcMar>
            <w:vAlign w:val="center"/>
          </w:tcPr>
          <w:p>
            <w:pPr>
              <w:wordWrap w:val="0"/>
              <w:jc w:val="center"/>
              <w:rPr>
                <w:rFonts w:ascii="宋体" w:hAnsi="宋体"/>
                <w:color w:val="000000"/>
                <w:sz w:val="20"/>
                <w:szCs w:val="20"/>
              </w:rPr>
            </w:pPr>
            <w:r>
              <w:rPr>
                <w:rFonts w:ascii="Calibri" w:hAnsi="宋体"/>
                <w:color w:val="000000"/>
                <w:sz w:val="20"/>
                <w:szCs w:val="20"/>
              </w:rPr>
              <w:t>项目编码</w:t>
            </w:r>
          </w:p>
        </w:tc>
        <w:tc>
          <w:tcPr>
            <w:tcW w:w="2410" w:type="dxa"/>
            <w:vMerge w:val="restart"/>
            <w:tcBorders>
              <w:top w:val="single" w:color="auto" w:sz="4" w:space="0"/>
              <w:left w:val="single" w:color="000000" w:sz="4" w:space="0"/>
              <w:bottom w:val="single" w:color="000000" w:sz="4" w:space="0"/>
              <w:right w:val="single" w:color="000000" w:sz="4" w:space="0"/>
            </w:tcBorders>
            <w:shd w:val="clear" w:color="000000" w:fill="FFFFFF"/>
            <w:tcMar>
              <w:left w:w="15" w:type="dxa"/>
              <w:right w:w="15" w:type="dxa"/>
            </w:tcMar>
            <w:vAlign w:val="center"/>
          </w:tcPr>
          <w:p>
            <w:pPr>
              <w:wordWrap w:val="0"/>
              <w:jc w:val="center"/>
              <w:rPr>
                <w:rFonts w:ascii="宋体" w:hAnsi="宋体"/>
                <w:color w:val="000000"/>
                <w:sz w:val="20"/>
                <w:szCs w:val="20"/>
              </w:rPr>
            </w:pPr>
            <w:r>
              <w:rPr>
                <w:rFonts w:ascii="Calibri" w:hAnsi="宋体"/>
                <w:color w:val="000000"/>
                <w:sz w:val="20"/>
                <w:szCs w:val="20"/>
              </w:rPr>
              <w:t>项目名称</w:t>
            </w:r>
          </w:p>
        </w:tc>
        <w:tc>
          <w:tcPr>
            <w:tcW w:w="1701" w:type="dxa"/>
            <w:vMerge w:val="restart"/>
            <w:tcBorders>
              <w:top w:val="single" w:color="auto" w:sz="4" w:space="0"/>
              <w:left w:val="single" w:color="000000" w:sz="4" w:space="0"/>
              <w:bottom w:val="single" w:color="000000" w:sz="4" w:space="0"/>
              <w:right w:val="single" w:color="000000" w:sz="4" w:space="0"/>
            </w:tcBorders>
            <w:shd w:val="clear" w:color="000000" w:fill="FFFFFF"/>
            <w:tcMar>
              <w:left w:w="15" w:type="dxa"/>
              <w:right w:w="15" w:type="dxa"/>
            </w:tcMar>
            <w:vAlign w:val="center"/>
          </w:tcPr>
          <w:p>
            <w:pPr>
              <w:wordWrap w:val="0"/>
              <w:jc w:val="center"/>
              <w:rPr>
                <w:rFonts w:ascii="宋体" w:hAnsi="宋体"/>
                <w:color w:val="000000"/>
                <w:sz w:val="18"/>
                <w:szCs w:val="18"/>
              </w:rPr>
            </w:pPr>
            <w:r>
              <w:rPr>
                <w:rFonts w:ascii="Calibri" w:hAnsi="宋体"/>
                <w:color w:val="000000"/>
                <w:sz w:val="18"/>
                <w:szCs w:val="18"/>
              </w:rPr>
              <w:t>项目特征描述</w:t>
            </w:r>
          </w:p>
        </w:tc>
        <w:tc>
          <w:tcPr>
            <w:tcW w:w="573" w:type="dxa"/>
            <w:vMerge w:val="restart"/>
            <w:tcBorders>
              <w:top w:val="single" w:color="auto" w:sz="4" w:space="0"/>
              <w:left w:val="single" w:color="000000" w:sz="4" w:space="0"/>
              <w:bottom w:val="single" w:color="000000" w:sz="4" w:space="0"/>
              <w:right w:val="single" w:color="000000" w:sz="4" w:space="0"/>
            </w:tcBorders>
            <w:shd w:val="clear" w:color="000000" w:fill="FFFFFF"/>
            <w:tcMar>
              <w:left w:w="15" w:type="dxa"/>
              <w:right w:w="15" w:type="dxa"/>
            </w:tcMar>
            <w:vAlign w:val="center"/>
          </w:tcPr>
          <w:p>
            <w:pPr>
              <w:wordWrap w:val="0"/>
              <w:jc w:val="center"/>
              <w:rPr>
                <w:rFonts w:ascii="宋体" w:hAnsi="宋体"/>
                <w:color w:val="000000"/>
                <w:sz w:val="20"/>
                <w:szCs w:val="20"/>
              </w:rPr>
            </w:pPr>
            <w:r>
              <w:rPr>
                <w:rFonts w:ascii="Calibri" w:hAnsi="宋体"/>
                <w:color w:val="000000"/>
                <w:sz w:val="20"/>
                <w:szCs w:val="20"/>
              </w:rPr>
              <w:t>计量</w:t>
            </w:r>
            <w:r>
              <w:rPr>
                <w:rFonts w:ascii="Calibri" w:hAnsi="宋体"/>
                <w:color w:val="000000"/>
                <w:sz w:val="20"/>
                <w:szCs w:val="20"/>
              </w:rPr>
              <w:br w:type="textWrapping"/>
            </w:r>
            <w:r>
              <w:rPr>
                <w:rFonts w:ascii="Calibri" w:hAnsi="宋体"/>
                <w:color w:val="000000"/>
                <w:sz w:val="20"/>
                <w:szCs w:val="20"/>
              </w:rPr>
              <w:t>单位</w:t>
            </w:r>
          </w:p>
        </w:tc>
        <w:tc>
          <w:tcPr>
            <w:tcW w:w="709" w:type="dxa"/>
            <w:vMerge w:val="restart"/>
            <w:tcBorders>
              <w:top w:val="single" w:color="auto" w:sz="4" w:space="0"/>
              <w:left w:val="single" w:color="000000" w:sz="4" w:space="0"/>
              <w:bottom w:val="single" w:color="000000" w:sz="4" w:space="0"/>
              <w:right w:val="single" w:color="000000" w:sz="4" w:space="0"/>
            </w:tcBorders>
            <w:shd w:val="clear" w:color="000000" w:fill="FFFFFF"/>
            <w:tcMar>
              <w:left w:w="15" w:type="dxa"/>
              <w:right w:w="15" w:type="dxa"/>
            </w:tcMar>
            <w:vAlign w:val="center"/>
          </w:tcPr>
          <w:p>
            <w:pPr>
              <w:wordWrap w:val="0"/>
              <w:jc w:val="center"/>
              <w:rPr>
                <w:rFonts w:ascii="宋体" w:hAnsi="宋体"/>
                <w:color w:val="000000"/>
                <w:sz w:val="20"/>
                <w:szCs w:val="20"/>
              </w:rPr>
            </w:pPr>
            <w:r>
              <w:rPr>
                <w:rFonts w:ascii="Calibri" w:hAnsi="宋体"/>
                <w:color w:val="000000"/>
                <w:sz w:val="20"/>
                <w:szCs w:val="20"/>
              </w:rPr>
              <w:t>工程量</w:t>
            </w:r>
          </w:p>
        </w:tc>
        <w:tc>
          <w:tcPr>
            <w:tcW w:w="1819" w:type="dxa"/>
            <w:gridSpan w:val="2"/>
            <w:tcBorders>
              <w:top w:val="single" w:color="auto" w:sz="4" w:space="0"/>
              <w:left w:val="nil"/>
              <w:bottom w:val="single" w:color="000000" w:sz="4" w:space="0"/>
              <w:right w:val="single" w:color="000000" w:sz="4" w:space="0"/>
            </w:tcBorders>
            <w:shd w:val="clear" w:color="000000" w:fill="FFFFFF"/>
            <w:tcMar>
              <w:left w:w="15" w:type="dxa"/>
              <w:right w:w="15" w:type="dxa"/>
            </w:tcMar>
            <w:vAlign w:val="center"/>
          </w:tcPr>
          <w:p>
            <w:pPr>
              <w:wordWrap w:val="0"/>
              <w:jc w:val="center"/>
              <w:rPr>
                <w:rFonts w:ascii="宋体" w:hAnsi="宋体"/>
                <w:color w:val="000000"/>
                <w:sz w:val="20"/>
                <w:szCs w:val="20"/>
              </w:rPr>
            </w:pPr>
            <w:r>
              <w:rPr>
                <w:rFonts w:ascii="Calibri" w:hAnsi="宋体"/>
                <w:color w:val="000000"/>
                <w:sz w:val="20"/>
                <w:szCs w:val="20"/>
              </w:rPr>
              <w:t>金额(元)</w:t>
            </w:r>
          </w:p>
        </w:tc>
      </w:tr>
      <w:tr>
        <w:tblPrEx>
          <w:tblCellMar>
            <w:top w:w="0" w:type="dxa"/>
            <w:left w:w="0" w:type="dxa"/>
            <w:bottom w:w="0" w:type="dxa"/>
            <w:right w:w="0" w:type="dxa"/>
          </w:tblCellMar>
        </w:tblPrEx>
        <w:trPr>
          <w:trHeight w:val="619" w:hRule="atLeast"/>
          <w:jc w:val="center"/>
        </w:trPr>
        <w:tc>
          <w:tcPr>
            <w:tcW w:w="737" w:type="dxa"/>
            <w:vMerge w:val="continue"/>
            <w:tcBorders>
              <w:top w:val="single" w:color="auto" w:sz="4" w:space="0"/>
              <w:left w:val="single" w:color="auto" w:sz="4" w:space="0"/>
              <w:bottom w:val="single" w:color="000000" w:sz="4" w:space="0"/>
              <w:right w:val="single" w:color="000000" w:sz="4" w:space="0"/>
            </w:tcBorders>
            <w:shd w:val="clear" w:color="000000" w:fill="FFFFFF"/>
            <w:vAlign w:val="center"/>
          </w:tcPr>
          <w:p/>
        </w:tc>
        <w:tc>
          <w:tcPr>
            <w:tcW w:w="1275" w:type="dxa"/>
            <w:vMerge w:val="continue"/>
            <w:tcBorders>
              <w:top w:val="single" w:color="auto" w:sz="4" w:space="0"/>
              <w:left w:val="single" w:color="000000" w:sz="4" w:space="0"/>
              <w:bottom w:val="single" w:color="000000" w:sz="4" w:space="0"/>
              <w:right w:val="single" w:color="000000" w:sz="4" w:space="0"/>
            </w:tcBorders>
            <w:shd w:val="clear" w:color="000000" w:fill="FFFFFF"/>
            <w:vAlign w:val="center"/>
          </w:tcPr>
          <w:p/>
        </w:tc>
        <w:tc>
          <w:tcPr>
            <w:tcW w:w="2410" w:type="dxa"/>
            <w:vMerge w:val="continue"/>
            <w:tcBorders>
              <w:top w:val="single" w:color="auto" w:sz="4" w:space="0"/>
              <w:left w:val="single" w:color="000000" w:sz="4" w:space="0"/>
              <w:bottom w:val="single" w:color="000000" w:sz="4" w:space="0"/>
              <w:right w:val="single" w:color="000000" w:sz="4" w:space="0"/>
            </w:tcBorders>
            <w:shd w:val="clear" w:color="000000" w:fill="FFFFFF"/>
            <w:vAlign w:val="center"/>
          </w:tcPr>
          <w:p/>
        </w:tc>
        <w:tc>
          <w:tcPr>
            <w:tcW w:w="1701" w:type="dxa"/>
            <w:vMerge w:val="continue"/>
            <w:tcBorders>
              <w:top w:val="single" w:color="auto" w:sz="4" w:space="0"/>
              <w:left w:val="single" w:color="000000" w:sz="4" w:space="0"/>
              <w:bottom w:val="single" w:color="000000" w:sz="4" w:space="0"/>
              <w:right w:val="single" w:color="000000" w:sz="4" w:space="0"/>
            </w:tcBorders>
            <w:shd w:val="clear" w:color="000000" w:fill="FFFFFF"/>
            <w:vAlign w:val="center"/>
          </w:tcPr>
          <w:p/>
        </w:tc>
        <w:tc>
          <w:tcPr>
            <w:tcW w:w="573" w:type="dxa"/>
            <w:vMerge w:val="continue"/>
            <w:tcBorders>
              <w:top w:val="single" w:color="auto" w:sz="4" w:space="0"/>
              <w:left w:val="single" w:color="000000" w:sz="4" w:space="0"/>
              <w:bottom w:val="single" w:color="000000" w:sz="4" w:space="0"/>
              <w:right w:val="single" w:color="000000" w:sz="4" w:space="0"/>
            </w:tcBorders>
            <w:shd w:val="clear" w:color="000000" w:fill="FFFFFF"/>
            <w:vAlign w:val="center"/>
          </w:tcPr>
          <w:p/>
        </w:tc>
        <w:tc>
          <w:tcPr>
            <w:tcW w:w="709" w:type="dxa"/>
            <w:vMerge w:val="continue"/>
            <w:tcBorders>
              <w:top w:val="single" w:color="auto" w:sz="4" w:space="0"/>
              <w:left w:val="single" w:color="000000" w:sz="4" w:space="0"/>
              <w:bottom w:val="single" w:color="000000" w:sz="4" w:space="0"/>
              <w:right w:val="single" w:color="000000" w:sz="4" w:space="0"/>
            </w:tcBorders>
            <w:shd w:val="clear" w:color="000000" w:fill="FFFFFF"/>
            <w:vAlign w:val="center"/>
          </w:tcPr>
          <w:p/>
        </w:tc>
        <w:tc>
          <w:tcPr>
            <w:tcW w:w="709" w:type="dxa"/>
            <w:tcBorders>
              <w:top w:val="nil"/>
              <w:left w:val="nil"/>
              <w:bottom w:val="single" w:color="auto" w:sz="4" w:space="0"/>
              <w:right w:val="single" w:color="000000" w:sz="4" w:space="0"/>
            </w:tcBorders>
            <w:shd w:val="clear" w:color="000000" w:fill="FFFFFF"/>
            <w:tcMar>
              <w:left w:w="15" w:type="dxa"/>
              <w:right w:w="15" w:type="dxa"/>
            </w:tcMar>
            <w:vAlign w:val="center"/>
          </w:tcPr>
          <w:p>
            <w:pPr>
              <w:wordWrap w:val="0"/>
              <w:jc w:val="center"/>
              <w:rPr>
                <w:rFonts w:ascii="宋体" w:hAnsi="宋体"/>
                <w:color w:val="000000"/>
                <w:sz w:val="20"/>
                <w:szCs w:val="20"/>
              </w:rPr>
            </w:pPr>
            <w:r>
              <w:rPr>
                <w:rFonts w:ascii="Calibri" w:hAnsi="宋体"/>
                <w:color w:val="000000"/>
                <w:sz w:val="20"/>
                <w:szCs w:val="20"/>
              </w:rPr>
              <w:t>综合</w:t>
            </w:r>
            <w:r>
              <w:rPr>
                <w:rFonts w:ascii="Calibri" w:hAnsi="宋体"/>
                <w:color w:val="000000"/>
                <w:sz w:val="20"/>
                <w:szCs w:val="20"/>
              </w:rPr>
              <w:br w:type="textWrapping"/>
            </w:r>
            <w:r>
              <w:rPr>
                <w:rFonts w:ascii="Calibri" w:hAnsi="宋体"/>
                <w:color w:val="000000"/>
                <w:sz w:val="20"/>
                <w:szCs w:val="20"/>
              </w:rPr>
              <w:t>单价</w:t>
            </w:r>
          </w:p>
        </w:tc>
        <w:tc>
          <w:tcPr>
            <w:tcW w:w="1110" w:type="dxa"/>
            <w:tcBorders>
              <w:top w:val="nil"/>
              <w:left w:val="nil"/>
              <w:bottom w:val="single" w:color="auto" w:sz="4" w:space="0"/>
              <w:right w:val="single" w:color="000000" w:sz="4" w:space="0"/>
            </w:tcBorders>
            <w:shd w:val="clear" w:color="000000" w:fill="FFFFFF"/>
            <w:tcMar>
              <w:left w:w="15" w:type="dxa"/>
              <w:right w:w="15" w:type="dxa"/>
            </w:tcMar>
            <w:vAlign w:val="center"/>
          </w:tcPr>
          <w:p>
            <w:pPr>
              <w:wordWrap w:val="0"/>
              <w:jc w:val="center"/>
              <w:rPr>
                <w:rFonts w:ascii="宋体" w:hAnsi="宋体"/>
                <w:color w:val="000000"/>
                <w:sz w:val="20"/>
                <w:szCs w:val="20"/>
              </w:rPr>
            </w:pPr>
            <w:r>
              <w:rPr>
                <w:rFonts w:ascii="Calibri" w:hAnsi="宋体"/>
                <w:color w:val="000000"/>
                <w:sz w:val="20"/>
                <w:szCs w:val="20"/>
              </w:rPr>
              <w:t>合价</w:t>
            </w:r>
          </w:p>
        </w:tc>
      </w:tr>
      <w:tr>
        <w:tblPrEx>
          <w:tblCellMar>
            <w:top w:w="0" w:type="dxa"/>
            <w:left w:w="0" w:type="dxa"/>
            <w:bottom w:w="0" w:type="dxa"/>
            <w:right w:w="0" w:type="dxa"/>
          </w:tblCellMar>
        </w:tblPrEx>
        <w:trPr>
          <w:trHeight w:val="454" w:hRule="atLeast"/>
          <w:jc w:val="center"/>
        </w:trPr>
        <w:tc>
          <w:tcPr>
            <w:tcW w:w="737" w:type="dxa"/>
            <w:tcBorders>
              <w:top w:val="nil"/>
              <w:left w:val="single" w:color="auto" w:sz="4" w:space="0"/>
              <w:bottom w:val="single" w:color="auto" w:sz="4" w:space="0"/>
              <w:right w:val="single" w:color="auto" w:sz="4" w:space="0"/>
            </w:tcBorders>
            <w:shd w:val="clear" w:color="000000" w:fill="FFFFFF"/>
            <w:tcMar>
              <w:left w:w="15" w:type="dxa"/>
              <w:right w:w="15" w:type="dxa"/>
            </w:tcMar>
            <w:vAlign w:val="center"/>
          </w:tcPr>
          <w:p>
            <w:pPr>
              <w:wordWrap w:val="0"/>
              <w:jc w:val="center"/>
              <w:rPr>
                <w:rFonts w:ascii="宋体" w:hAnsi="宋体"/>
                <w:color w:val="000000"/>
                <w:sz w:val="18"/>
                <w:szCs w:val="18"/>
              </w:rPr>
            </w:pPr>
          </w:p>
        </w:tc>
        <w:tc>
          <w:tcPr>
            <w:tcW w:w="1275"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rPr>
                <w:rFonts w:ascii="宋体" w:hAnsi="宋体"/>
                <w:color w:val="000000"/>
                <w:sz w:val="18"/>
                <w:szCs w:val="18"/>
              </w:rPr>
            </w:pPr>
          </w:p>
        </w:tc>
        <w:tc>
          <w:tcPr>
            <w:tcW w:w="2410"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rPr>
                <w:rFonts w:ascii="宋体" w:hAnsi="宋体"/>
                <w:color w:val="000000"/>
                <w:sz w:val="18"/>
                <w:szCs w:val="18"/>
              </w:rPr>
            </w:pPr>
          </w:p>
        </w:tc>
        <w:tc>
          <w:tcPr>
            <w:tcW w:w="1701"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rPr>
                <w:rFonts w:ascii="宋体" w:hAnsi="宋体"/>
                <w:color w:val="000000"/>
                <w:sz w:val="18"/>
                <w:szCs w:val="18"/>
              </w:rPr>
            </w:pPr>
          </w:p>
        </w:tc>
        <w:tc>
          <w:tcPr>
            <w:tcW w:w="573"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center"/>
              <w:rPr>
                <w:rFonts w:ascii="宋体" w:hAnsi="宋体"/>
                <w:color w:val="000000"/>
                <w:sz w:val="18"/>
                <w:szCs w:val="18"/>
              </w:rPr>
            </w:pPr>
          </w:p>
        </w:tc>
        <w:tc>
          <w:tcPr>
            <w:tcW w:w="709"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right"/>
              <w:rPr>
                <w:rFonts w:ascii="宋体" w:hAnsi="宋体"/>
                <w:color w:val="000000"/>
                <w:sz w:val="18"/>
                <w:szCs w:val="18"/>
              </w:rPr>
            </w:pPr>
          </w:p>
        </w:tc>
        <w:tc>
          <w:tcPr>
            <w:tcW w:w="709"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right"/>
              <w:rPr>
                <w:rFonts w:ascii="宋体" w:hAnsi="宋体"/>
                <w:color w:val="000000"/>
                <w:sz w:val="18"/>
                <w:szCs w:val="18"/>
              </w:rPr>
            </w:pPr>
            <w:r>
              <w:rPr>
                <w:rFonts w:ascii="Calibri" w:hAnsi="宋体"/>
                <w:color w:val="000000"/>
                <w:sz w:val="18"/>
                <w:szCs w:val="18"/>
              </w:rPr>
              <w:t xml:space="preserve"> </w:t>
            </w:r>
          </w:p>
        </w:tc>
        <w:tc>
          <w:tcPr>
            <w:tcW w:w="1110"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right"/>
              <w:rPr>
                <w:rFonts w:ascii="宋体" w:hAnsi="宋体"/>
                <w:color w:val="000000"/>
                <w:sz w:val="18"/>
                <w:szCs w:val="18"/>
              </w:rPr>
            </w:pPr>
            <w:r>
              <w:rPr>
                <w:rFonts w:ascii="Calibri" w:hAnsi="宋体"/>
                <w:color w:val="000000"/>
                <w:sz w:val="18"/>
                <w:szCs w:val="18"/>
              </w:rPr>
              <w:t xml:space="preserve"> </w:t>
            </w:r>
          </w:p>
        </w:tc>
      </w:tr>
      <w:tr>
        <w:tblPrEx>
          <w:tblCellMar>
            <w:top w:w="0" w:type="dxa"/>
            <w:left w:w="0" w:type="dxa"/>
            <w:bottom w:w="0" w:type="dxa"/>
            <w:right w:w="0" w:type="dxa"/>
          </w:tblCellMar>
        </w:tblPrEx>
        <w:trPr>
          <w:trHeight w:val="454" w:hRule="atLeast"/>
          <w:jc w:val="center"/>
        </w:trPr>
        <w:tc>
          <w:tcPr>
            <w:tcW w:w="737" w:type="dxa"/>
            <w:tcBorders>
              <w:top w:val="nil"/>
              <w:left w:val="single" w:color="auto" w:sz="4" w:space="0"/>
              <w:bottom w:val="single" w:color="auto" w:sz="4" w:space="0"/>
              <w:right w:val="single" w:color="auto" w:sz="4" w:space="0"/>
            </w:tcBorders>
            <w:shd w:val="clear" w:color="000000" w:fill="FFFFFF"/>
            <w:tcMar>
              <w:left w:w="15" w:type="dxa"/>
              <w:right w:w="15" w:type="dxa"/>
            </w:tcMar>
            <w:vAlign w:val="center"/>
          </w:tcPr>
          <w:p>
            <w:pPr>
              <w:wordWrap w:val="0"/>
              <w:jc w:val="center"/>
              <w:rPr>
                <w:rFonts w:ascii="宋体" w:hAnsi="宋体"/>
                <w:color w:val="000000"/>
                <w:sz w:val="18"/>
                <w:szCs w:val="18"/>
              </w:rPr>
            </w:pPr>
          </w:p>
        </w:tc>
        <w:tc>
          <w:tcPr>
            <w:tcW w:w="1275"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rPr>
                <w:rFonts w:ascii="宋体" w:hAnsi="宋体"/>
                <w:color w:val="000000"/>
                <w:sz w:val="18"/>
                <w:szCs w:val="18"/>
              </w:rPr>
            </w:pPr>
          </w:p>
        </w:tc>
        <w:tc>
          <w:tcPr>
            <w:tcW w:w="2410"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rPr>
                <w:rFonts w:ascii="宋体" w:hAnsi="宋体"/>
                <w:color w:val="000000"/>
                <w:sz w:val="18"/>
                <w:szCs w:val="18"/>
              </w:rPr>
            </w:pPr>
          </w:p>
        </w:tc>
        <w:tc>
          <w:tcPr>
            <w:tcW w:w="1701"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rPr>
                <w:rFonts w:ascii="宋体" w:hAnsi="宋体"/>
                <w:color w:val="000000"/>
                <w:sz w:val="18"/>
                <w:szCs w:val="18"/>
              </w:rPr>
            </w:pPr>
          </w:p>
        </w:tc>
        <w:tc>
          <w:tcPr>
            <w:tcW w:w="573"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center"/>
              <w:rPr>
                <w:rFonts w:ascii="宋体" w:hAnsi="宋体"/>
                <w:color w:val="000000"/>
                <w:sz w:val="18"/>
                <w:szCs w:val="18"/>
              </w:rPr>
            </w:pPr>
          </w:p>
        </w:tc>
        <w:tc>
          <w:tcPr>
            <w:tcW w:w="709"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right"/>
              <w:rPr>
                <w:rFonts w:ascii="宋体" w:hAnsi="宋体"/>
                <w:color w:val="000000"/>
                <w:sz w:val="18"/>
                <w:szCs w:val="18"/>
              </w:rPr>
            </w:pPr>
          </w:p>
        </w:tc>
        <w:tc>
          <w:tcPr>
            <w:tcW w:w="709"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right"/>
              <w:rPr>
                <w:rFonts w:ascii="宋体" w:hAnsi="宋体"/>
                <w:color w:val="000000"/>
                <w:sz w:val="18"/>
                <w:szCs w:val="18"/>
              </w:rPr>
            </w:pPr>
            <w:r>
              <w:rPr>
                <w:rFonts w:ascii="Calibri" w:hAnsi="宋体"/>
                <w:color w:val="000000"/>
                <w:sz w:val="18"/>
                <w:szCs w:val="18"/>
              </w:rPr>
              <w:t xml:space="preserve"> </w:t>
            </w:r>
          </w:p>
        </w:tc>
        <w:tc>
          <w:tcPr>
            <w:tcW w:w="1110"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right"/>
              <w:rPr>
                <w:rFonts w:ascii="宋体" w:hAnsi="宋体"/>
                <w:color w:val="000000"/>
                <w:sz w:val="18"/>
                <w:szCs w:val="18"/>
              </w:rPr>
            </w:pPr>
            <w:r>
              <w:rPr>
                <w:rFonts w:ascii="Calibri" w:hAnsi="宋体"/>
                <w:color w:val="000000"/>
                <w:sz w:val="18"/>
                <w:szCs w:val="18"/>
              </w:rPr>
              <w:t xml:space="preserve"> </w:t>
            </w:r>
          </w:p>
        </w:tc>
      </w:tr>
      <w:tr>
        <w:tblPrEx>
          <w:tblCellMar>
            <w:top w:w="0" w:type="dxa"/>
            <w:left w:w="0" w:type="dxa"/>
            <w:bottom w:w="0" w:type="dxa"/>
            <w:right w:w="0" w:type="dxa"/>
          </w:tblCellMar>
        </w:tblPrEx>
        <w:trPr>
          <w:trHeight w:val="454" w:hRule="atLeast"/>
          <w:jc w:val="center"/>
        </w:trPr>
        <w:tc>
          <w:tcPr>
            <w:tcW w:w="737" w:type="dxa"/>
            <w:tcBorders>
              <w:top w:val="nil"/>
              <w:left w:val="single" w:color="auto" w:sz="4" w:space="0"/>
              <w:bottom w:val="single" w:color="auto" w:sz="4" w:space="0"/>
              <w:right w:val="single" w:color="auto" w:sz="4" w:space="0"/>
            </w:tcBorders>
            <w:shd w:val="clear" w:color="000000" w:fill="FFFFFF"/>
            <w:tcMar>
              <w:left w:w="15" w:type="dxa"/>
              <w:right w:w="15" w:type="dxa"/>
            </w:tcMar>
            <w:vAlign w:val="center"/>
          </w:tcPr>
          <w:p>
            <w:pPr>
              <w:wordWrap w:val="0"/>
              <w:jc w:val="center"/>
              <w:rPr>
                <w:rFonts w:ascii="宋体" w:hAnsi="宋体"/>
                <w:color w:val="000000"/>
                <w:sz w:val="18"/>
                <w:szCs w:val="18"/>
              </w:rPr>
            </w:pPr>
          </w:p>
        </w:tc>
        <w:tc>
          <w:tcPr>
            <w:tcW w:w="1275"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rPr>
                <w:rFonts w:ascii="宋体" w:hAnsi="宋体"/>
                <w:color w:val="000000"/>
                <w:sz w:val="18"/>
                <w:szCs w:val="18"/>
              </w:rPr>
            </w:pPr>
          </w:p>
        </w:tc>
        <w:tc>
          <w:tcPr>
            <w:tcW w:w="2410"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rPr>
                <w:rFonts w:ascii="宋体" w:hAnsi="宋体"/>
                <w:color w:val="000000"/>
                <w:sz w:val="18"/>
                <w:szCs w:val="18"/>
              </w:rPr>
            </w:pPr>
          </w:p>
        </w:tc>
        <w:tc>
          <w:tcPr>
            <w:tcW w:w="1701"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rPr>
                <w:rFonts w:ascii="宋体" w:hAnsi="宋体"/>
                <w:color w:val="000000"/>
                <w:sz w:val="18"/>
                <w:szCs w:val="18"/>
              </w:rPr>
            </w:pPr>
          </w:p>
        </w:tc>
        <w:tc>
          <w:tcPr>
            <w:tcW w:w="573"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center"/>
              <w:rPr>
                <w:rFonts w:ascii="宋体" w:hAnsi="宋体"/>
                <w:color w:val="000000"/>
                <w:sz w:val="18"/>
                <w:szCs w:val="18"/>
              </w:rPr>
            </w:pPr>
          </w:p>
        </w:tc>
        <w:tc>
          <w:tcPr>
            <w:tcW w:w="709"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right"/>
              <w:rPr>
                <w:rFonts w:ascii="宋体" w:hAnsi="宋体"/>
                <w:color w:val="000000"/>
                <w:sz w:val="18"/>
                <w:szCs w:val="18"/>
              </w:rPr>
            </w:pPr>
          </w:p>
        </w:tc>
        <w:tc>
          <w:tcPr>
            <w:tcW w:w="709"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right"/>
              <w:rPr>
                <w:rFonts w:ascii="宋体" w:hAnsi="宋体"/>
                <w:color w:val="000000"/>
                <w:sz w:val="18"/>
                <w:szCs w:val="18"/>
              </w:rPr>
            </w:pPr>
            <w:r>
              <w:rPr>
                <w:rFonts w:ascii="Calibri" w:hAnsi="宋体"/>
                <w:color w:val="000000"/>
                <w:sz w:val="18"/>
                <w:szCs w:val="18"/>
              </w:rPr>
              <w:t xml:space="preserve"> </w:t>
            </w:r>
          </w:p>
        </w:tc>
        <w:tc>
          <w:tcPr>
            <w:tcW w:w="1110"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right"/>
              <w:rPr>
                <w:rFonts w:ascii="宋体" w:hAnsi="宋体"/>
                <w:color w:val="000000"/>
                <w:sz w:val="18"/>
                <w:szCs w:val="18"/>
              </w:rPr>
            </w:pPr>
            <w:r>
              <w:rPr>
                <w:rFonts w:ascii="Calibri" w:hAnsi="宋体"/>
                <w:color w:val="000000"/>
                <w:sz w:val="18"/>
                <w:szCs w:val="18"/>
              </w:rPr>
              <w:t xml:space="preserve"> </w:t>
            </w:r>
          </w:p>
        </w:tc>
      </w:tr>
      <w:tr>
        <w:tblPrEx>
          <w:tblCellMar>
            <w:top w:w="0" w:type="dxa"/>
            <w:left w:w="0" w:type="dxa"/>
            <w:bottom w:w="0" w:type="dxa"/>
            <w:right w:w="0" w:type="dxa"/>
          </w:tblCellMar>
        </w:tblPrEx>
        <w:trPr>
          <w:trHeight w:val="454" w:hRule="atLeast"/>
          <w:jc w:val="center"/>
        </w:trPr>
        <w:tc>
          <w:tcPr>
            <w:tcW w:w="737" w:type="dxa"/>
            <w:tcBorders>
              <w:top w:val="nil"/>
              <w:left w:val="single" w:color="auto" w:sz="4" w:space="0"/>
              <w:bottom w:val="single" w:color="auto" w:sz="4" w:space="0"/>
              <w:right w:val="single" w:color="auto" w:sz="4" w:space="0"/>
            </w:tcBorders>
            <w:shd w:val="clear" w:color="000000" w:fill="FFFFFF"/>
            <w:tcMar>
              <w:left w:w="15" w:type="dxa"/>
              <w:right w:w="15" w:type="dxa"/>
            </w:tcMar>
            <w:vAlign w:val="center"/>
          </w:tcPr>
          <w:p>
            <w:pPr>
              <w:wordWrap w:val="0"/>
              <w:jc w:val="center"/>
              <w:rPr>
                <w:rFonts w:ascii="宋体" w:hAnsi="宋体"/>
                <w:color w:val="000000"/>
                <w:sz w:val="18"/>
                <w:szCs w:val="18"/>
              </w:rPr>
            </w:pPr>
          </w:p>
        </w:tc>
        <w:tc>
          <w:tcPr>
            <w:tcW w:w="1275"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rPr>
                <w:rFonts w:ascii="宋体" w:hAnsi="宋体"/>
                <w:color w:val="000000"/>
                <w:sz w:val="18"/>
                <w:szCs w:val="18"/>
              </w:rPr>
            </w:pPr>
          </w:p>
        </w:tc>
        <w:tc>
          <w:tcPr>
            <w:tcW w:w="2410"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rPr>
                <w:rFonts w:ascii="宋体" w:hAnsi="宋体"/>
                <w:color w:val="000000"/>
                <w:sz w:val="18"/>
                <w:szCs w:val="18"/>
              </w:rPr>
            </w:pPr>
          </w:p>
        </w:tc>
        <w:tc>
          <w:tcPr>
            <w:tcW w:w="1701"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rPr>
                <w:rFonts w:ascii="宋体" w:hAnsi="宋体"/>
                <w:color w:val="000000"/>
                <w:sz w:val="18"/>
                <w:szCs w:val="18"/>
              </w:rPr>
            </w:pPr>
          </w:p>
        </w:tc>
        <w:tc>
          <w:tcPr>
            <w:tcW w:w="573"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center"/>
              <w:rPr>
                <w:rFonts w:ascii="宋体" w:hAnsi="宋体"/>
                <w:color w:val="000000"/>
                <w:sz w:val="18"/>
                <w:szCs w:val="18"/>
              </w:rPr>
            </w:pPr>
          </w:p>
        </w:tc>
        <w:tc>
          <w:tcPr>
            <w:tcW w:w="709"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right"/>
              <w:rPr>
                <w:rFonts w:ascii="宋体" w:hAnsi="宋体"/>
                <w:color w:val="000000"/>
                <w:sz w:val="18"/>
                <w:szCs w:val="18"/>
              </w:rPr>
            </w:pPr>
          </w:p>
        </w:tc>
        <w:tc>
          <w:tcPr>
            <w:tcW w:w="709"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right"/>
              <w:rPr>
                <w:rFonts w:ascii="宋体" w:hAnsi="宋体"/>
                <w:color w:val="000000"/>
                <w:sz w:val="18"/>
                <w:szCs w:val="18"/>
              </w:rPr>
            </w:pPr>
            <w:r>
              <w:rPr>
                <w:rFonts w:ascii="Calibri" w:hAnsi="宋体"/>
                <w:color w:val="000000"/>
                <w:sz w:val="18"/>
                <w:szCs w:val="18"/>
              </w:rPr>
              <w:t xml:space="preserve"> </w:t>
            </w:r>
          </w:p>
        </w:tc>
        <w:tc>
          <w:tcPr>
            <w:tcW w:w="1110"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right"/>
              <w:rPr>
                <w:rFonts w:ascii="宋体" w:hAnsi="宋体"/>
                <w:color w:val="000000"/>
                <w:sz w:val="18"/>
                <w:szCs w:val="18"/>
              </w:rPr>
            </w:pPr>
            <w:r>
              <w:rPr>
                <w:rFonts w:ascii="Calibri" w:hAnsi="宋体"/>
                <w:color w:val="000000"/>
                <w:sz w:val="18"/>
                <w:szCs w:val="18"/>
              </w:rPr>
              <w:t xml:space="preserve"> </w:t>
            </w:r>
          </w:p>
        </w:tc>
      </w:tr>
      <w:tr>
        <w:tblPrEx>
          <w:tblCellMar>
            <w:top w:w="0" w:type="dxa"/>
            <w:left w:w="0" w:type="dxa"/>
            <w:bottom w:w="0" w:type="dxa"/>
            <w:right w:w="0" w:type="dxa"/>
          </w:tblCellMar>
        </w:tblPrEx>
        <w:trPr>
          <w:trHeight w:val="454" w:hRule="atLeast"/>
          <w:jc w:val="center"/>
        </w:trPr>
        <w:tc>
          <w:tcPr>
            <w:tcW w:w="737" w:type="dxa"/>
            <w:tcBorders>
              <w:top w:val="nil"/>
              <w:left w:val="single" w:color="auto" w:sz="4" w:space="0"/>
              <w:bottom w:val="single" w:color="auto" w:sz="4" w:space="0"/>
              <w:right w:val="single" w:color="auto" w:sz="4" w:space="0"/>
            </w:tcBorders>
            <w:shd w:val="clear" w:color="000000" w:fill="FFFFFF"/>
            <w:tcMar>
              <w:left w:w="15" w:type="dxa"/>
              <w:right w:w="15" w:type="dxa"/>
            </w:tcMar>
            <w:vAlign w:val="center"/>
          </w:tcPr>
          <w:p>
            <w:pPr>
              <w:wordWrap w:val="0"/>
              <w:jc w:val="center"/>
              <w:rPr>
                <w:rFonts w:ascii="宋体" w:hAnsi="宋体"/>
                <w:color w:val="000000"/>
                <w:sz w:val="18"/>
                <w:szCs w:val="18"/>
              </w:rPr>
            </w:pPr>
          </w:p>
        </w:tc>
        <w:tc>
          <w:tcPr>
            <w:tcW w:w="1275"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rPr>
                <w:rFonts w:ascii="宋体" w:hAnsi="宋体"/>
                <w:color w:val="000000"/>
                <w:sz w:val="18"/>
                <w:szCs w:val="18"/>
              </w:rPr>
            </w:pPr>
          </w:p>
        </w:tc>
        <w:tc>
          <w:tcPr>
            <w:tcW w:w="2410"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rPr>
                <w:rFonts w:ascii="宋体" w:hAnsi="宋体"/>
                <w:color w:val="000000"/>
                <w:sz w:val="18"/>
                <w:szCs w:val="18"/>
              </w:rPr>
            </w:pPr>
          </w:p>
        </w:tc>
        <w:tc>
          <w:tcPr>
            <w:tcW w:w="1701"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rPr>
                <w:rFonts w:ascii="宋体" w:hAnsi="宋体"/>
                <w:color w:val="000000"/>
                <w:sz w:val="18"/>
                <w:szCs w:val="18"/>
              </w:rPr>
            </w:pPr>
          </w:p>
        </w:tc>
        <w:tc>
          <w:tcPr>
            <w:tcW w:w="573"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center"/>
              <w:rPr>
                <w:rFonts w:ascii="宋体" w:hAnsi="宋体"/>
                <w:color w:val="000000"/>
                <w:sz w:val="18"/>
                <w:szCs w:val="18"/>
              </w:rPr>
            </w:pPr>
          </w:p>
        </w:tc>
        <w:tc>
          <w:tcPr>
            <w:tcW w:w="709"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right"/>
              <w:rPr>
                <w:rFonts w:ascii="宋体" w:hAnsi="宋体"/>
                <w:color w:val="000000"/>
                <w:sz w:val="18"/>
                <w:szCs w:val="18"/>
              </w:rPr>
            </w:pPr>
          </w:p>
        </w:tc>
        <w:tc>
          <w:tcPr>
            <w:tcW w:w="709"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right"/>
              <w:rPr>
                <w:rFonts w:ascii="宋体" w:hAnsi="宋体"/>
                <w:color w:val="000000"/>
                <w:sz w:val="18"/>
                <w:szCs w:val="18"/>
              </w:rPr>
            </w:pPr>
            <w:r>
              <w:rPr>
                <w:rFonts w:ascii="Calibri" w:hAnsi="宋体"/>
                <w:color w:val="000000"/>
                <w:sz w:val="18"/>
                <w:szCs w:val="18"/>
              </w:rPr>
              <w:t xml:space="preserve"> </w:t>
            </w:r>
          </w:p>
        </w:tc>
        <w:tc>
          <w:tcPr>
            <w:tcW w:w="1110"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right"/>
              <w:rPr>
                <w:rFonts w:ascii="宋体" w:hAnsi="宋体"/>
                <w:color w:val="000000"/>
                <w:sz w:val="18"/>
                <w:szCs w:val="18"/>
              </w:rPr>
            </w:pPr>
            <w:r>
              <w:rPr>
                <w:rFonts w:ascii="Calibri" w:hAnsi="宋体"/>
                <w:color w:val="000000"/>
                <w:sz w:val="18"/>
                <w:szCs w:val="18"/>
              </w:rPr>
              <w:t xml:space="preserve"> </w:t>
            </w:r>
          </w:p>
        </w:tc>
      </w:tr>
      <w:tr>
        <w:tblPrEx>
          <w:tblCellMar>
            <w:top w:w="0" w:type="dxa"/>
            <w:left w:w="0" w:type="dxa"/>
            <w:bottom w:w="0" w:type="dxa"/>
            <w:right w:w="0" w:type="dxa"/>
          </w:tblCellMar>
        </w:tblPrEx>
        <w:trPr>
          <w:trHeight w:val="454" w:hRule="atLeast"/>
          <w:jc w:val="center"/>
        </w:trPr>
        <w:tc>
          <w:tcPr>
            <w:tcW w:w="737" w:type="dxa"/>
            <w:tcBorders>
              <w:top w:val="nil"/>
              <w:left w:val="single" w:color="auto" w:sz="4" w:space="0"/>
              <w:bottom w:val="single" w:color="auto" w:sz="4" w:space="0"/>
              <w:right w:val="single" w:color="auto" w:sz="4" w:space="0"/>
            </w:tcBorders>
            <w:shd w:val="clear" w:color="000000" w:fill="FFFFFF"/>
            <w:tcMar>
              <w:left w:w="15" w:type="dxa"/>
              <w:right w:w="15" w:type="dxa"/>
            </w:tcMar>
            <w:vAlign w:val="center"/>
          </w:tcPr>
          <w:p>
            <w:pPr>
              <w:wordWrap w:val="0"/>
              <w:jc w:val="center"/>
              <w:rPr>
                <w:rFonts w:ascii="宋体" w:hAnsi="宋体"/>
                <w:color w:val="000000"/>
                <w:sz w:val="18"/>
                <w:szCs w:val="18"/>
              </w:rPr>
            </w:pPr>
          </w:p>
        </w:tc>
        <w:tc>
          <w:tcPr>
            <w:tcW w:w="1275"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rPr>
                <w:rFonts w:ascii="宋体" w:hAnsi="宋体"/>
                <w:color w:val="000000"/>
                <w:sz w:val="18"/>
                <w:szCs w:val="18"/>
              </w:rPr>
            </w:pPr>
          </w:p>
        </w:tc>
        <w:tc>
          <w:tcPr>
            <w:tcW w:w="2410"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rPr>
                <w:rFonts w:ascii="宋体" w:hAnsi="宋体"/>
                <w:color w:val="000000"/>
                <w:sz w:val="18"/>
                <w:szCs w:val="18"/>
              </w:rPr>
            </w:pPr>
          </w:p>
        </w:tc>
        <w:tc>
          <w:tcPr>
            <w:tcW w:w="1701"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rPr>
                <w:rFonts w:ascii="宋体" w:hAnsi="宋体"/>
                <w:color w:val="000000"/>
                <w:sz w:val="18"/>
                <w:szCs w:val="18"/>
              </w:rPr>
            </w:pPr>
          </w:p>
        </w:tc>
        <w:tc>
          <w:tcPr>
            <w:tcW w:w="573"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center"/>
              <w:rPr>
                <w:rFonts w:ascii="宋体" w:hAnsi="宋体"/>
                <w:color w:val="000000"/>
                <w:sz w:val="18"/>
                <w:szCs w:val="18"/>
              </w:rPr>
            </w:pPr>
          </w:p>
        </w:tc>
        <w:tc>
          <w:tcPr>
            <w:tcW w:w="709"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right"/>
              <w:rPr>
                <w:rFonts w:ascii="宋体" w:hAnsi="宋体"/>
                <w:color w:val="000000"/>
                <w:sz w:val="18"/>
                <w:szCs w:val="18"/>
              </w:rPr>
            </w:pPr>
          </w:p>
        </w:tc>
        <w:tc>
          <w:tcPr>
            <w:tcW w:w="709"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right"/>
              <w:rPr>
                <w:rFonts w:ascii="宋体" w:hAnsi="宋体"/>
                <w:color w:val="000000"/>
                <w:sz w:val="18"/>
                <w:szCs w:val="18"/>
              </w:rPr>
            </w:pPr>
            <w:r>
              <w:rPr>
                <w:rFonts w:ascii="Calibri" w:hAnsi="宋体"/>
                <w:color w:val="000000"/>
                <w:sz w:val="18"/>
                <w:szCs w:val="18"/>
              </w:rPr>
              <w:t xml:space="preserve"> </w:t>
            </w:r>
          </w:p>
        </w:tc>
        <w:tc>
          <w:tcPr>
            <w:tcW w:w="1110"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right"/>
              <w:rPr>
                <w:rFonts w:ascii="宋体" w:hAnsi="宋体"/>
                <w:color w:val="000000"/>
                <w:sz w:val="18"/>
                <w:szCs w:val="18"/>
              </w:rPr>
            </w:pPr>
            <w:r>
              <w:rPr>
                <w:rFonts w:ascii="Calibri" w:hAnsi="宋体"/>
                <w:color w:val="000000"/>
                <w:sz w:val="18"/>
                <w:szCs w:val="18"/>
              </w:rPr>
              <w:t xml:space="preserve"> </w:t>
            </w:r>
          </w:p>
        </w:tc>
      </w:tr>
      <w:tr>
        <w:tblPrEx>
          <w:tblCellMar>
            <w:top w:w="0" w:type="dxa"/>
            <w:left w:w="0" w:type="dxa"/>
            <w:bottom w:w="0" w:type="dxa"/>
            <w:right w:w="0" w:type="dxa"/>
          </w:tblCellMar>
        </w:tblPrEx>
        <w:trPr>
          <w:trHeight w:val="454" w:hRule="atLeast"/>
          <w:jc w:val="center"/>
        </w:trPr>
        <w:tc>
          <w:tcPr>
            <w:tcW w:w="737" w:type="dxa"/>
            <w:tcBorders>
              <w:top w:val="nil"/>
              <w:left w:val="single" w:color="auto" w:sz="4" w:space="0"/>
              <w:bottom w:val="single" w:color="auto" w:sz="4" w:space="0"/>
              <w:right w:val="single" w:color="auto" w:sz="4" w:space="0"/>
            </w:tcBorders>
            <w:shd w:val="clear" w:color="000000" w:fill="FFFFFF"/>
            <w:tcMar>
              <w:left w:w="15" w:type="dxa"/>
              <w:right w:w="15" w:type="dxa"/>
            </w:tcMar>
            <w:vAlign w:val="center"/>
          </w:tcPr>
          <w:p>
            <w:pPr>
              <w:wordWrap w:val="0"/>
              <w:jc w:val="center"/>
              <w:rPr>
                <w:rFonts w:ascii="宋体" w:hAnsi="宋体"/>
                <w:color w:val="000000"/>
                <w:sz w:val="18"/>
                <w:szCs w:val="18"/>
              </w:rPr>
            </w:pPr>
          </w:p>
        </w:tc>
        <w:tc>
          <w:tcPr>
            <w:tcW w:w="1275"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rPr>
                <w:rFonts w:ascii="宋体" w:hAnsi="宋体"/>
                <w:color w:val="000000"/>
                <w:sz w:val="18"/>
                <w:szCs w:val="18"/>
              </w:rPr>
            </w:pPr>
          </w:p>
        </w:tc>
        <w:tc>
          <w:tcPr>
            <w:tcW w:w="2410"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rPr>
                <w:rFonts w:ascii="宋体" w:hAnsi="宋体"/>
                <w:color w:val="000000"/>
                <w:sz w:val="18"/>
                <w:szCs w:val="18"/>
              </w:rPr>
            </w:pPr>
          </w:p>
        </w:tc>
        <w:tc>
          <w:tcPr>
            <w:tcW w:w="1701"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rPr>
                <w:rFonts w:ascii="宋体" w:hAnsi="宋体"/>
                <w:color w:val="000000"/>
                <w:sz w:val="18"/>
                <w:szCs w:val="18"/>
              </w:rPr>
            </w:pPr>
          </w:p>
        </w:tc>
        <w:tc>
          <w:tcPr>
            <w:tcW w:w="573"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center"/>
              <w:rPr>
                <w:rFonts w:ascii="宋体" w:hAnsi="宋体"/>
                <w:color w:val="000000"/>
                <w:sz w:val="18"/>
                <w:szCs w:val="18"/>
              </w:rPr>
            </w:pPr>
          </w:p>
        </w:tc>
        <w:tc>
          <w:tcPr>
            <w:tcW w:w="709"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right"/>
              <w:rPr>
                <w:rFonts w:ascii="宋体" w:hAnsi="宋体"/>
                <w:color w:val="000000"/>
                <w:sz w:val="18"/>
                <w:szCs w:val="18"/>
              </w:rPr>
            </w:pPr>
          </w:p>
        </w:tc>
        <w:tc>
          <w:tcPr>
            <w:tcW w:w="709"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right"/>
              <w:rPr>
                <w:rFonts w:ascii="宋体" w:hAnsi="宋体"/>
                <w:color w:val="000000"/>
                <w:sz w:val="18"/>
                <w:szCs w:val="18"/>
              </w:rPr>
            </w:pPr>
            <w:r>
              <w:rPr>
                <w:rFonts w:ascii="Calibri" w:hAnsi="宋体"/>
                <w:color w:val="000000"/>
                <w:sz w:val="18"/>
                <w:szCs w:val="18"/>
              </w:rPr>
              <w:t xml:space="preserve"> </w:t>
            </w:r>
          </w:p>
        </w:tc>
        <w:tc>
          <w:tcPr>
            <w:tcW w:w="1110"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right"/>
              <w:rPr>
                <w:rFonts w:ascii="宋体" w:hAnsi="宋体"/>
                <w:color w:val="000000"/>
                <w:sz w:val="18"/>
                <w:szCs w:val="18"/>
              </w:rPr>
            </w:pPr>
            <w:r>
              <w:rPr>
                <w:rFonts w:ascii="Calibri" w:hAnsi="宋体"/>
                <w:color w:val="000000"/>
                <w:sz w:val="18"/>
                <w:szCs w:val="18"/>
              </w:rPr>
              <w:t xml:space="preserve"> </w:t>
            </w:r>
          </w:p>
        </w:tc>
      </w:tr>
      <w:tr>
        <w:tblPrEx>
          <w:tblCellMar>
            <w:top w:w="0" w:type="dxa"/>
            <w:left w:w="0" w:type="dxa"/>
            <w:bottom w:w="0" w:type="dxa"/>
            <w:right w:w="0" w:type="dxa"/>
          </w:tblCellMar>
        </w:tblPrEx>
        <w:trPr>
          <w:trHeight w:val="454" w:hRule="atLeast"/>
          <w:jc w:val="center"/>
        </w:trPr>
        <w:tc>
          <w:tcPr>
            <w:tcW w:w="737" w:type="dxa"/>
            <w:tcBorders>
              <w:top w:val="nil"/>
              <w:left w:val="single" w:color="auto" w:sz="4" w:space="0"/>
              <w:bottom w:val="single" w:color="auto" w:sz="4" w:space="0"/>
              <w:right w:val="single" w:color="auto" w:sz="4" w:space="0"/>
            </w:tcBorders>
            <w:shd w:val="clear" w:color="000000" w:fill="FFFFFF"/>
            <w:tcMar>
              <w:left w:w="15" w:type="dxa"/>
              <w:right w:w="15" w:type="dxa"/>
            </w:tcMar>
            <w:vAlign w:val="center"/>
          </w:tcPr>
          <w:p>
            <w:pPr>
              <w:wordWrap w:val="0"/>
              <w:jc w:val="center"/>
              <w:rPr>
                <w:rFonts w:ascii="宋体" w:hAnsi="宋体"/>
                <w:color w:val="000000"/>
                <w:sz w:val="18"/>
                <w:szCs w:val="18"/>
              </w:rPr>
            </w:pPr>
          </w:p>
        </w:tc>
        <w:tc>
          <w:tcPr>
            <w:tcW w:w="1275"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rPr>
                <w:rFonts w:ascii="宋体" w:hAnsi="宋体"/>
                <w:color w:val="000000"/>
                <w:sz w:val="18"/>
                <w:szCs w:val="18"/>
              </w:rPr>
            </w:pPr>
          </w:p>
        </w:tc>
        <w:tc>
          <w:tcPr>
            <w:tcW w:w="2410"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rPr>
                <w:rFonts w:ascii="宋体" w:hAnsi="宋体"/>
                <w:color w:val="000000"/>
                <w:sz w:val="18"/>
                <w:szCs w:val="18"/>
              </w:rPr>
            </w:pPr>
          </w:p>
        </w:tc>
        <w:tc>
          <w:tcPr>
            <w:tcW w:w="1701"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rPr>
                <w:rFonts w:ascii="宋体" w:hAnsi="宋体"/>
                <w:color w:val="000000"/>
                <w:sz w:val="18"/>
                <w:szCs w:val="18"/>
              </w:rPr>
            </w:pPr>
          </w:p>
        </w:tc>
        <w:tc>
          <w:tcPr>
            <w:tcW w:w="573"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center"/>
              <w:rPr>
                <w:rFonts w:ascii="宋体" w:hAnsi="宋体"/>
                <w:color w:val="000000"/>
                <w:sz w:val="18"/>
                <w:szCs w:val="18"/>
              </w:rPr>
            </w:pPr>
          </w:p>
        </w:tc>
        <w:tc>
          <w:tcPr>
            <w:tcW w:w="709"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right"/>
              <w:rPr>
                <w:rFonts w:ascii="宋体" w:hAnsi="宋体"/>
                <w:color w:val="000000"/>
                <w:sz w:val="18"/>
                <w:szCs w:val="18"/>
              </w:rPr>
            </w:pPr>
          </w:p>
        </w:tc>
        <w:tc>
          <w:tcPr>
            <w:tcW w:w="709"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right"/>
              <w:rPr>
                <w:rFonts w:ascii="宋体" w:hAnsi="宋体"/>
                <w:color w:val="000000"/>
                <w:sz w:val="18"/>
                <w:szCs w:val="18"/>
              </w:rPr>
            </w:pPr>
            <w:r>
              <w:rPr>
                <w:rFonts w:ascii="Calibri" w:hAnsi="宋体"/>
                <w:color w:val="000000"/>
                <w:sz w:val="18"/>
                <w:szCs w:val="18"/>
              </w:rPr>
              <w:t xml:space="preserve"> </w:t>
            </w:r>
          </w:p>
        </w:tc>
        <w:tc>
          <w:tcPr>
            <w:tcW w:w="1110"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right"/>
              <w:rPr>
                <w:rFonts w:ascii="宋体" w:hAnsi="宋体"/>
                <w:color w:val="000000"/>
                <w:sz w:val="18"/>
                <w:szCs w:val="18"/>
              </w:rPr>
            </w:pPr>
            <w:r>
              <w:rPr>
                <w:rFonts w:ascii="Calibri" w:hAnsi="宋体"/>
                <w:color w:val="000000"/>
                <w:sz w:val="18"/>
                <w:szCs w:val="18"/>
              </w:rPr>
              <w:t xml:space="preserve"> </w:t>
            </w:r>
          </w:p>
        </w:tc>
      </w:tr>
      <w:tr>
        <w:tblPrEx>
          <w:tblCellMar>
            <w:top w:w="0" w:type="dxa"/>
            <w:left w:w="0" w:type="dxa"/>
            <w:bottom w:w="0" w:type="dxa"/>
            <w:right w:w="0" w:type="dxa"/>
          </w:tblCellMar>
        </w:tblPrEx>
        <w:trPr>
          <w:trHeight w:val="454" w:hRule="atLeast"/>
          <w:jc w:val="center"/>
        </w:trPr>
        <w:tc>
          <w:tcPr>
            <w:tcW w:w="737" w:type="dxa"/>
            <w:tcBorders>
              <w:top w:val="nil"/>
              <w:left w:val="single" w:color="auto" w:sz="4" w:space="0"/>
              <w:bottom w:val="single" w:color="auto" w:sz="4" w:space="0"/>
              <w:right w:val="single" w:color="auto" w:sz="4" w:space="0"/>
            </w:tcBorders>
            <w:shd w:val="clear" w:color="000000" w:fill="FFFFFF"/>
            <w:tcMar>
              <w:left w:w="15" w:type="dxa"/>
              <w:right w:w="15" w:type="dxa"/>
            </w:tcMar>
            <w:vAlign w:val="center"/>
          </w:tcPr>
          <w:p>
            <w:pPr>
              <w:wordWrap w:val="0"/>
              <w:jc w:val="center"/>
              <w:rPr>
                <w:rFonts w:ascii="宋体" w:hAnsi="宋体"/>
                <w:color w:val="000000"/>
                <w:sz w:val="18"/>
                <w:szCs w:val="18"/>
              </w:rPr>
            </w:pPr>
          </w:p>
        </w:tc>
        <w:tc>
          <w:tcPr>
            <w:tcW w:w="1275"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rPr>
                <w:rFonts w:ascii="宋体" w:hAnsi="宋体"/>
                <w:color w:val="000000"/>
                <w:sz w:val="18"/>
                <w:szCs w:val="18"/>
              </w:rPr>
            </w:pPr>
          </w:p>
        </w:tc>
        <w:tc>
          <w:tcPr>
            <w:tcW w:w="2410"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rPr>
                <w:rFonts w:ascii="宋体" w:hAnsi="宋体"/>
                <w:color w:val="000000"/>
                <w:sz w:val="18"/>
                <w:szCs w:val="18"/>
              </w:rPr>
            </w:pPr>
          </w:p>
        </w:tc>
        <w:tc>
          <w:tcPr>
            <w:tcW w:w="1701"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rPr>
                <w:rFonts w:ascii="宋体" w:hAnsi="宋体"/>
                <w:color w:val="000000"/>
                <w:sz w:val="18"/>
                <w:szCs w:val="18"/>
              </w:rPr>
            </w:pPr>
          </w:p>
        </w:tc>
        <w:tc>
          <w:tcPr>
            <w:tcW w:w="573"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center"/>
              <w:rPr>
                <w:rFonts w:ascii="宋体" w:hAnsi="宋体"/>
                <w:color w:val="000000"/>
                <w:sz w:val="18"/>
                <w:szCs w:val="18"/>
              </w:rPr>
            </w:pPr>
          </w:p>
        </w:tc>
        <w:tc>
          <w:tcPr>
            <w:tcW w:w="709"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right"/>
              <w:rPr>
                <w:rFonts w:ascii="宋体" w:hAnsi="宋体"/>
                <w:color w:val="000000"/>
                <w:sz w:val="18"/>
                <w:szCs w:val="18"/>
              </w:rPr>
            </w:pPr>
          </w:p>
        </w:tc>
        <w:tc>
          <w:tcPr>
            <w:tcW w:w="709"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right"/>
              <w:rPr>
                <w:rFonts w:ascii="宋体" w:hAnsi="宋体"/>
                <w:color w:val="000000"/>
                <w:sz w:val="18"/>
                <w:szCs w:val="18"/>
              </w:rPr>
            </w:pPr>
            <w:r>
              <w:rPr>
                <w:rFonts w:ascii="Calibri" w:hAnsi="宋体"/>
                <w:color w:val="000000"/>
                <w:sz w:val="18"/>
                <w:szCs w:val="18"/>
              </w:rPr>
              <w:t xml:space="preserve"> </w:t>
            </w:r>
          </w:p>
        </w:tc>
        <w:tc>
          <w:tcPr>
            <w:tcW w:w="1110"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right"/>
              <w:rPr>
                <w:rFonts w:ascii="宋体" w:hAnsi="宋体"/>
                <w:color w:val="000000"/>
                <w:sz w:val="18"/>
                <w:szCs w:val="18"/>
              </w:rPr>
            </w:pPr>
            <w:r>
              <w:rPr>
                <w:rFonts w:ascii="Calibri" w:hAnsi="宋体"/>
                <w:color w:val="000000"/>
                <w:sz w:val="18"/>
                <w:szCs w:val="18"/>
              </w:rPr>
              <w:t xml:space="preserve"> </w:t>
            </w:r>
          </w:p>
        </w:tc>
      </w:tr>
      <w:tr>
        <w:tblPrEx>
          <w:tblCellMar>
            <w:top w:w="0" w:type="dxa"/>
            <w:left w:w="0" w:type="dxa"/>
            <w:bottom w:w="0" w:type="dxa"/>
            <w:right w:w="0" w:type="dxa"/>
          </w:tblCellMar>
        </w:tblPrEx>
        <w:trPr>
          <w:trHeight w:val="454" w:hRule="atLeast"/>
          <w:jc w:val="center"/>
        </w:trPr>
        <w:tc>
          <w:tcPr>
            <w:tcW w:w="737" w:type="dxa"/>
            <w:tcBorders>
              <w:top w:val="nil"/>
              <w:left w:val="single" w:color="auto" w:sz="4" w:space="0"/>
              <w:bottom w:val="single" w:color="auto" w:sz="4" w:space="0"/>
              <w:right w:val="single" w:color="auto" w:sz="4" w:space="0"/>
            </w:tcBorders>
            <w:shd w:val="clear" w:color="000000" w:fill="FFFFFF"/>
            <w:tcMar>
              <w:left w:w="15" w:type="dxa"/>
              <w:right w:w="15" w:type="dxa"/>
            </w:tcMar>
            <w:vAlign w:val="center"/>
          </w:tcPr>
          <w:p>
            <w:pPr>
              <w:wordWrap w:val="0"/>
              <w:jc w:val="center"/>
              <w:rPr>
                <w:rFonts w:ascii="宋体" w:hAnsi="宋体"/>
                <w:color w:val="000000"/>
                <w:sz w:val="18"/>
                <w:szCs w:val="18"/>
              </w:rPr>
            </w:pPr>
          </w:p>
        </w:tc>
        <w:tc>
          <w:tcPr>
            <w:tcW w:w="1275"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rPr>
                <w:rFonts w:ascii="宋体" w:hAnsi="宋体"/>
                <w:color w:val="000000"/>
                <w:sz w:val="18"/>
                <w:szCs w:val="18"/>
              </w:rPr>
            </w:pPr>
          </w:p>
        </w:tc>
        <w:tc>
          <w:tcPr>
            <w:tcW w:w="2410"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rPr>
                <w:rFonts w:ascii="宋体" w:hAnsi="宋体"/>
                <w:color w:val="000000"/>
                <w:sz w:val="18"/>
                <w:szCs w:val="18"/>
              </w:rPr>
            </w:pPr>
          </w:p>
        </w:tc>
        <w:tc>
          <w:tcPr>
            <w:tcW w:w="1701"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rPr>
                <w:rFonts w:ascii="宋体" w:hAnsi="宋体"/>
                <w:color w:val="000000"/>
                <w:sz w:val="18"/>
                <w:szCs w:val="18"/>
              </w:rPr>
            </w:pPr>
          </w:p>
        </w:tc>
        <w:tc>
          <w:tcPr>
            <w:tcW w:w="573"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center"/>
              <w:rPr>
                <w:rFonts w:ascii="宋体" w:hAnsi="宋体"/>
                <w:color w:val="000000"/>
                <w:sz w:val="18"/>
                <w:szCs w:val="18"/>
              </w:rPr>
            </w:pPr>
          </w:p>
        </w:tc>
        <w:tc>
          <w:tcPr>
            <w:tcW w:w="709"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right"/>
              <w:rPr>
                <w:rFonts w:ascii="宋体" w:hAnsi="宋体"/>
                <w:color w:val="000000"/>
                <w:sz w:val="18"/>
                <w:szCs w:val="18"/>
              </w:rPr>
            </w:pPr>
          </w:p>
        </w:tc>
        <w:tc>
          <w:tcPr>
            <w:tcW w:w="709"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right"/>
              <w:rPr>
                <w:rFonts w:ascii="宋体" w:hAnsi="宋体"/>
                <w:color w:val="000000"/>
                <w:sz w:val="18"/>
                <w:szCs w:val="18"/>
              </w:rPr>
            </w:pPr>
            <w:r>
              <w:rPr>
                <w:rFonts w:ascii="Calibri" w:hAnsi="宋体"/>
                <w:color w:val="000000"/>
                <w:sz w:val="18"/>
                <w:szCs w:val="18"/>
              </w:rPr>
              <w:t xml:space="preserve"> </w:t>
            </w:r>
          </w:p>
        </w:tc>
        <w:tc>
          <w:tcPr>
            <w:tcW w:w="1110"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right"/>
              <w:rPr>
                <w:rFonts w:ascii="宋体" w:hAnsi="宋体"/>
                <w:color w:val="000000"/>
                <w:sz w:val="18"/>
                <w:szCs w:val="18"/>
              </w:rPr>
            </w:pPr>
            <w:r>
              <w:rPr>
                <w:rFonts w:ascii="Calibri" w:hAnsi="宋体"/>
                <w:color w:val="000000"/>
                <w:sz w:val="18"/>
                <w:szCs w:val="18"/>
              </w:rPr>
              <w:t xml:space="preserve"> </w:t>
            </w:r>
          </w:p>
        </w:tc>
      </w:tr>
      <w:tr>
        <w:tblPrEx>
          <w:tblCellMar>
            <w:top w:w="0" w:type="dxa"/>
            <w:left w:w="0" w:type="dxa"/>
            <w:bottom w:w="0" w:type="dxa"/>
            <w:right w:w="0" w:type="dxa"/>
          </w:tblCellMar>
        </w:tblPrEx>
        <w:trPr>
          <w:trHeight w:val="454" w:hRule="atLeast"/>
          <w:jc w:val="center"/>
        </w:trPr>
        <w:tc>
          <w:tcPr>
            <w:tcW w:w="737" w:type="dxa"/>
            <w:tcBorders>
              <w:top w:val="nil"/>
              <w:left w:val="single" w:color="auto" w:sz="4" w:space="0"/>
              <w:bottom w:val="single" w:color="auto" w:sz="4" w:space="0"/>
              <w:right w:val="single" w:color="auto" w:sz="4" w:space="0"/>
            </w:tcBorders>
            <w:shd w:val="clear" w:color="000000" w:fill="FFFFFF"/>
            <w:tcMar>
              <w:left w:w="15" w:type="dxa"/>
              <w:right w:w="15" w:type="dxa"/>
            </w:tcMar>
            <w:vAlign w:val="center"/>
          </w:tcPr>
          <w:p>
            <w:pPr>
              <w:wordWrap w:val="0"/>
              <w:jc w:val="center"/>
              <w:rPr>
                <w:rFonts w:ascii="宋体" w:hAnsi="宋体"/>
                <w:color w:val="000000"/>
                <w:sz w:val="18"/>
                <w:szCs w:val="18"/>
              </w:rPr>
            </w:pPr>
          </w:p>
        </w:tc>
        <w:tc>
          <w:tcPr>
            <w:tcW w:w="1275"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rPr>
                <w:rFonts w:ascii="宋体" w:hAnsi="宋体"/>
                <w:color w:val="000000"/>
                <w:sz w:val="18"/>
                <w:szCs w:val="18"/>
              </w:rPr>
            </w:pPr>
          </w:p>
        </w:tc>
        <w:tc>
          <w:tcPr>
            <w:tcW w:w="2410"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rPr>
                <w:rFonts w:ascii="宋体" w:hAnsi="宋体"/>
                <w:color w:val="000000"/>
                <w:sz w:val="18"/>
                <w:szCs w:val="18"/>
              </w:rPr>
            </w:pPr>
          </w:p>
        </w:tc>
        <w:tc>
          <w:tcPr>
            <w:tcW w:w="1701"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rPr>
                <w:rFonts w:ascii="宋体" w:hAnsi="宋体"/>
                <w:color w:val="000000"/>
                <w:sz w:val="18"/>
                <w:szCs w:val="18"/>
              </w:rPr>
            </w:pPr>
          </w:p>
        </w:tc>
        <w:tc>
          <w:tcPr>
            <w:tcW w:w="573"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center"/>
              <w:rPr>
                <w:rFonts w:ascii="宋体" w:hAnsi="宋体"/>
                <w:color w:val="000000"/>
                <w:sz w:val="18"/>
                <w:szCs w:val="18"/>
              </w:rPr>
            </w:pPr>
          </w:p>
        </w:tc>
        <w:tc>
          <w:tcPr>
            <w:tcW w:w="709"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right"/>
              <w:rPr>
                <w:rFonts w:ascii="宋体" w:hAnsi="宋体"/>
                <w:color w:val="000000"/>
                <w:sz w:val="18"/>
                <w:szCs w:val="18"/>
              </w:rPr>
            </w:pPr>
          </w:p>
        </w:tc>
        <w:tc>
          <w:tcPr>
            <w:tcW w:w="709"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right"/>
              <w:rPr>
                <w:rFonts w:ascii="宋体" w:hAnsi="宋体"/>
                <w:color w:val="000000"/>
                <w:sz w:val="18"/>
                <w:szCs w:val="18"/>
              </w:rPr>
            </w:pPr>
            <w:r>
              <w:rPr>
                <w:rFonts w:ascii="Calibri" w:hAnsi="宋体"/>
                <w:color w:val="000000"/>
                <w:sz w:val="18"/>
                <w:szCs w:val="18"/>
              </w:rPr>
              <w:t xml:space="preserve"> </w:t>
            </w:r>
          </w:p>
        </w:tc>
        <w:tc>
          <w:tcPr>
            <w:tcW w:w="1110"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right"/>
              <w:rPr>
                <w:rFonts w:ascii="宋体" w:hAnsi="宋体"/>
                <w:color w:val="000000"/>
                <w:sz w:val="18"/>
                <w:szCs w:val="18"/>
              </w:rPr>
            </w:pPr>
            <w:r>
              <w:rPr>
                <w:rFonts w:ascii="Calibri" w:hAnsi="宋体"/>
                <w:color w:val="000000"/>
                <w:sz w:val="18"/>
                <w:szCs w:val="18"/>
              </w:rPr>
              <w:t xml:space="preserve"> </w:t>
            </w:r>
          </w:p>
        </w:tc>
      </w:tr>
      <w:tr>
        <w:tblPrEx>
          <w:tblCellMar>
            <w:top w:w="0" w:type="dxa"/>
            <w:left w:w="0" w:type="dxa"/>
            <w:bottom w:w="0" w:type="dxa"/>
            <w:right w:w="0" w:type="dxa"/>
          </w:tblCellMar>
        </w:tblPrEx>
        <w:trPr>
          <w:trHeight w:val="454" w:hRule="atLeast"/>
          <w:jc w:val="center"/>
        </w:trPr>
        <w:tc>
          <w:tcPr>
            <w:tcW w:w="737" w:type="dxa"/>
            <w:tcBorders>
              <w:top w:val="nil"/>
              <w:left w:val="single" w:color="auto" w:sz="4" w:space="0"/>
              <w:bottom w:val="single" w:color="auto" w:sz="4" w:space="0"/>
              <w:right w:val="single" w:color="auto" w:sz="4" w:space="0"/>
            </w:tcBorders>
            <w:shd w:val="clear" w:color="000000" w:fill="FFFFFF"/>
            <w:tcMar>
              <w:left w:w="15" w:type="dxa"/>
              <w:right w:w="15" w:type="dxa"/>
            </w:tcMar>
            <w:vAlign w:val="center"/>
          </w:tcPr>
          <w:p>
            <w:pPr>
              <w:wordWrap w:val="0"/>
              <w:jc w:val="center"/>
              <w:rPr>
                <w:rFonts w:ascii="宋体" w:hAnsi="宋体"/>
                <w:color w:val="000000"/>
                <w:sz w:val="18"/>
                <w:szCs w:val="18"/>
              </w:rPr>
            </w:pPr>
          </w:p>
        </w:tc>
        <w:tc>
          <w:tcPr>
            <w:tcW w:w="1275"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rPr>
                <w:rFonts w:ascii="宋体" w:hAnsi="宋体"/>
                <w:color w:val="000000"/>
                <w:sz w:val="18"/>
                <w:szCs w:val="18"/>
              </w:rPr>
            </w:pPr>
          </w:p>
        </w:tc>
        <w:tc>
          <w:tcPr>
            <w:tcW w:w="2410"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rPr>
                <w:rFonts w:ascii="宋体" w:hAnsi="宋体"/>
                <w:color w:val="000000"/>
                <w:sz w:val="18"/>
                <w:szCs w:val="18"/>
              </w:rPr>
            </w:pPr>
          </w:p>
        </w:tc>
        <w:tc>
          <w:tcPr>
            <w:tcW w:w="1701"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rPr>
                <w:rFonts w:ascii="宋体" w:hAnsi="宋体"/>
                <w:color w:val="000000"/>
                <w:sz w:val="18"/>
                <w:szCs w:val="18"/>
              </w:rPr>
            </w:pPr>
          </w:p>
        </w:tc>
        <w:tc>
          <w:tcPr>
            <w:tcW w:w="573"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center"/>
              <w:rPr>
                <w:rFonts w:ascii="宋体" w:hAnsi="宋体"/>
                <w:color w:val="000000"/>
                <w:sz w:val="18"/>
                <w:szCs w:val="18"/>
              </w:rPr>
            </w:pPr>
          </w:p>
        </w:tc>
        <w:tc>
          <w:tcPr>
            <w:tcW w:w="709"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right"/>
              <w:rPr>
                <w:rFonts w:ascii="宋体" w:hAnsi="宋体"/>
                <w:color w:val="000000"/>
                <w:sz w:val="18"/>
                <w:szCs w:val="18"/>
              </w:rPr>
            </w:pPr>
          </w:p>
        </w:tc>
        <w:tc>
          <w:tcPr>
            <w:tcW w:w="709"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right"/>
              <w:rPr>
                <w:rFonts w:ascii="宋体" w:hAnsi="宋体"/>
                <w:color w:val="000000"/>
                <w:sz w:val="18"/>
                <w:szCs w:val="18"/>
              </w:rPr>
            </w:pPr>
            <w:r>
              <w:rPr>
                <w:rFonts w:ascii="Calibri" w:hAnsi="宋体"/>
                <w:color w:val="000000"/>
                <w:sz w:val="18"/>
                <w:szCs w:val="18"/>
              </w:rPr>
              <w:t xml:space="preserve"> </w:t>
            </w:r>
          </w:p>
        </w:tc>
        <w:tc>
          <w:tcPr>
            <w:tcW w:w="1110"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right"/>
              <w:rPr>
                <w:rFonts w:ascii="宋体" w:hAnsi="宋体"/>
                <w:color w:val="000000"/>
                <w:sz w:val="18"/>
                <w:szCs w:val="18"/>
              </w:rPr>
            </w:pPr>
            <w:r>
              <w:rPr>
                <w:rFonts w:ascii="Calibri" w:hAnsi="宋体"/>
                <w:color w:val="000000"/>
                <w:sz w:val="18"/>
                <w:szCs w:val="18"/>
              </w:rPr>
              <w:t xml:space="preserve"> </w:t>
            </w:r>
          </w:p>
        </w:tc>
      </w:tr>
      <w:tr>
        <w:tblPrEx>
          <w:tblCellMar>
            <w:top w:w="0" w:type="dxa"/>
            <w:left w:w="0" w:type="dxa"/>
            <w:bottom w:w="0" w:type="dxa"/>
            <w:right w:w="0" w:type="dxa"/>
          </w:tblCellMar>
        </w:tblPrEx>
        <w:trPr>
          <w:trHeight w:val="454" w:hRule="atLeast"/>
          <w:jc w:val="center"/>
        </w:trPr>
        <w:tc>
          <w:tcPr>
            <w:tcW w:w="737" w:type="dxa"/>
            <w:tcBorders>
              <w:top w:val="nil"/>
              <w:left w:val="single" w:color="auto" w:sz="4" w:space="0"/>
              <w:bottom w:val="single" w:color="auto" w:sz="4" w:space="0"/>
              <w:right w:val="single" w:color="auto" w:sz="4" w:space="0"/>
            </w:tcBorders>
            <w:shd w:val="clear" w:color="000000" w:fill="FFFFFF"/>
            <w:tcMar>
              <w:left w:w="15" w:type="dxa"/>
              <w:right w:w="15" w:type="dxa"/>
            </w:tcMar>
            <w:vAlign w:val="center"/>
          </w:tcPr>
          <w:p>
            <w:pPr>
              <w:wordWrap w:val="0"/>
              <w:jc w:val="center"/>
              <w:rPr>
                <w:rFonts w:ascii="宋体" w:hAnsi="宋体"/>
                <w:color w:val="000000"/>
                <w:sz w:val="18"/>
                <w:szCs w:val="18"/>
              </w:rPr>
            </w:pPr>
          </w:p>
        </w:tc>
        <w:tc>
          <w:tcPr>
            <w:tcW w:w="1275"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rPr>
                <w:rFonts w:ascii="宋体" w:hAnsi="宋体"/>
                <w:color w:val="000000"/>
                <w:sz w:val="18"/>
                <w:szCs w:val="18"/>
              </w:rPr>
            </w:pPr>
          </w:p>
        </w:tc>
        <w:tc>
          <w:tcPr>
            <w:tcW w:w="2410"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rPr>
                <w:rFonts w:ascii="宋体" w:hAnsi="宋体"/>
                <w:color w:val="000000"/>
                <w:sz w:val="18"/>
                <w:szCs w:val="18"/>
              </w:rPr>
            </w:pPr>
          </w:p>
        </w:tc>
        <w:tc>
          <w:tcPr>
            <w:tcW w:w="1701"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rPr>
                <w:rFonts w:ascii="宋体" w:hAnsi="宋体"/>
                <w:color w:val="000000"/>
                <w:sz w:val="18"/>
                <w:szCs w:val="18"/>
              </w:rPr>
            </w:pPr>
          </w:p>
        </w:tc>
        <w:tc>
          <w:tcPr>
            <w:tcW w:w="573"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center"/>
              <w:rPr>
                <w:rFonts w:ascii="宋体" w:hAnsi="宋体"/>
                <w:color w:val="000000"/>
                <w:sz w:val="18"/>
                <w:szCs w:val="18"/>
              </w:rPr>
            </w:pPr>
          </w:p>
        </w:tc>
        <w:tc>
          <w:tcPr>
            <w:tcW w:w="709"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right"/>
              <w:rPr>
                <w:rFonts w:ascii="宋体" w:hAnsi="宋体"/>
                <w:color w:val="000000"/>
                <w:sz w:val="18"/>
                <w:szCs w:val="18"/>
              </w:rPr>
            </w:pPr>
          </w:p>
        </w:tc>
        <w:tc>
          <w:tcPr>
            <w:tcW w:w="709"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right"/>
              <w:rPr>
                <w:rFonts w:ascii="宋体" w:hAnsi="宋体"/>
                <w:color w:val="000000"/>
                <w:sz w:val="18"/>
                <w:szCs w:val="18"/>
              </w:rPr>
            </w:pPr>
            <w:r>
              <w:rPr>
                <w:rFonts w:ascii="Calibri" w:hAnsi="宋体"/>
                <w:color w:val="000000"/>
                <w:sz w:val="18"/>
                <w:szCs w:val="18"/>
              </w:rPr>
              <w:t xml:space="preserve"> </w:t>
            </w:r>
          </w:p>
        </w:tc>
        <w:tc>
          <w:tcPr>
            <w:tcW w:w="1110"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right"/>
              <w:rPr>
                <w:rFonts w:ascii="宋体" w:hAnsi="宋体"/>
                <w:color w:val="000000"/>
                <w:sz w:val="18"/>
                <w:szCs w:val="18"/>
              </w:rPr>
            </w:pPr>
            <w:r>
              <w:rPr>
                <w:rFonts w:ascii="Calibri" w:hAnsi="宋体"/>
                <w:color w:val="000000"/>
                <w:sz w:val="18"/>
                <w:szCs w:val="18"/>
              </w:rPr>
              <w:t xml:space="preserve"> </w:t>
            </w:r>
          </w:p>
        </w:tc>
      </w:tr>
      <w:tr>
        <w:tblPrEx>
          <w:tblCellMar>
            <w:top w:w="0" w:type="dxa"/>
            <w:left w:w="0" w:type="dxa"/>
            <w:bottom w:w="0" w:type="dxa"/>
            <w:right w:w="0" w:type="dxa"/>
          </w:tblCellMar>
        </w:tblPrEx>
        <w:trPr>
          <w:trHeight w:val="454" w:hRule="atLeast"/>
          <w:jc w:val="center"/>
        </w:trPr>
        <w:tc>
          <w:tcPr>
            <w:tcW w:w="737" w:type="dxa"/>
            <w:tcBorders>
              <w:top w:val="nil"/>
              <w:left w:val="single" w:color="auto" w:sz="4" w:space="0"/>
              <w:bottom w:val="single" w:color="auto" w:sz="4" w:space="0"/>
              <w:right w:val="single" w:color="auto" w:sz="4" w:space="0"/>
            </w:tcBorders>
            <w:shd w:val="clear" w:color="000000" w:fill="FFFFFF"/>
            <w:tcMar>
              <w:left w:w="15" w:type="dxa"/>
              <w:right w:w="15" w:type="dxa"/>
            </w:tcMar>
            <w:vAlign w:val="center"/>
          </w:tcPr>
          <w:p>
            <w:pPr>
              <w:wordWrap w:val="0"/>
              <w:jc w:val="center"/>
              <w:rPr>
                <w:rFonts w:ascii="宋体" w:hAnsi="宋体"/>
                <w:color w:val="000000"/>
                <w:sz w:val="18"/>
                <w:szCs w:val="18"/>
              </w:rPr>
            </w:pPr>
          </w:p>
        </w:tc>
        <w:tc>
          <w:tcPr>
            <w:tcW w:w="1275"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rPr>
                <w:rFonts w:ascii="宋体" w:hAnsi="宋体"/>
                <w:color w:val="000000"/>
                <w:sz w:val="18"/>
                <w:szCs w:val="18"/>
              </w:rPr>
            </w:pPr>
          </w:p>
        </w:tc>
        <w:tc>
          <w:tcPr>
            <w:tcW w:w="2410"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rPr>
                <w:rFonts w:ascii="宋体" w:hAnsi="宋体"/>
                <w:color w:val="000000"/>
                <w:sz w:val="18"/>
                <w:szCs w:val="18"/>
              </w:rPr>
            </w:pPr>
          </w:p>
        </w:tc>
        <w:tc>
          <w:tcPr>
            <w:tcW w:w="1701"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rPr>
                <w:rFonts w:ascii="宋体" w:hAnsi="宋体"/>
                <w:color w:val="000000"/>
                <w:sz w:val="18"/>
                <w:szCs w:val="18"/>
              </w:rPr>
            </w:pPr>
          </w:p>
        </w:tc>
        <w:tc>
          <w:tcPr>
            <w:tcW w:w="573"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center"/>
              <w:rPr>
                <w:rFonts w:ascii="宋体" w:hAnsi="宋体"/>
                <w:color w:val="000000"/>
                <w:sz w:val="18"/>
                <w:szCs w:val="18"/>
              </w:rPr>
            </w:pPr>
          </w:p>
        </w:tc>
        <w:tc>
          <w:tcPr>
            <w:tcW w:w="709"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right"/>
              <w:rPr>
                <w:rFonts w:ascii="宋体" w:hAnsi="宋体"/>
                <w:color w:val="000000"/>
                <w:sz w:val="18"/>
                <w:szCs w:val="18"/>
              </w:rPr>
            </w:pPr>
          </w:p>
        </w:tc>
        <w:tc>
          <w:tcPr>
            <w:tcW w:w="709"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right"/>
              <w:rPr>
                <w:rFonts w:ascii="宋体" w:hAnsi="宋体"/>
                <w:color w:val="000000"/>
                <w:sz w:val="18"/>
                <w:szCs w:val="18"/>
              </w:rPr>
            </w:pPr>
            <w:r>
              <w:rPr>
                <w:rFonts w:ascii="Calibri" w:hAnsi="宋体"/>
                <w:color w:val="000000"/>
                <w:sz w:val="18"/>
                <w:szCs w:val="18"/>
              </w:rPr>
              <w:t xml:space="preserve"> </w:t>
            </w:r>
          </w:p>
        </w:tc>
        <w:tc>
          <w:tcPr>
            <w:tcW w:w="1110"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right"/>
              <w:rPr>
                <w:rFonts w:ascii="宋体" w:hAnsi="宋体"/>
                <w:color w:val="000000"/>
                <w:sz w:val="18"/>
                <w:szCs w:val="18"/>
              </w:rPr>
            </w:pPr>
            <w:r>
              <w:rPr>
                <w:rFonts w:ascii="Calibri" w:hAnsi="宋体"/>
                <w:color w:val="000000"/>
                <w:sz w:val="18"/>
                <w:szCs w:val="18"/>
              </w:rPr>
              <w:t xml:space="preserve"> </w:t>
            </w:r>
          </w:p>
        </w:tc>
      </w:tr>
      <w:tr>
        <w:tblPrEx>
          <w:tblCellMar>
            <w:top w:w="0" w:type="dxa"/>
            <w:left w:w="0" w:type="dxa"/>
            <w:bottom w:w="0" w:type="dxa"/>
            <w:right w:w="0" w:type="dxa"/>
          </w:tblCellMar>
        </w:tblPrEx>
        <w:trPr>
          <w:trHeight w:val="454" w:hRule="atLeast"/>
          <w:jc w:val="center"/>
        </w:trPr>
        <w:tc>
          <w:tcPr>
            <w:tcW w:w="737" w:type="dxa"/>
            <w:tcBorders>
              <w:top w:val="nil"/>
              <w:left w:val="single" w:color="auto" w:sz="4" w:space="0"/>
              <w:bottom w:val="single" w:color="auto" w:sz="4" w:space="0"/>
              <w:right w:val="single" w:color="auto" w:sz="4" w:space="0"/>
            </w:tcBorders>
            <w:shd w:val="clear" w:color="000000" w:fill="FFFFFF"/>
            <w:tcMar>
              <w:left w:w="15" w:type="dxa"/>
              <w:right w:w="15" w:type="dxa"/>
            </w:tcMar>
            <w:vAlign w:val="center"/>
          </w:tcPr>
          <w:p>
            <w:pPr>
              <w:wordWrap w:val="0"/>
              <w:jc w:val="center"/>
              <w:rPr>
                <w:rFonts w:ascii="宋体" w:hAnsi="宋体"/>
                <w:color w:val="000000"/>
                <w:sz w:val="18"/>
                <w:szCs w:val="18"/>
              </w:rPr>
            </w:pPr>
          </w:p>
        </w:tc>
        <w:tc>
          <w:tcPr>
            <w:tcW w:w="1275"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rPr>
                <w:rFonts w:ascii="宋体" w:hAnsi="宋体"/>
                <w:color w:val="000000"/>
                <w:sz w:val="18"/>
                <w:szCs w:val="18"/>
              </w:rPr>
            </w:pPr>
          </w:p>
        </w:tc>
        <w:tc>
          <w:tcPr>
            <w:tcW w:w="2410"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rPr>
                <w:rFonts w:ascii="宋体" w:hAnsi="宋体"/>
                <w:color w:val="000000"/>
                <w:sz w:val="18"/>
                <w:szCs w:val="18"/>
              </w:rPr>
            </w:pPr>
          </w:p>
        </w:tc>
        <w:tc>
          <w:tcPr>
            <w:tcW w:w="1701"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rPr>
                <w:rFonts w:ascii="宋体" w:hAnsi="宋体"/>
                <w:color w:val="000000"/>
                <w:sz w:val="18"/>
                <w:szCs w:val="18"/>
              </w:rPr>
            </w:pPr>
          </w:p>
        </w:tc>
        <w:tc>
          <w:tcPr>
            <w:tcW w:w="573"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center"/>
              <w:rPr>
                <w:rFonts w:ascii="宋体" w:hAnsi="宋体"/>
                <w:color w:val="000000"/>
                <w:sz w:val="18"/>
                <w:szCs w:val="18"/>
              </w:rPr>
            </w:pPr>
          </w:p>
        </w:tc>
        <w:tc>
          <w:tcPr>
            <w:tcW w:w="709"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right"/>
              <w:rPr>
                <w:rFonts w:ascii="宋体" w:hAnsi="宋体"/>
                <w:color w:val="000000"/>
                <w:sz w:val="18"/>
                <w:szCs w:val="18"/>
              </w:rPr>
            </w:pPr>
          </w:p>
        </w:tc>
        <w:tc>
          <w:tcPr>
            <w:tcW w:w="709"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right"/>
              <w:rPr>
                <w:rFonts w:ascii="宋体" w:hAnsi="宋体"/>
                <w:color w:val="000000"/>
                <w:sz w:val="18"/>
                <w:szCs w:val="18"/>
              </w:rPr>
            </w:pPr>
            <w:r>
              <w:rPr>
                <w:rFonts w:ascii="Calibri" w:hAnsi="宋体"/>
                <w:color w:val="000000"/>
                <w:sz w:val="18"/>
                <w:szCs w:val="18"/>
              </w:rPr>
              <w:t xml:space="preserve"> </w:t>
            </w:r>
          </w:p>
        </w:tc>
        <w:tc>
          <w:tcPr>
            <w:tcW w:w="1110"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right"/>
              <w:rPr>
                <w:rFonts w:ascii="宋体" w:hAnsi="宋体"/>
                <w:color w:val="000000"/>
                <w:sz w:val="18"/>
                <w:szCs w:val="18"/>
              </w:rPr>
            </w:pPr>
            <w:r>
              <w:rPr>
                <w:rFonts w:ascii="Calibri" w:hAnsi="宋体"/>
                <w:color w:val="000000"/>
                <w:sz w:val="18"/>
                <w:szCs w:val="18"/>
              </w:rPr>
              <w:t xml:space="preserve"> </w:t>
            </w:r>
          </w:p>
        </w:tc>
      </w:tr>
      <w:tr>
        <w:tblPrEx>
          <w:tblCellMar>
            <w:top w:w="0" w:type="dxa"/>
            <w:left w:w="0" w:type="dxa"/>
            <w:bottom w:w="0" w:type="dxa"/>
            <w:right w:w="0" w:type="dxa"/>
          </w:tblCellMar>
        </w:tblPrEx>
        <w:trPr>
          <w:trHeight w:val="454" w:hRule="atLeast"/>
          <w:jc w:val="center"/>
        </w:trPr>
        <w:tc>
          <w:tcPr>
            <w:tcW w:w="737" w:type="dxa"/>
            <w:tcBorders>
              <w:top w:val="nil"/>
              <w:left w:val="single" w:color="auto" w:sz="4" w:space="0"/>
              <w:bottom w:val="single" w:color="auto" w:sz="4" w:space="0"/>
              <w:right w:val="single" w:color="auto" w:sz="4" w:space="0"/>
            </w:tcBorders>
            <w:shd w:val="clear" w:color="000000" w:fill="FFFFFF"/>
            <w:tcMar>
              <w:left w:w="15" w:type="dxa"/>
              <w:right w:w="15" w:type="dxa"/>
            </w:tcMar>
            <w:vAlign w:val="center"/>
          </w:tcPr>
          <w:p>
            <w:pPr>
              <w:wordWrap w:val="0"/>
              <w:jc w:val="center"/>
              <w:rPr>
                <w:rFonts w:ascii="宋体" w:hAnsi="宋体"/>
                <w:color w:val="000000"/>
                <w:sz w:val="18"/>
                <w:szCs w:val="18"/>
              </w:rPr>
            </w:pPr>
          </w:p>
        </w:tc>
        <w:tc>
          <w:tcPr>
            <w:tcW w:w="1275"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rPr>
                <w:rFonts w:ascii="宋体" w:hAnsi="宋体"/>
                <w:color w:val="000000"/>
                <w:sz w:val="18"/>
                <w:szCs w:val="18"/>
              </w:rPr>
            </w:pPr>
          </w:p>
        </w:tc>
        <w:tc>
          <w:tcPr>
            <w:tcW w:w="2410"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rPr>
                <w:rFonts w:ascii="宋体" w:hAnsi="宋体"/>
                <w:color w:val="000000"/>
                <w:sz w:val="18"/>
                <w:szCs w:val="18"/>
              </w:rPr>
            </w:pPr>
          </w:p>
        </w:tc>
        <w:tc>
          <w:tcPr>
            <w:tcW w:w="1701"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rPr>
                <w:rFonts w:ascii="宋体" w:hAnsi="宋体"/>
                <w:color w:val="000000"/>
                <w:sz w:val="18"/>
                <w:szCs w:val="18"/>
              </w:rPr>
            </w:pPr>
          </w:p>
        </w:tc>
        <w:tc>
          <w:tcPr>
            <w:tcW w:w="573"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center"/>
              <w:rPr>
                <w:rFonts w:ascii="宋体" w:hAnsi="宋体"/>
                <w:color w:val="000000"/>
                <w:sz w:val="18"/>
                <w:szCs w:val="18"/>
              </w:rPr>
            </w:pPr>
          </w:p>
        </w:tc>
        <w:tc>
          <w:tcPr>
            <w:tcW w:w="709"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right"/>
              <w:rPr>
                <w:rFonts w:ascii="宋体" w:hAnsi="宋体"/>
                <w:color w:val="000000"/>
                <w:sz w:val="18"/>
                <w:szCs w:val="18"/>
              </w:rPr>
            </w:pPr>
          </w:p>
        </w:tc>
        <w:tc>
          <w:tcPr>
            <w:tcW w:w="709"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right"/>
              <w:rPr>
                <w:rFonts w:ascii="宋体" w:hAnsi="宋体"/>
                <w:color w:val="000000"/>
                <w:sz w:val="18"/>
                <w:szCs w:val="18"/>
              </w:rPr>
            </w:pPr>
            <w:r>
              <w:rPr>
                <w:rFonts w:ascii="Calibri" w:hAnsi="宋体"/>
                <w:color w:val="000000"/>
                <w:sz w:val="18"/>
                <w:szCs w:val="18"/>
              </w:rPr>
              <w:t xml:space="preserve"> </w:t>
            </w:r>
          </w:p>
        </w:tc>
        <w:tc>
          <w:tcPr>
            <w:tcW w:w="1110"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right"/>
              <w:rPr>
                <w:rFonts w:ascii="宋体" w:hAnsi="宋体"/>
                <w:color w:val="000000"/>
                <w:sz w:val="18"/>
                <w:szCs w:val="18"/>
              </w:rPr>
            </w:pPr>
            <w:r>
              <w:rPr>
                <w:rFonts w:ascii="Calibri" w:hAnsi="宋体"/>
                <w:color w:val="000000"/>
                <w:sz w:val="18"/>
                <w:szCs w:val="18"/>
              </w:rPr>
              <w:t xml:space="preserve"> </w:t>
            </w:r>
          </w:p>
        </w:tc>
      </w:tr>
      <w:tr>
        <w:tblPrEx>
          <w:tblCellMar>
            <w:top w:w="0" w:type="dxa"/>
            <w:left w:w="0" w:type="dxa"/>
            <w:bottom w:w="0" w:type="dxa"/>
            <w:right w:w="0" w:type="dxa"/>
          </w:tblCellMar>
        </w:tblPrEx>
        <w:trPr>
          <w:trHeight w:val="454" w:hRule="atLeast"/>
          <w:jc w:val="center"/>
        </w:trPr>
        <w:tc>
          <w:tcPr>
            <w:tcW w:w="737" w:type="dxa"/>
            <w:tcBorders>
              <w:top w:val="nil"/>
              <w:left w:val="single" w:color="auto" w:sz="4" w:space="0"/>
              <w:bottom w:val="single" w:color="auto" w:sz="4" w:space="0"/>
              <w:right w:val="single" w:color="auto" w:sz="4" w:space="0"/>
            </w:tcBorders>
            <w:shd w:val="clear" w:color="000000" w:fill="FFFFFF"/>
            <w:tcMar>
              <w:left w:w="15" w:type="dxa"/>
              <w:right w:w="15" w:type="dxa"/>
            </w:tcMar>
            <w:vAlign w:val="center"/>
          </w:tcPr>
          <w:p>
            <w:pPr>
              <w:wordWrap w:val="0"/>
              <w:jc w:val="center"/>
              <w:rPr>
                <w:rFonts w:ascii="宋体" w:hAnsi="宋体"/>
                <w:color w:val="000000"/>
                <w:sz w:val="18"/>
                <w:szCs w:val="18"/>
              </w:rPr>
            </w:pPr>
          </w:p>
        </w:tc>
        <w:tc>
          <w:tcPr>
            <w:tcW w:w="1275"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rPr>
                <w:rFonts w:ascii="宋体" w:hAnsi="宋体"/>
                <w:color w:val="000000"/>
                <w:sz w:val="18"/>
                <w:szCs w:val="18"/>
              </w:rPr>
            </w:pPr>
          </w:p>
        </w:tc>
        <w:tc>
          <w:tcPr>
            <w:tcW w:w="2410"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rPr>
                <w:rFonts w:ascii="宋体" w:hAnsi="宋体"/>
                <w:color w:val="000000"/>
                <w:sz w:val="18"/>
                <w:szCs w:val="18"/>
              </w:rPr>
            </w:pPr>
          </w:p>
        </w:tc>
        <w:tc>
          <w:tcPr>
            <w:tcW w:w="1701"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rPr>
                <w:rFonts w:ascii="宋体" w:hAnsi="宋体"/>
                <w:color w:val="000000"/>
                <w:sz w:val="18"/>
                <w:szCs w:val="18"/>
              </w:rPr>
            </w:pPr>
          </w:p>
        </w:tc>
        <w:tc>
          <w:tcPr>
            <w:tcW w:w="573"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center"/>
              <w:rPr>
                <w:rFonts w:ascii="宋体" w:hAnsi="宋体"/>
                <w:color w:val="000000"/>
                <w:sz w:val="18"/>
                <w:szCs w:val="18"/>
              </w:rPr>
            </w:pPr>
          </w:p>
        </w:tc>
        <w:tc>
          <w:tcPr>
            <w:tcW w:w="709"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right"/>
              <w:rPr>
                <w:rFonts w:ascii="宋体" w:hAnsi="宋体"/>
                <w:color w:val="000000"/>
                <w:sz w:val="18"/>
                <w:szCs w:val="18"/>
              </w:rPr>
            </w:pPr>
          </w:p>
        </w:tc>
        <w:tc>
          <w:tcPr>
            <w:tcW w:w="709"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right"/>
              <w:rPr>
                <w:rFonts w:ascii="宋体" w:hAnsi="宋体"/>
                <w:color w:val="000000"/>
                <w:sz w:val="18"/>
                <w:szCs w:val="18"/>
              </w:rPr>
            </w:pPr>
            <w:r>
              <w:rPr>
                <w:rFonts w:ascii="Calibri" w:hAnsi="宋体"/>
                <w:color w:val="000000"/>
                <w:sz w:val="18"/>
                <w:szCs w:val="18"/>
              </w:rPr>
              <w:t xml:space="preserve"> </w:t>
            </w:r>
          </w:p>
        </w:tc>
        <w:tc>
          <w:tcPr>
            <w:tcW w:w="1110"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right"/>
              <w:rPr>
                <w:rFonts w:ascii="宋体" w:hAnsi="宋体"/>
                <w:color w:val="000000"/>
                <w:sz w:val="18"/>
                <w:szCs w:val="18"/>
              </w:rPr>
            </w:pPr>
            <w:r>
              <w:rPr>
                <w:rFonts w:ascii="Calibri" w:hAnsi="宋体"/>
                <w:color w:val="000000"/>
                <w:sz w:val="18"/>
                <w:szCs w:val="18"/>
              </w:rPr>
              <w:t xml:space="preserve"> </w:t>
            </w:r>
          </w:p>
        </w:tc>
      </w:tr>
      <w:tr>
        <w:tblPrEx>
          <w:tblCellMar>
            <w:top w:w="0" w:type="dxa"/>
            <w:left w:w="0" w:type="dxa"/>
            <w:bottom w:w="0" w:type="dxa"/>
            <w:right w:w="0" w:type="dxa"/>
          </w:tblCellMar>
        </w:tblPrEx>
        <w:trPr>
          <w:trHeight w:val="454" w:hRule="atLeast"/>
          <w:jc w:val="center"/>
        </w:trPr>
        <w:tc>
          <w:tcPr>
            <w:tcW w:w="737" w:type="dxa"/>
            <w:tcBorders>
              <w:top w:val="nil"/>
              <w:left w:val="single" w:color="auto" w:sz="4" w:space="0"/>
              <w:bottom w:val="single" w:color="auto" w:sz="4" w:space="0"/>
              <w:right w:val="single" w:color="auto" w:sz="4" w:space="0"/>
            </w:tcBorders>
            <w:shd w:val="clear" w:color="000000" w:fill="FFFFFF"/>
            <w:tcMar>
              <w:left w:w="15" w:type="dxa"/>
              <w:right w:w="15" w:type="dxa"/>
            </w:tcMar>
            <w:vAlign w:val="center"/>
          </w:tcPr>
          <w:p>
            <w:pPr>
              <w:wordWrap w:val="0"/>
              <w:jc w:val="center"/>
              <w:rPr>
                <w:rFonts w:ascii="宋体" w:hAnsi="宋体"/>
                <w:color w:val="000000"/>
                <w:sz w:val="18"/>
                <w:szCs w:val="18"/>
              </w:rPr>
            </w:pPr>
          </w:p>
        </w:tc>
        <w:tc>
          <w:tcPr>
            <w:tcW w:w="1275"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rPr>
                <w:rFonts w:ascii="宋体" w:hAnsi="宋体"/>
                <w:color w:val="000000"/>
                <w:sz w:val="18"/>
                <w:szCs w:val="18"/>
              </w:rPr>
            </w:pPr>
          </w:p>
        </w:tc>
        <w:tc>
          <w:tcPr>
            <w:tcW w:w="2410"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rPr>
                <w:rFonts w:ascii="宋体" w:hAnsi="宋体"/>
                <w:color w:val="000000"/>
                <w:sz w:val="18"/>
                <w:szCs w:val="18"/>
              </w:rPr>
            </w:pPr>
          </w:p>
        </w:tc>
        <w:tc>
          <w:tcPr>
            <w:tcW w:w="1701"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rPr>
                <w:rFonts w:ascii="宋体" w:hAnsi="宋体"/>
                <w:color w:val="000000"/>
                <w:sz w:val="18"/>
                <w:szCs w:val="18"/>
              </w:rPr>
            </w:pPr>
          </w:p>
        </w:tc>
        <w:tc>
          <w:tcPr>
            <w:tcW w:w="573"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center"/>
              <w:rPr>
                <w:rFonts w:ascii="宋体" w:hAnsi="宋体"/>
                <w:color w:val="000000"/>
                <w:sz w:val="18"/>
                <w:szCs w:val="18"/>
              </w:rPr>
            </w:pPr>
          </w:p>
        </w:tc>
        <w:tc>
          <w:tcPr>
            <w:tcW w:w="709"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right"/>
              <w:rPr>
                <w:rFonts w:ascii="宋体" w:hAnsi="宋体"/>
                <w:color w:val="000000"/>
                <w:sz w:val="18"/>
                <w:szCs w:val="18"/>
              </w:rPr>
            </w:pPr>
          </w:p>
        </w:tc>
        <w:tc>
          <w:tcPr>
            <w:tcW w:w="709"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right"/>
              <w:rPr>
                <w:rFonts w:ascii="宋体" w:hAnsi="宋体"/>
                <w:color w:val="000000"/>
                <w:sz w:val="18"/>
                <w:szCs w:val="18"/>
              </w:rPr>
            </w:pPr>
            <w:r>
              <w:rPr>
                <w:rFonts w:ascii="Calibri" w:hAnsi="宋体"/>
                <w:color w:val="000000"/>
                <w:sz w:val="18"/>
                <w:szCs w:val="18"/>
              </w:rPr>
              <w:t xml:space="preserve"> </w:t>
            </w:r>
          </w:p>
        </w:tc>
        <w:tc>
          <w:tcPr>
            <w:tcW w:w="1110"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right"/>
              <w:rPr>
                <w:rFonts w:ascii="宋体" w:hAnsi="宋体"/>
                <w:color w:val="000000"/>
                <w:sz w:val="18"/>
                <w:szCs w:val="18"/>
              </w:rPr>
            </w:pPr>
            <w:r>
              <w:rPr>
                <w:rFonts w:ascii="Calibri" w:hAnsi="宋体"/>
                <w:color w:val="000000"/>
                <w:sz w:val="18"/>
                <w:szCs w:val="18"/>
              </w:rPr>
              <w:t xml:space="preserve"> </w:t>
            </w:r>
          </w:p>
        </w:tc>
      </w:tr>
      <w:tr>
        <w:tblPrEx>
          <w:tblCellMar>
            <w:top w:w="0" w:type="dxa"/>
            <w:left w:w="0" w:type="dxa"/>
            <w:bottom w:w="0" w:type="dxa"/>
            <w:right w:w="0" w:type="dxa"/>
          </w:tblCellMar>
        </w:tblPrEx>
        <w:trPr>
          <w:trHeight w:val="454" w:hRule="atLeast"/>
          <w:jc w:val="center"/>
        </w:trPr>
        <w:tc>
          <w:tcPr>
            <w:tcW w:w="737" w:type="dxa"/>
            <w:tcBorders>
              <w:top w:val="nil"/>
              <w:left w:val="single" w:color="auto" w:sz="4" w:space="0"/>
              <w:bottom w:val="single" w:color="auto" w:sz="4" w:space="0"/>
              <w:right w:val="single" w:color="auto" w:sz="4" w:space="0"/>
            </w:tcBorders>
            <w:shd w:val="clear" w:color="000000" w:fill="FFFFFF"/>
            <w:tcMar>
              <w:left w:w="15" w:type="dxa"/>
              <w:right w:w="15" w:type="dxa"/>
            </w:tcMar>
            <w:vAlign w:val="center"/>
          </w:tcPr>
          <w:p>
            <w:pPr>
              <w:wordWrap w:val="0"/>
              <w:jc w:val="center"/>
              <w:rPr>
                <w:rFonts w:ascii="宋体" w:hAnsi="宋体"/>
                <w:color w:val="000000"/>
                <w:sz w:val="18"/>
                <w:szCs w:val="18"/>
              </w:rPr>
            </w:pPr>
          </w:p>
        </w:tc>
        <w:tc>
          <w:tcPr>
            <w:tcW w:w="1275"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rPr>
                <w:rFonts w:ascii="宋体" w:hAnsi="宋体"/>
                <w:color w:val="000000"/>
                <w:sz w:val="18"/>
                <w:szCs w:val="18"/>
              </w:rPr>
            </w:pPr>
          </w:p>
        </w:tc>
        <w:tc>
          <w:tcPr>
            <w:tcW w:w="2410"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rPr>
                <w:rFonts w:ascii="宋体" w:hAnsi="宋体"/>
                <w:color w:val="000000"/>
                <w:sz w:val="18"/>
                <w:szCs w:val="18"/>
              </w:rPr>
            </w:pPr>
          </w:p>
        </w:tc>
        <w:tc>
          <w:tcPr>
            <w:tcW w:w="1701"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rPr>
                <w:rFonts w:ascii="宋体" w:hAnsi="宋体"/>
                <w:color w:val="000000"/>
                <w:sz w:val="18"/>
                <w:szCs w:val="18"/>
              </w:rPr>
            </w:pPr>
          </w:p>
        </w:tc>
        <w:tc>
          <w:tcPr>
            <w:tcW w:w="573"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center"/>
              <w:rPr>
                <w:rFonts w:ascii="宋体" w:hAnsi="宋体"/>
                <w:color w:val="000000"/>
                <w:sz w:val="18"/>
                <w:szCs w:val="18"/>
              </w:rPr>
            </w:pPr>
          </w:p>
        </w:tc>
        <w:tc>
          <w:tcPr>
            <w:tcW w:w="709"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right"/>
              <w:rPr>
                <w:rFonts w:ascii="宋体" w:hAnsi="宋体"/>
                <w:color w:val="000000"/>
                <w:sz w:val="18"/>
                <w:szCs w:val="18"/>
              </w:rPr>
            </w:pPr>
          </w:p>
        </w:tc>
        <w:tc>
          <w:tcPr>
            <w:tcW w:w="709"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right"/>
              <w:rPr>
                <w:rFonts w:ascii="宋体" w:hAnsi="宋体"/>
                <w:color w:val="000000"/>
                <w:sz w:val="18"/>
                <w:szCs w:val="18"/>
              </w:rPr>
            </w:pPr>
            <w:r>
              <w:rPr>
                <w:rFonts w:ascii="Calibri" w:hAnsi="宋体"/>
                <w:color w:val="000000"/>
                <w:sz w:val="18"/>
                <w:szCs w:val="18"/>
              </w:rPr>
              <w:t xml:space="preserve"> </w:t>
            </w:r>
          </w:p>
        </w:tc>
        <w:tc>
          <w:tcPr>
            <w:tcW w:w="1110"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right"/>
              <w:rPr>
                <w:rFonts w:ascii="宋体" w:hAnsi="宋体"/>
                <w:color w:val="000000"/>
                <w:sz w:val="18"/>
                <w:szCs w:val="18"/>
              </w:rPr>
            </w:pPr>
            <w:r>
              <w:rPr>
                <w:rFonts w:ascii="Calibri" w:hAnsi="宋体"/>
                <w:color w:val="000000"/>
                <w:sz w:val="18"/>
                <w:szCs w:val="18"/>
              </w:rPr>
              <w:t xml:space="preserve"> </w:t>
            </w:r>
          </w:p>
        </w:tc>
      </w:tr>
      <w:tr>
        <w:tblPrEx>
          <w:tblCellMar>
            <w:top w:w="0" w:type="dxa"/>
            <w:left w:w="0" w:type="dxa"/>
            <w:bottom w:w="0" w:type="dxa"/>
            <w:right w:w="0" w:type="dxa"/>
          </w:tblCellMar>
        </w:tblPrEx>
        <w:trPr>
          <w:trHeight w:val="454" w:hRule="atLeast"/>
          <w:jc w:val="center"/>
        </w:trPr>
        <w:tc>
          <w:tcPr>
            <w:tcW w:w="737" w:type="dxa"/>
            <w:tcBorders>
              <w:top w:val="nil"/>
              <w:left w:val="single" w:color="auto" w:sz="4" w:space="0"/>
              <w:bottom w:val="single" w:color="auto" w:sz="4" w:space="0"/>
              <w:right w:val="single" w:color="auto" w:sz="4" w:space="0"/>
            </w:tcBorders>
            <w:shd w:val="clear" w:color="000000" w:fill="FFFFFF"/>
            <w:tcMar>
              <w:left w:w="15" w:type="dxa"/>
              <w:right w:w="15" w:type="dxa"/>
            </w:tcMar>
            <w:vAlign w:val="center"/>
          </w:tcPr>
          <w:p>
            <w:pPr>
              <w:wordWrap w:val="0"/>
              <w:jc w:val="center"/>
              <w:rPr>
                <w:rFonts w:ascii="宋体" w:hAnsi="宋体"/>
                <w:color w:val="000000"/>
                <w:sz w:val="18"/>
                <w:szCs w:val="18"/>
              </w:rPr>
            </w:pPr>
          </w:p>
        </w:tc>
        <w:tc>
          <w:tcPr>
            <w:tcW w:w="1275"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rPr>
                <w:rFonts w:ascii="宋体" w:hAnsi="宋体"/>
                <w:color w:val="000000"/>
                <w:sz w:val="18"/>
                <w:szCs w:val="18"/>
              </w:rPr>
            </w:pPr>
          </w:p>
        </w:tc>
        <w:tc>
          <w:tcPr>
            <w:tcW w:w="2410"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rPr>
                <w:rFonts w:ascii="宋体" w:hAnsi="宋体"/>
                <w:color w:val="000000"/>
                <w:sz w:val="18"/>
                <w:szCs w:val="18"/>
              </w:rPr>
            </w:pPr>
          </w:p>
        </w:tc>
        <w:tc>
          <w:tcPr>
            <w:tcW w:w="1701"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rPr>
                <w:rFonts w:ascii="宋体" w:hAnsi="宋体"/>
                <w:color w:val="000000"/>
                <w:sz w:val="18"/>
                <w:szCs w:val="18"/>
              </w:rPr>
            </w:pPr>
          </w:p>
        </w:tc>
        <w:tc>
          <w:tcPr>
            <w:tcW w:w="573"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center"/>
              <w:rPr>
                <w:rFonts w:ascii="宋体" w:hAnsi="宋体"/>
                <w:color w:val="000000"/>
                <w:sz w:val="18"/>
                <w:szCs w:val="18"/>
              </w:rPr>
            </w:pPr>
          </w:p>
        </w:tc>
        <w:tc>
          <w:tcPr>
            <w:tcW w:w="709"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right"/>
              <w:rPr>
                <w:rFonts w:ascii="宋体" w:hAnsi="宋体"/>
                <w:color w:val="000000"/>
                <w:sz w:val="18"/>
                <w:szCs w:val="18"/>
              </w:rPr>
            </w:pPr>
          </w:p>
        </w:tc>
        <w:tc>
          <w:tcPr>
            <w:tcW w:w="709"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right"/>
              <w:rPr>
                <w:rFonts w:ascii="宋体" w:hAnsi="宋体"/>
                <w:color w:val="000000"/>
                <w:sz w:val="18"/>
                <w:szCs w:val="18"/>
              </w:rPr>
            </w:pPr>
            <w:r>
              <w:rPr>
                <w:rFonts w:ascii="Calibri" w:hAnsi="宋体"/>
                <w:color w:val="000000"/>
                <w:sz w:val="18"/>
                <w:szCs w:val="18"/>
              </w:rPr>
              <w:t xml:space="preserve"> </w:t>
            </w:r>
          </w:p>
        </w:tc>
        <w:tc>
          <w:tcPr>
            <w:tcW w:w="1110"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right"/>
              <w:rPr>
                <w:rFonts w:ascii="宋体" w:hAnsi="宋体"/>
                <w:color w:val="000000"/>
                <w:sz w:val="18"/>
                <w:szCs w:val="18"/>
              </w:rPr>
            </w:pPr>
            <w:r>
              <w:rPr>
                <w:rFonts w:ascii="Calibri" w:hAnsi="宋体"/>
                <w:color w:val="000000"/>
                <w:sz w:val="18"/>
                <w:szCs w:val="18"/>
              </w:rPr>
              <w:t xml:space="preserve"> </w:t>
            </w:r>
          </w:p>
        </w:tc>
      </w:tr>
      <w:tr>
        <w:tblPrEx>
          <w:tblCellMar>
            <w:top w:w="0" w:type="dxa"/>
            <w:left w:w="0" w:type="dxa"/>
            <w:bottom w:w="0" w:type="dxa"/>
            <w:right w:w="0" w:type="dxa"/>
          </w:tblCellMar>
        </w:tblPrEx>
        <w:trPr>
          <w:trHeight w:val="454" w:hRule="atLeast"/>
          <w:jc w:val="center"/>
        </w:trPr>
        <w:tc>
          <w:tcPr>
            <w:tcW w:w="737" w:type="dxa"/>
            <w:tcBorders>
              <w:top w:val="nil"/>
              <w:left w:val="single" w:color="auto" w:sz="4" w:space="0"/>
              <w:bottom w:val="single" w:color="auto" w:sz="4" w:space="0"/>
              <w:right w:val="single" w:color="auto" w:sz="4" w:space="0"/>
            </w:tcBorders>
            <w:shd w:val="clear" w:color="000000" w:fill="FFFFFF"/>
            <w:tcMar>
              <w:left w:w="15" w:type="dxa"/>
              <w:right w:w="15" w:type="dxa"/>
            </w:tcMar>
            <w:vAlign w:val="center"/>
          </w:tcPr>
          <w:p>
            <w:pPr>
              <w:wordWrap w:val="0"/>
              <w:jc w:val="center"/>
              <w:rPr>
                <w:rFonts w:ascii="宋体" w:hAnsi="宋体"/>
                <w:color w:val="000000"/>
                <w:sz w:val="18"/>
                <w:szCs w:val="18"/>
              </w:rPr>
            </w:pPr>
          </w:p>
        </w:tc>
        <w:tc>
          <w:tcPr>
            <w:tcW w:w="1275"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rPr>
                <w:rFonts w:ascii="宋体" w:hAnsi="宋体"/>
                <w:color w:val="000000"/>
                <w:sz w:val="18"/>
                <w:szCs w:val="18"/>
              </w:rPr>
            </w:pPr>
          </w:p>
        </w:tc>
        <w:tc>
          <w:tcPr>
            <w:tcW w:w="2410"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rPr>
                <w:rFonts w:ascii="宋体" w:hAnsi="宋体"/>
                <w:color w:val="000000"/>
                <w:sz w:val="18"/>
                <w:szCs w:val="18"/>
              </w:rPr>
            </w:pPr>
          </w:p>
        </w:tc>
        <w:tc>
          <w:tcPr>
            <w:tcW w:w="1701"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rPr>
                <w:rFonts w:ascii="宋体" w:hAnsi="宋体"/>
                <w:color w:val="000000"/>
                <w:sz w:val="18"/>
                <w:szCs w:val="18"/>
              </w:rPr>
            </w:pPr>
          </w:p>
        </w:tc>
        <w:tc>
          <w:tcPr>
            <w:tcW w:w="573"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center"/>
              <w:rPr>
                <w:rFonts w:ascii="宋体" w:hAnsi="宋体"/>
                <w:color w:val="000000"/>
                <w:sz w:val="18"/>
                <w:szCs w:val="18"/>
              </w:rPr>
            </w:pPr>
          </w:p>
        </w:tc>
        <w:tc>
          <w:tcPr>
            <w:tcW w:w="709"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right"/>
              <w:rPr>
                <w:rFonts w:ascii="宋体" w:hAnsi="宋体"/>
                <w:color w:val="000000"/>
                <w:sz w:val="18"/>
                <w:szCs w:val="18"/>
              </w:rPr>
            </w:pPr>
          </w:p>
        </w:tc>
        <w:tc>
          <w:tcPr>
            <w:tcW w:w="709"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right"/>
              <w:rPr>
                <w:rFonts w:ascii="宋体" w:hAnsi="宋体"/>
                <w:color w:val="000000"/>
                <w:sz w:val="18"/>
                <w:szCs w:val="18"/>
              </w:rPr>
            </w:pPr>
            <w:r>
              <w:rPr>
                <w:rFonts w:ascii="Calibri" w:hAnsi="宋体"/>
                <w:color w:val="000000"/>
                <w:sz w:val="18"/>
                <w:szCs w:val="18"/>
              </w:rPr>
              <w:t xml:space="preserve"> </w:t>
            </w:r>
          </w:p>
        </w:tc>
        <w:tc>
          <w:tcPr>
            <w:tcW w:w="1110"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right"/>
              <w:rPr>
                <w:rFonts w:ascii="宋体" w:hAnsi="宋体"/>
                <w:color w:val="000000"/>
                <w:sz w:val="18"/>
                <w:szCs w:val="18"/>
              </w:rPr>
            </w:pPr>
            <w:r>
              <w:rPr>
                <w:rFonts w:ascii="Calibri" w:hAnsi="宋体"/>
                <w:color w:val="000000"/>
                <w:sz w:val="18"/>
                <w:szCs w:val="18"/>
              </w:rPr>
              <w:t xml:space="preserve"> </w:t>
            </w:r>
          </w:p>
        </w:tc>
      </w:tr>
      <w:tr>
        <w:tblPrEx>
          <w:tblCellMar>
            <w:top w:w="0" w:type="dxa"/>
            <w:left w:w="0" w:type="dxa"/>
            <w:bottom w:w="0" w:type="dxa"/>
            <w:right w:w="0" w:type="dxa"/>
          </w:tblCellMar>
        </w:tblPrEx>
        <w:trPr>
          <w:trHeight w:val="454" w:hRule="atLeast"/>
          <w:jc w:val="center"/>
        </w:trPr>
        <w:tc>
          <w:tcPr>
            <w:tcW w:w="737" w:type="dxa"/>
            <w:tcBorders>
              <w:top w:val="nil"/>
              <w:left w:val="single" w:color="auto" w:sz="4" w:space="0"/>
              <w:bottom w:val="single" w:color="auto" w:sz="4" w:space="0"/>
              <w:right w:val="single" w:color="auto" w:sz="4" w:space="0"/>
            </w:tcBorders>
            <w:shd w:val="clear" w:color="000000" w:fill="auto"/>
            <w:tcMar>
              <w:left w:w="15" w:type="dxa"/>
              <w:right w:w="15" w:type="dxa"/>
            </w:tcMar>
            <w:vAlign w:val="center"/>
          </w:tcPr>
          <w:p>
            <w:pPr>
              <w:wordWrap w:val="0"/>
              <w:rPr>
                <w:rFonts w:ascii="宋体" w:hAnsi="宋体"/>
                <w:color w:val="000000"/>
                <w:sz w:val="20"/>
                <w:szCs w:val="20"/>
              </w:rPr>
            </w:pPr>
            <w:r>
              <w:rPr>
                <w:rFonts w:ascii="Calibri" w:hAnsi="宋体"/>
                <w:color w:val="000000"/>
                <w:sz w:val="20"/>
                <w:szCs w:val="20"/>
              </w:rPr>
              <w:t>　</w:t>
            </w:r>
          </w:p>
        </w:tc>
        <w:tc>
          <w:tcPr>
            <w:tcW w:w="1275" w:type="dxa"/>
            <w:tcBorders>
              <w:top w:val="nil"/>
              <w:left w:val="nil"/>
              <w:bottom w:val="single" w:color="auto" w:sz="4" w:space="0"/>
              <w:right w:val="single" w:color="auto" w:sz="4" w:space="0"/>
            </w:tcBorders>
            <w:shd w:val="clear" w:color="000000" w:fill="auto"/>
            <w:tcMar>
              <w:left w:w="15" w:type="dxa"/>
              <w:right w:w="15" w:type="dxa"/>
            </w:tcMar>
            <w:vAlign w:val="center"/>
          </w:tcPr>
          <w:p>
            <w:pPr>
              <w:wordWrap w:val="0"/>
              <w:rPr>
                <w:rFonts w:ascii="宋体" w:hAnsi="宋体"/>
                <w:color w:val="000000"/>
                <w:sz w:val="20"/>
                <w:szCs w:val="20"/>
              </w:rPr>
            </w:pPr>
            <w:r>
              <w:rPr>
                <w:rFonts w:ascii="Calibri" w:hAnsi="宋体"/>
                <w:color w:val="000000"/>
                <w:sz w:val="20"/>
                <w:szCs w:val="20"/>
              </w:rPr>
              <w:t>　</w:t>
            </w:r>
          </w:p>
        </w:tc>
        <w:tc>
          <w:tcPr>
            <w:tcW w:w="2410" w:type="dxa"/>
            <w:tcBorders>
              <w:top w:val="nil"/>
              <w:left w:val="nil"/>
              <w:bottom w:val="single" w:color="auto" w:sz="4" w:space="0"/>
              <w:right w:val="single" w:color="auto" w:sz="4" w:space="0"/>
            </w:tcBorders>
            <w:shd w:val="clear" w:color="000000" w:fill="auto"/>
            <w:tcMar>
              <w:left w:w="15" w:type="dxa"/>
              <w:right w:w="15" w:type="dxa"/>
            </w:tcMar>
            <w:vAlign w:val="center"/>
          </w:tcPr>
          <w:p>
            <w:pPr>
              <w:wordWrap w:val="0"/>
              <w:rPr>
                <w:rFonts w:ascii="宋体" w:hAnsi="宋体"/>
                <w:color w:val="000000"/>
                <w:sz w:val="20"/>
                <w:szCs w:val="20"/>
              </w:rPr>
            </w:pPr>
            <w:r>
              <w:rPr>
                <w:rFonts w:ascii="Calibri" w:hAnsi="宋体"/>
                <w:color w:val="000000"/>
                <w:sz w:val="20"/>
                <w:szCs w:val="20"/>
              </w:rPr>
              <w:t>　</w:t>
            </w:r>
          </w:p>
        </w:tc>
        <w:tc>
          <w:tcPr>
            <w:tcW w:w="1701" w:type="dxa"/>
            <w:tcBorders>
              <w:top w:val="nil"/>
              <w:left w:val="nil"/>
              <w:bottom w:val="single" w:color="auto" w:sz="4" w:space="0"/>
              <w:right w:val="single" w:color="auto" w:sz="4" w:space="0"/>
            </w:tcBorders>
            <w:shd w:val="clear" w:color="000000" w:fill="auto"/>
            <w:tcMar>
              <w:left w:w="15" w:type="dxa"/>
              <w:right w:w="15" w:type="dxa"/>
            </w:tcMar>
            <w:vAlign w:val="center"/>
          </w:tcPr>
          <w:p>
            <w:pPr>
              <w:wordWrap w:val="0"/>
              <w:rPr>
                <w:rFonts w:ascii="宋体" w:hAnsi="宋体"/>
                <w:color w:val="000000"/>
                <w:sz w:val="20"/>
                <w:szCs w:val="20"/>
              </w:rPr>
            </w:pPr>
            <w:r>
              <w:rPr>
                <w:rFonts w:ascii="Calibri" w:hAnsi="宋体"/>
                <w:color w:val="000000"/>
                <w:sz w:val="20"/>
                <w:szCs w:val="20"/>
              </w:rPr>
              <w:t>　</w:t>
            </w:r>
          </w:p>
        </w:tc>
        <w:tc>
          <w:tcPr>
            <w:tcW w:w="573" w:type="dxa"/>
            <w:tcBorders>
              <w:top w:val="nil"/>
              <w:left w:val="nil"/>
              <w:bottom w:val="single" w:color="auto" w:sz="4" w:space="0"/>
              <w:right w:val="single" w:color="auto" w:sz="4" w:space="0"/>
            </w:tcBorders>
            <w:shd w:val="clear" w:color="000000" w:fill="auto"/>
            <w:tcMar>
              <w:left w:w="15" w:type="dxa"/>
              <w:right w:w="15" w:type="dxa"/>
            </w:tcMar>
            <w:vAlign w:val="center"/>
          </w:tcPr>
          <w:p>
            <w:pPr>
              <w:wordWrap w:val="0"/>
              <w:rPr>
                <w:rFonts w:ascii="宋体" w:hAnsi="宋体"/>
                <w:color w:val="000000"/>
                <w:sz w:val="20"/>
                <w:szCs w:val="20"/>
              </w:rPr>
            </w:pPr>
            <w:r>
              <w:rPr>
                <w:rFonts w:ascii="Calibri" w:hAnsi="宋体"/>
                <w:color w:val="000000"/>
                <w:sz w:val="20"/>
                <w:szCs w:val="20"/>
              </w:rPr>
              <w:t>　</w:t>
            </w:r>
          </w:p>
        </w:tc>
        <w:tc>
          <w:tcPr>
            <w:tcW w:w="709" w:type="dxa"/>
            <w:tcBorders>
              <w:top w:val="nil"/>
              <w:left w:val="nil"/>
              <w:bottom w:val="single" w:color="auto" w:sz="4" w:space="0"/>
              <w:right w:val="single" w:color="auto" w:sz="4" w:space="0"/>
            </w:tcBorders>
            <w:shd w:val="clear" w:color="000000" w:fill="auto"/>
            <w:tcMar>
              <w:left w:w="15" w:type="dxa"/>
              <w:right w:w="15" w:type="dxa"/>
            </w:tcMar>
            <w:vAlign w:val="center"/>
          </w:tcPr>
          <w:p>
            <w:pPr>
              <w:wordWrap w:val="0"/>
              <w:rPr>
                <w:rFonts w:ascii="宋体" w:hAnsi="宋体"/>
                <w:color w:val="000000"/>
                <w:sz w:val="20"/>
                <w:szCs w:val="20"/>
              </w:rPr>
            </w:pPr>
            <w:r>
              <w:rPr>
                <w:rFonts w:ascii="Calibri" w:hAnsi="宋体"/>
                <w:color w:val="000000"/>
                <w:sz w:val="20"/>
                <w:szCs w:val="20"/>
              </w:rPr>
              <w:t>　</w:t>
            </w:r>
          </w:p>
        </w:tc>
        <w:tc>
          <w:tcPr>
            <w:tcW w:w="709" w:type="dxa"/>
            <w:tcBorders>
              <w:top w:val="nil"/>
              <w:left w:val="nil"/>
              <w:bottom w:val="single" w:color="auto" w:sz="4" w:space="0"/>
              <w:right w:val="single" w:color="auto" w:sz="4" w:space="0"/>
            </w:tcBorders>
            <w:shd w:val="clear" w:color="000000" w:fill="auto"/>
            <w:tcMar>
              <w:left w:w="15" w:type="dxa"/>
              <w:right w:w="15" w:type="dxa"/>
            </w:tcMar>
            <w:vAlign w:val="center"/>
          </w:tcPr>
          <w:p>
            <w:pPr>
              <w:wordWrap w:val="0"/>
              <w:rPr>
                <w:rFonts w:ascii="宋体" w:hAnsi="宋体"/>
                <w:color w:val="000000"/>
                <w:sz w:val="20"/>
                <w:szCs w:val="20"/>
              </w:rPr>
            </w:pPr>
            <w:r>
              <w:rPr>
                <w:rFonts w:ascii="Calibri" w:hAnsi="宋体"/>
                <w:color w:val="000000"/>
                <w:sz w:val="20"/>
                <w:szCs w:val="20"/>
              </w:rPr>
              <w:t>　</w:t>
            </w:r>
          </w:p>
        </w:tc>
        <w:tc>
          <w:tcPr>
            <w:tcW w:w="1110" w:type="dxa"/>
            <w:tcBorders>
              <w:top w:val="nil"/>
              <w:left w:val="nil"/>
              <w:bottom w:val="single" w:color="auto" w:sz="4" w:space="0"/>
              <w:right w:val="single" w:color="auto" w:sz="4" w:space="0"/>
            </w:tcBorders>
            <w:shd w:val="clear" w:color="000000" w:fill="auto"/>
            <w:tcMar>
              <w:left w:w="15" w:type="dxa"/>
              <w:right w:w="15" w:type="dxa"/>
            </w:tcMar>
            <w:vAlign w:val="center"/>
          </w:tcPr>
          <w:p>
            <w:pPr>
              <w:wordWrap w:val="0"/>
              <w:rPr>
                <w:rFonts w:ascii="宋体" w:hAnsi="宋体"/>
                <w:color w:val="000000"/>
                <w:sz w:val="20"/>
                <w:szCs w:val="20"/>
              </w:rPr>
            </w:pPr>
            <w:r>
              <w:rPr>
                <w:rFonts w:ascii="Calibri" w:hAnsi="宋体"/>
                <w:color w:val="000000"/>
                <w:sz w:val="20"/>
                <w:szCs w:val="20"/>
              </w:rPr>
              <w:t>　</w:t>
            </w:r>
          </w:p>
        </w:tc>
      </w:tr>
      <w:tr>
        <w:tblPrEx>
          <w:tblCellMar>
            <w:top w:w="0" w:type="dxa"/>
            <w:left w:w="0" w:type="dxa"/>
            <w:bottom w:w="0" w:type="dxa"/>
            <w:right w:w="0" w:type="dxa"/>
          </w:tblCellMar>
        </w:tblPrEx>
        <w:trPr>
          <w:trHeight w:val="379" w:hRule="atLeast"/>
          <w:jc w:val="center"/>
        </w:trPr>
        <w:tc>
          <w:tcPr>
            <w:tcW w:w="8114" w:type="dxa"/>
            <w:gridSpan w:val="7"/>
            <w:tcBorders>
              <w:top w:val="single" w:color="auto" w:sz="4" w:space="0"/>
              <w:left w:val="single" w:color="auto" w:sz="4" w:space="0"/>
              <w:bottom w:val="single" w:color="auto" w:sz="4" w:space="0"/>
              <w:right w:val="single" w:color="000000" w:sz="4" w:space="0"/>
            </w:tcBorders>
            <w:shd w:val="clear" w:color="000000" w:fill="auto"/>
            <w:tcMar>
              <w:left w:w="15" w:type="dxa"/>
              <w:right w:w="15" w:type="dxa"/>
            </w:tcMar>
            <w:vAlign w:val="center"/>
          </w:tcPr>
          <w:p>
            <w:pPr>
              <w:wordWrap w:val="0"/>
              <w:jc w:val="center"/>
              <w:rPr>
                <w:rFonts w:ascii="宋体" w:hAnsi="宋体"/>
                <w:color w:val="000000"/>
                <w:sz w:val="20"/>
                <w:szCs w:val="20"/>
              </w:rPr>
            </w:pPr>
            <w:r>
              <w:rPr>
                <w:rFonts w:ascii="Calibri" w:hAnsi="宋体"/>
                <w:color w:val="000000"/>
                <w:sz w:val="20"/>
                <w:szCs w:val="20"/>
              </w:rPr>
              <w:t>本页小计</w:t>
            </w:r>
          </w:p>
        </w:tc>
        <w:tc>
          <w:tcPr>
            <w:tcW w:w="1110" w:type="dxa"/>
            <w:tcBorders>
              <w:top w:val="nil"/>
              <w:left w:val="nil"/>
              <w:bottom w:val="single" w:color="auto" w:sz="4" w:space="0"/>
              <w:right w:val="single" w:color="auto" w:sz="4" w:space="0"/>
            </w:tcBorders>
            <w:shd w:val="clear" w:color="000000" w:fill="auto"/>
            <w:tcMar>
              <w:left w:w="15" w:type="dxa"/>
              <w:right w:w="15" w:type="dxa"/>
            </w:tcMar>
            <w:vAlign w:val="center"/>
          </w:tcPr>
          <w:p>
            <w:pPr>
              <w:wordWrap w:val="0"/>
              <w:jc w:val="right"/>
              <w:rPr>
                <w:rFonts w:ascii="宋体" w:hAnsi="宋体"/>
                <w:color w:val="000000"/>
                <w:sz w:val="20"/>
                <w:szCs w:val="20"/>
              </w:rPr>
            </w:pPr>
            <w:r>
              <w:rPr>
                <w:rFonts w:ascii="Calibri" w:hAnsi="宋体"/>
                <w:color w:val="000000"/>
                <w:sz w:val="20"/>
                <w:szCs w:val="20"/>
              </w:rPr>
              <w:t>　</w:t>
            </w:r>
          </w:p>
        </w:tc>
      </w:tr>
      <w:tr>
        <w:tblPrEx>
          <w:tblCellMar>
            <w:top w:w="0" w:type="dxa"/>
            <w:left w:w="0" w:type="dxa"/>
            <w:bottom w:w="0" w:type="dxa"/>
            <w:right w:w="0" w:type="dxa"/>
          </w:tblCellMar>
        </w:tblPrEx>
        <w:trPr>
          <w:trHeight w:val="379" w:hRule="atLeast"/>
          <w:jc w:val="center"/>
        </w:trPr>
        <w:tc>
          <w:tcPr>
            <w:tcW w:w="8114" w:type="dxa"/>
            <w:gridSpan w:val="7"/>
            <w:tcBorders>
              <w:top w:val="single" w:color="auto" w:sz="4" w:space="0"/>
              <w:left w:val="single" w:color="auto" w:sz="4" w:space="0"/>
              <w:bottom w:val="single" w:color="auto" w:sz="4" w:space="0"/>
              <w:right w:val="single" w:color="000000" w:sz="4" w:space="0"/>
            </w:tcBorders>
            <w:shd w:val="clear" w:color="000000" w:fill="FFFFFF"/>
            <w:tcMar>
              <w:left w:w="15" w:type="dxa"/>
              <w:right w:w="15" w:type="dxa"/>
            </w:tcMar>
            <w:vAlign w:val="center"/>
          </w:tcPr>
          <w:p>
            <w:pPr>
              <w:wordWrap w:val="0"/>
              <w:jc w:val="center"/>
              <w:rPr>
                <w:rFonts w:ascii="宋体" w:hAnsi="宋体"/>
                <w:color w:val="000000"/>
                <w:sz w:val="18"/>
                <w:szCs w:val="18"/>
              </w:rPr>
            </w:pPr>
            <w:r>
              <w:rPr>
                <w:rFonts w:ascii="Calibri" w:hAnsi="宋体"/>
                <w:color w:val="000000"/>
                <w:sz w:val="18"/>
                <w:szCs w:val="18"/>
              </w:rPr>
              <w:t xml:space="preserve">   合  计</w:t>
            </w:r>
          </w:p>
        </w:tc>
        <w:tc>
          <w:tcPr>
            <w:tcW w:w="1110" w:type="dxa"/>
            <w:tcBorders>
              <w:top w:val="nil"/>
              <w:left w:val="nil"/>
              <w:bottom w:val="single" w:color="auto" w:sz="4" w:space="0"/>
              <w:right w:val="single" w:color="auto" w:sz="4" w:space="0"/>
            </w:tcBorders>
            <w:shd w:val="clear" w:color="000000" w:fill="auto"/>
            <w:tcMar>
              <w:left w:w="15" w:type="dxa"/>
              <w:right w:w="15" w:type="dxa"/>
            </w:tcMar>
            <w:vAlign w:val="center"/>
          </w:tcPr>
          <w:p>
            <w:pPr>
              <w:wordWrap w:val="0"/>
              <w:rPr>
                <w:rFonts w:ascii="宋体" w:hAnsi="宋体"/>
                <w:color w:val="000000"/>
                <w:sz w:val="20"/>
                <w:szCs w:val="20"/>
              </w:rPr>
            </w:pPr>
            <w:r>
              <w:rPr>
                <w:rFonts w:ascii="Calibri" w:hAnsi="宋体"/>
                <w:color w:val="000000"/>
                <w:sz w:val="20"/>
                <w:szCs w:val="20"/>
              </w:rPr>
              <w:t>　</w:t>
            </w:r>
          </w:p>
        </w:tc>
      </w:tr>
      <w:bookmarkEnd w:id="38"/>
      <w:bookmarkEnd w:id="39"/>
      <w:bookmarkEnd w:id="40"/>
      <w:bookmarkEnd w:id="41"/>
      <w:bookmarkEnd w:id="42"/>
      <w:bookmarkEnd w:id="43"/>
      <w:bookmarkEnd w:id="44"/>
    </w:tbl>
    <w:p>
      <w:pPr>
        <w:rPr>
          <w:sz w:val="24"/>
        </w:rPr>
      </w:pPr>
    </w:p>
    <w:p>
      <w:pPr>
        <w:jc w:val="center"/>
        <w:rPr>
          <w:color w:val="FF0000"/>
        </w:rPr>
      </w:pPr>
    </w:p>
    <w:p>
      <w:pPr>
        <w:jc w:val="center"/>
        <w:rPr>
          <w:color w:val="FF0000"/>
        </w:rPr>
      </w:pPr>
    </w:p>
    <w:p>
      <w:pPr>
        <w:jc w:val="center"/>
        <w:rPr>
          <w:color w:val="FF0000"/>
        </w:rPr>
      </w:pPr>
    </w:p>
    <w:p>
      <w:pPr>
        <w:pStyle w:val="3"/>
        <w:jc w:val="center"/>
        <w:rPr>
          <w:rFonts w:ascii="黑体" w:eastAsia="黑体"/>
          <w:b w:val="0"/>
          <w:kern w:val="0"/>
          <w:sz w:val="24"/>
        </w:rPr>
      </w:pPr>
      <w:r>
        <w:rPr>
          <w:rFonts w:hint="eastAsia" w:ascii="黑体" w:eastAsia="黑体"/>
          <w:b w:val="0"/>
          <w:kern w:val="0"/>
          <w:sz w:val="24"/>
        </w:rPr>
        <w:t>三</w:t>
      </w:r>
      <w:r>
        <w:rPr>
          <w:rFonts w:ascii="黑体" w:eastAsia="黑体"/>
          <w:b w:val="0"/>
          <w:kern w:val="0"/>
          <w:sz w:val="24"/>
        </w:rPr>
        <w:t>、</w:t>
      </w:r>
      <w:r>
        <w:rPr>
          <w:rFonts w:hint="eastAsia" w:ascii="黑体" w:eastAsia="黑体"/>
          <w:b w:val="0"/>
          <w:kern w:val="0"/>
          <w:sz w:val="24"/>
        </w:rPr>
        <w:t>拟采用</w:t>
      </w:r>
      <w:r>
        <w:rPr>
          <w:rFonts w:ascii="黑体" w:eastAsia="黑体"/>
          <w:b w:val="0"/>
          <w:kern w:val="0"/>
          <w:sz w:val="24"/>
        </w:rPr>
        <w:t>材料品牌型号</w:t>
      </w:r>
      <w:r>
        <w:rPr>
          <w:rFonts w:hint="eastAsia" w:ascii="黑体" w:eastAsia="黑体"/>
          <w:b w:val="0"/>
          <w:kern w:val="0"/>
          <w:sz w:val="24"/>
        </w:rPr>
        <w:t>表</w:t>
      </w:r>
    </w:p>
    <w:p>
      <w:pPr>
        <w:autoSpaceDE w:val="0"/>
        <w:autoSpaceDN w:val="0"/>
        <w:adjustRightInd w:val="0"/>
        <w:jc w:val="center"/>
        <w:rPr>
          <w:rFonts w:ascii="华文新魏" w:hAnsi="MS Sans Serif" w:eastAsia="华文新魏" w:cstheme="minorBidi"/>
          <w:b/>
          <w:bCs/>
          <w:kern w:val="0"/>
          <w:sz w:val="48"/>
          <w:szCs w:val="46"/>
        </w:rPr>
      </w:pPr>
    </w:p>
    <w:p>
      <w:pPr>
        <w:autoSpaceDE w:val="0"/>
        <w:autoSpaceDN w:val="0"/>
        <w:adjustRightInd w:val="0"/>
        <w:jc w:val="center"/>
        <w:rPr>
          <w:rFonts w:ascii="华文新魏" w:hAnsi="MS Sans Serif" w:eastAsia="华文新魏"/>
          <w:b/>
          <w:bCs/>
          <w:kern w:val="0"/>
          <w:sz w:val="48"/>
          <w:szCs w:val="46"/>
        </w:rPr>
      </w:pPr>
      <w:r>
        <w:rPr>
          <w:rFonts w:hint="eastAsia" w:ascii="华文新魏" w:hAnsi="MS Sans Serif" w:eastAsia="华文新魏"/>
          <w:b/>
          <w:bCs/>
          <w:kern w:val="0"/>
          <w:sz w:val="48"/>
          <w:szCs w:val="46"/>
        </w:rPr>
        <w:t>拟采用</w:t>
      </w:r>
      <w:r>
        <w:rPr>
          <w:rFonts w:ascii="华文新魏" w:hAnsi="MS Sans Serif" w:eastAsia="华文新魏"/>
          <w:b/>
          <w:bCs/>
          <w:kern w:val="0"/>
          <w:sz w:val="48"/>
          <w:szCs w:val="46"/>
        </w:rPr>
        <w:t>材料品牌型号</w:t>
      </w:r>
      <w:r>
        <w:rPr>
          <w:rFonts w:hint="eastAsia" w:ascii="华文新魏" w:hAnsi="MS Sans Serif" w:eastAsia="华文新魏"/>
          <w:b/>
          <w:bCs/>
          <w:kern w:val="0"/>
          <w:sz w:val="48"/>
          <w:szCs w:val="46"/>
        </w:rPr>
        <w:t>表</w:t>
      </w:r>
    </w:p>
    <w:tbl>
      <w:tblPr>
        <w:tblStyle w:val="55"/>
        <w:tblW w:w="830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0"/>
        <w:gridCol w:w="2403"/>
        <w:gridCol w:w="2405"/>
        <w:gridCol w:w="24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0" w:type="dxa"/>
          </w:tcPr>
          <w:p>
            <w:pPr>
              <w:jc w:val="center"/>
              <w:rPr>
                <w:rFonts w:ascii="宋体" w:hAnsi="宋体" w:cs="宋体"/>
                <w:color w:val="000000"/>
                <w:kern w:val="0"/>
                <w:sz w:val="20"/>
                <w:szCs w:val="20"/>
              </w:rPr>
            </w:pPr>
            <w:r>
              <w:rPr>
                <w:rFonts w:hint="eastAsia" w:ascii="宋体" w:hAnsi="宋体" w:cs="宋体"/>
                <w:color w:val="000000"/>
                <w:kern w:val="0"/>
                <w:sz w:val="20"/>
                <w:szCs w:val="20"/>
              </w:rPr>
              <w:t>序号</w:t>
            </w:r>
          </w:p>
        </w:tc>
        <w:tc>
          <w:tcPr>
            <w:tcW w:w="2403" w:type="dxa"/>
          </w:tcPr>
          <w:p>
            <w:pPr>
              <w:jc w:val="center"/>
              <w:rPr>
                <w:rFonts w:ascii="宋体" w:hAnsi="宋体" w:cs="宋体"/>
                <w:color w:val="000000"/>
                <w:kern w:val="0"/>
                <w:sz w:val="20"/>
                <w:szCs w:val="20"/>
              </w:rPr>
            </w:pPr>
            <w:r>
              <w:rPr>
                <w:rFonts w:hint="eastAsia" w:ascii="宋体" w:hAnsi="宋体" w:cs="宋体"/>
                <w:color w:val="000000"/>
                <w:kern w:val="0"/>
                <w:sz w:val="20"/>
                <w:szCs w:val="20"/>
              </w:rPr>
              <w:t>材料名称</w:t>
            </w:r>
          </w:p>
        </w:tc>
        <w:tc>
          <w:tcPr>
            <w:tcW w:w="2405" w:type="dxa"/>
          </w:tcPr>
          <w:p>
            <w:pPr>
              <w:jc w:val="center"/>
              <w:rPr>
                <w:rFonts w:ascii="宋体" w:hAnsi="宋体" w:cs="宋体"/>
                <w:color w:val="000000"/>
                <w:kern w:val="0"/>
                <w:sz w:val="20"/>
                <w:szCs w:val="20"/>
              </w:rPr>
            </w:pPr>
            <w:r>
              <w:rPr>
                <w:rFonts w:hint="eastAsia" w:ascii="宋体" w:hAnsi="宋体" w:cs="宋体"/>
                <w:color w:val="000000"/>
                <w:kern w:val="0"/>
                <w:sz w:val="20"/>
                <w:szCs w:val="20"/>
              </w:rPr>
              <w:t>品牌、</w:t>
            </w:r>
            <w:r>
              <w:rPr>
                <w:rFonts w:ascii="宋体" w:hAnsi="宋体" w:cs="宋体"/>
                <w:color w:val="000000"/>
                <w:kern w:val="0"/>
                <w:sz w:val="20"/>
                <w:szCs w:val="20"/>
              </w:rPr>
              <w:t>规格、型号</w:t>
            </w:r>
          </w:p>
        </w:tc>
        <w:tc>
          <w:tcPr>
            <w:tcW w:w="2405" w:type="dxa"/>
          </w:tcPr>
          <w:p>
            <w:pPr>
              <w:jc w:val="center"/>
              <w:rPr>
                <w:rFonts w:ascii="宋体" w:hAnsi="宋体" w:cs="宋体"/>
                <w:color w:val="000000"/>
                <w:kern w:val="0"/>
                <w:sz w:val="20"/>
                <w:szCs w:val="20"/>
              </w:rPr>
            </w:pPr>
            <w:r>
              <w:rPr>
                <w:rFonts w:hint="eastAsia" w:ascii="宋体" w:hAnsi="宋体" w:cs="宋体"/>
                <w:color w:val="000000"/>
                <w:kern w:val="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0" w:type="dxa"/>
          </w:tcPr>
          <w:p/>
        </w:tc>
        <w:tc>
          <w:tcPr>
            <w:tcW w:w="2403" w:type="dxa"/>
          </w:tcPr>
          <w:p/>
        </w:tc>
        <w:tc>
          <w:tcPr>
            <w:tcW w:w="2405" w:type="dxa"/>
          </w:tcPr>
          <w:p/>
        </w:tc>
        <w:tc>
          <w:tcPr>
            <w:tcW w:w="2405"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0" w:type="dxa"/>
          </w:tcPr>
          <w:p/>
        </w:tc>
        <w:tc>
          <w:tcPr>
            <w:tcW w:w="2403" w:type="dxa"/>
          </w:tcPr>
          <w:p/>
        </w:tc>
        <w:tc>
          <w:tcPr>
            <w:tcW w:w="2405" w:type="dxa"/>
          </w:tcPr>
          <w:p/>
        </w:tc>
        <w:tc>
          <w:tcPr>
            <w:tcW w:w="2405"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0" w:type="dxa"/>
          </w:tcPr>
          <w:p/>
        </w:tc>
        <w:tc>
          <w:tcPr>
            <w:tcW w:w="2403" w:type="dxa"/>
          </w:tcPr>
          <w:p/>
        </w:tc>
        <w:tc>
          <w:tcPr>
            <w:tcW w:w="2405" w:type="dxa"/>
          </w:tcPr>
          <w:p/>
        </w:tc>
        <w:tc>
          <w:tcPr>
            <w:tcW w:w="2405"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0" w:type="dxa"/>
          </w:tcPr>
          <w:p/>
        </w:tc>
        <w:tc>
          <w:tcPr>
            <w:tcW w:w="2403" w:type="dxa"/>
          </w:tcPr>
          <w:p/>
        </w:tc>
        <w:tc>
          <w:tcPr>
            <w:tcW w:w="2405" w:type="dxa"/>
          </w:tcPr>
          <w:p/>
        </w:tc>
        <w:tc>
          <w:tcPr>
            <w:tcW w:w="2405"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0" w:type="dxa"/>
          </w:tcPr>
          <w:p/>
        </w:tc>
        <w:tc>
          <w:tcPr>
            <w:tcW w:w="2403" w:type="dxa"/>
          </w:tcPr>
          <w:p/>
        </w:tc>
        <w:tc>
          <w:tcPr>
            <w:tcW w:w="2405" w:type="dxa"/>
          </w:tcPr>
          <w:p/>
        </w:tc>
        <w:tc>
          <w:tcPr>
            <w:tcW w:w="2405"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0" w:type="dxa"/>
          </w:tcPr>
          <w:p/>
        </w:tc>
        <w:tc>
          <w:tcPr>
            <w:tcW w:w="2403" w:type="dxa"/>
          </w:tcPr>
          <w:p/>
        </w:tc>
        <w:tc>
          <w:tcPr>
            <w:tcW w:w="2405" w:type="dxa"/>
          </w:tcPr>
          <w:p/>
        </w:tc>
        <w:tc>
          <w:tcPr>
            <w:tcW w:w="2405"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0" w:type="dxa"/>
          </w:tcPr>
          <w:p/>
        </w:tc>
        <w:tc>
          <w:tcPr>
            <w:tcW w:w="2403" w:type="dxa"/>
          </w:tcPr>
          <w:p/>
        </w:tc>
        <w:tc>
          <w:tcPr>
            <w:tcW w:w="2405" w:type="dxa"/>
          </w:tcPr>
          <w:p/>
        </w:tc>
        <w:tc>
          <w:tcPr>
            <w:tcW w:w="2405" w:type="dxa"/>
          </w:tcPr>
          <w:p/>
        </w:tc>
      </w:tr>
    </w:tbl>
    <w:p>
      <w:pPr>
        <w:jc w:val="left"/>
        <w:rPr>
          <w:rFonts w:ascii="Calibri" w:hAnsi="宋体"/>
          <w:color w:val="FF0000"/>
          <w:sz w:val="28"/>
          <w:szCs w:val="30"/>
        </w:rPr>
      </w:pPr>
      <w:r>
        <w:rPr>
          <w:rFonts w:hint="eastAsia" w:ascii="Calibri" w:hAnsi="宋体"/>
          <w:color w:val="FF0000"/>
          <w:sz w:val="28"/>
          <w:szCs w:val="30"/>
        </w:rPr>
        <w:t>备注：分部分项工程量清单与计价表、主要材料参考品牌中</w:t>
      </w:r>
      <w:r>
        <w:rPr>
          <w:rFonts w:ascii="Calibri" w:hAnsi="宋体"/>
          <w:color w:val="FF0000"/>
          <w:sz w:val="28"/>
          <w:szCs w:val="30"/>
        </w:rPr>
        <w:t>出现的材料品牌都</w:t>
      </w:r>
      <w:r>
        <w:rPr>
          <w:rFonts w:hint="eastAsia" w:ascii="Calibri" w:hAnsi="宋体"/>
          <w:color w:val="FF0000"/>
          <w:sz w:val="28"/>
          <w:szCs w:val="30"/>
        </w:rPr>
        <w:t>均为</w:t>
      </w:r>
      <w:r>
        <w:rPr>
          <w:rFonts w:ascii="Calibri" w:hAnsi="宋体"/>
          <w:color w:val="FF0000"/>
          <w:sz w:val="28"/>
          <w:szCs w:val="30"/>
        </w:rPr>
        <w:t>参考品牌，不</w:t>
      </w:r>
      <w:r>
        <w:rPr>
          <w:rFonts w:hint="eastAsia" w:ascii="Calibri" w:hAnsi="宋体"/>
          <w:color w:val="FF0000"/>
          <w:sz w:val="28"/>
          <w:szCs w:val="30"/>
        </w:rPr>
        <w:t>作为</w:t>
      </w:r>
      <w:r>
        <w:rPr>
          <w:rFonts w:ascii="Calibri" w:hAnsi="宋体"/>
          <w:color w:val="FF0000"/>
          <w:sz w:val="28"/>
          <w:szCs w:val="30"/>
        </w:rPr>
        <w:t>对供应商投标采用材料品牌的限制</w:t>
      </w:r>
      <w:r>
        <w:rPr>
          <w:rFonts w:hint="eastAsia" w:ascii="Calibri" w:hAnsi="宋体"/>
          <w:color w:val="FF0000"/>
          <w:sz w:val="28"/>
          <w:szCs w:val="30"/>
        </w:rPr>
        <w:t>，</w:t>
      </w:r>
      <w:r>
        <w:rPr>
          <w:rFonts w:ascii="Calibri" w:hAnsi="宋体"/>
          <w:color w:val="FF0000"/>
          <w:sz w:val="28"/>
          <w:szCs w:val="30"/>
        </w:rPr>
        <w:t>仅作为衡量供应商投标采用材料</w:t>
      </w:r>
      <w:r>
        <w:rPr>
          <w:rFonts w:hint="eastAsia" w:ascii="Calibri" w:hAnsi="宋体"/>
          <w:color w:val="FF0000"/>
          <w:sz w:val="28"/>
          <w:szCs w:val="30"/>
        </w:rPr>
        <w:t>品质是否</w:t>
      </w:r>
      <w:r>
        <w:rPr>
          <w:rFonts w:ascii="Calibri" w:hAnsi="宋体"/>
          <w:color w:val="FF0000"/>
          <w:sz w:val="28"/>
          <w:szCs w:val="30"/>
        </w:rPr>
        <w:t>满足</w:t>
      </w:r>
      <w:r>
        <w:rPr>
          <w:rFonts w:hint="eastAsia" w:ascii="Calibri" w:hAnsi="宋体"/>
          <w:color w:val="FF0000"/>
          <w:sz w:val="28"/>
          <w:szCs w:val="30"/>
        </w:rPr>
        <w:t>采购</w:t>
      </w:r>
      <w:r>
        <w:rPr>
          <w:rFonts w:ascii="Calibri" w:hAnsi="宋体"/>
          <w:color w:val="FF0000"/>
          <w:sz w:val="28"/>
          <w:szCs w:val="30"/>
        </w:rPr>
        <w:t>要求的标准</w:t>
      </w:r>
      <w:r>
        <w:rPr>
          <w:rFonts w:hint="eastAsia" w:ascii="Calibri" w:hAnsi="宋体"/>
          <w:color w:val="FF0000"/>
          <w:sz w:val="28"/>
          <w:szCs w:val="30"/>
        </w:rPr>
        <w:t>，</w:t>
      </w:r>
      <w:r>
        <w:rPr>
          <w:rFonts w:ascii="Calibri" w:hAnsi="宋体"/>
          <w:color w:val="FF0000"/>
          <w:sz w:val="28"/>
          <w:szCs w:val="30"/>
        </w:rPr>
        <w:t>供应商</w:t>
      </w:r>
      <w:r>
        <w:rPr>
          <w:rFonts w:hint="eastAsia" w:ascii="Calibri" w:hAnsi="宋体"/>
          <w:color w:val="FF0000"/>
          <w:sz w:val="28"/>
          <w:szCs w:val="30"/>
        </w:rPr>
        <w:t>拟</w:t>
      </w:r>
      <w:r>
        <w:rPr>
          <w:rFonts w:ascii="Calibri" w:hAnsi="宋体"/>
          <w:color w:val="FF0000"/>
          <w:sz w:val="28"/>
          <w:szCs w:val="30"/>
        </w:rPr>
        <w:t>采用材料</w:t>
      </w:r>
      <w:r>
        <w:rPr>
          <w:rFonts w:hint="eastAsia" w:ascii="Calibri" w:hAnsi="宋体"/>
          <w:color w:val="FF0000"/>
          <w:sz w:val="28"/>
          <w:szCs w:val="30"/>
        </w:rPr>
        <w:t>的</w:t>
      </w:r>
      <w:r>
        <w:rPr>
          <w:rFonts w:ascii="Calibri" w:hAnsi="宋体"/>
          <w:color w:val="FF0000"/>
          <w:sz w:val="28"/>
          <w:szCs w:val="30"/>
        </w:rPr>
        <w:t>品质须</w:t>
      </w:r>
      <w:r>
        <w:rPr>
          <w:rFonts w:hint="eastAsia" w:ascii="Calibri" w:hAnsi="宋体"/>
          <w:color w:val="FF0000"/>
          <w:sz w:val="28"/>
          <w:szCs w:val="30"/>
        </w:rPr>
        <w:t>与</w:t>
      </w:r>
      <w:r>
        <w:rPr>
          <w:rFonts w:ascii="Calibri" w:hAnsi="宋体"/>
          <w:color w:val="FF0000"/>
          <w:sz w:val="28"/>
          <w:szCs w:val="30"/>
        </w:rPr>
        <w:t>招标文件参考品牌相</w:t>
      </w:r>
      <w:r>
        <w:rPr>
          <w:rFonts w:hint="eastAsia" w:ascii="Calibri" w:hAnsi="宋体"/>
          <w:color w:val="FF0000"/>
          <w:sz w:val="28"/>
          <w:szCs w:val="30"/>
        </w:rPr>
        <w:t>当</w:t>
      </w:r>
      <w:r>
        <w:rPr>
          <w:rFonts w:ascii="Calibri" w:hAnsi="宋体"/>
          <w:color w:val="FF0000"/>
          <w:sz w:val="28"/>
          <w:szCs w:val="30"/>
        </w:rPr>
        <w:t>或优于参考品牌。</w:t>
      </w:r>
      <w:r>
        <w:rPr>
          <w:rFonts w:hint="eastAsia" w:ascii="Calibri" w:hAnsi="宋体"/>
          <w:color w:val="FF0000"/>
          <w:sz w:val="28"/>
          <w:szCs w:val="30"/>
        </w:rPr>
        <w:t>供应商</w:t>
      </w:r>
      <w:r>
        <w:rPr>
          <w:rFonts w:ascii="Calibri" w:hAnsi="宋体"/>
          <w:color w:val="FF0000"/>
          <w:sz w:val="28"/>
          <w:szCs w:val="30"/>
        </w:rPr>
        <w:t>投标材料是否满足招标文件要求由评标委员会评定。</w:t>
      </w:r>
    </w:p>
    <w:p>
      <w:pPr>
        <w:jc w:val="left"/>
        <w:rPr>
          <w:rFonts w:ascii="仿宋" w:eastAsia="仿宋"/>
          <w:b/>
          <w:color w:val="FF0000"/>
          <w:sz w:val="30"/>
          <w:szCs w:val="30"/>
        </w:rPr>
      </w:pPr>
      <w:r>
        <w:rPr>
          <w:rFonts w:hint="eastAsia" w:ascii="仿宋" w:eastAsia="仿宋"/>
          <w:b/>
          <w:color w:val="FF0000"/>
          <w:sz w:val="30"/>
          <w:szCs w:val="30"/>
        </w:rPr>
        <w:t>投标</w:t>
      </w:r>
      <w:r>
        <w:rPr>
          <w:rFonts w:ascii="仿宋" w:eastAsia="仿宋"/>
          <w:b/>
          <w:color w:val="FF0000"/>
          <w:sz w:val="30"/>
          <w:szCs w:val="30"/>
        </w:rPr>
        <w:t>人</w:t>
      </w:r>
      <w:r>
        <w:rPr>
          <w:rFonts w:hint="eastAsia" w:ascii="仿宋" w:eastAsia="仿宋"/>
          <w:b/>
          <w:color w:val="FF0000"/>
          <w:sz w:val="30"/>
          <w:szCs w:val="30"/>
        </w:rPr>
        <w:t>提交投标文件时，</w:t>
      </w:r>
      <w:r>
        <w:rPr>
          <w:rFonts w:ascii="仿宋" w:eastAsia="仿宋"/>
          <w:b/>
          <w:color w:val="FF0000"/>
          <w:sz w:val="30"/>
          <w:szCs w:val="30"/>
        </w:rPr>
        <w:t>必须填写此表</w:t>
      </w:r>
      <w:r>
        <w:rPr>
          <w:rFonts w:hint="eastAsia" w:ascii="仿宋" w:eastAsia="仿宋"/>
          <w:b/>
          <w:color w:val="FF0000"/>
          <w:sz w:val="30"/>
          <w:szCs w:val="30"/>
        </w:rPr>
        <w:t>。备注栏</w:t>
      </w:r>
      <w:r>
        <w:rPr>
          <w:rFonts w:ascii="仿宋" w:eastAsia="仿宋"/>
          <w:b/>
          <w:color w:val="FF0000"/>
          <w:sz w:val="30"/>
          <w:szCs w:val="30"/>
        </w:rPr>
        <w:t>可不填写。</w:t>
      </w:r>
    </w:p>
    <w:p>
      <w:pPr>
        <w:rPr>
          <w:rFonts w:asciiTheme="minorHAnsi" w:hAnsiTheme="minorHAnsi" w:eastAsiaTheme="minorEastAsia" w:cstheme="minorBidi"/>
          <w:szCs w:val="22"/>
        </w:rPr>
      </w:pPr>
    </w:p>
    <w:p>
      <w:pPr>
        <w:jc w:val="center"/>
        <w:rPr>
          <w:color w:val="FF0000"/>
        </w:rPr>
      </w:pPr>
    </w:p>
    <w:p>
      <w:pPr>
        <w:jc w:val="center"/>
        <w:rPr>
          <w:color w:val="FF0000"/>
          <w:sz w:val="24"/>
        </w:rPr>
      </w:pPr>
      <w:r>
        <w:rPr>
          <w:rFonts w:hint="eastAsia"/>
          <w:color w:val="FF0000"/>
        </w:rPr>
        <w:t>其余部分投标文件格式由投标人自定</w:t>
      </w:r>
      <w:bookmarkEnd w:id="45"/>
      <w:bookmarkEnd w:id="46"/>
      <w:bookmarkEnd w:id="47"/>
      <w:bookmarkEnd w:id="48"/>
      <w:bookmarkEnd w:id="49"/>
      <w:bookmarkEnd w:id="50"/>
      <w:bookmarkEnd w:id="51"/>
      <w:bookmarkEnd w:id="52"/>
    </w:p>
    <w:p>
      <w:pPr>
        <w:rPr>
          <w:color w:val="FF0000"/>
          <w:sz w:val="24"/>
        </w:rPr>
      </w:pPr>
    </w:p>
    <w:p>
      <w:pPr>
        <w:pStyle w:val="5"/>
        <w:rPr>
          <w:kern w:val="2"/>
        </w:rPr>
      </w:pPr>
      <w:r>
        <w:br w:type="page"/>
      </w:r>
      <w:r>
        <w:rPr>
          <w:rFonts w:hint="eastAsia"/>
          <w:kern w:val="2"/>
        </w:rPr>
        <w:t>第五章  深圳大学采购履约情况反馈表</w:t>
      </w:r>
    </w:p>
    <w:p>
      <w:pPr>
        <w:spacing w:line="240" w:lineRule="atLeast"/>
        <w:rPr>
          <w:rFonts w:ascii="宋体" w:hAnsi="宋体"/>
          <w:b/>
          <w:szCs w:val="21"/>
        </w:rPr>
      </w:pPr>
      <w:r>
        <w:rPr>
          <w:rFonts w:hint="eastAsia" w:ascii="宋体" w:hAnsi="宋体"/>
          <w:b/>
          <w:szCs w:val="21"/>
        </w:rPr>
        <w:t>采购单位名称：                       联系人及电话：</w:t>
      </w:r>
    </w:p>
    <w:p>
      <w:pPr>
        <w:spacing w:line="60" w:lineRule="exact"/>
        <w:rPr>
          <w:rFonts w:ascii="宋体" w:hAnsi="宋体"/>
          <w:b/>
          <w:szCs w:val="21"/>
        </w:rPr>
      </w:pPr>
    </w:p>
    <w:tbl>
      <w:tblPr>
        <w:tblStyle w:val="54"/>
        <w:tblW w:w="8917" w:type="dxa"/>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842"/>
        <w:gridCol w:w="720"/>
        <w:gridCol w:w="720"/>
        <w:gridCol w:w="2520"/>
        <w:gridCol w:w="1980"/>
        <w:gridCol w:w="2135"/>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0" w:hRule="atLeast"/>
          <w:jc w:val="center"/>
        </w:trPr>
        <w:tc>
          <w:tcPr>
            <w:tcW w:w="2282" w:type="dxa"/>
            <w:gridSpan w:val="3"/>
            <w:vAlign w:val="center"/>
          </w:tcPr>
          <w:p>
            <w:pPr>
              <w:spacing w:line="240" w:lineRule="atLeast"/>
              <w:jc w:val="center"/>
              <w:rPr>
                <w:rFonts w:ascii="宋体" w:hAnsi="宋体"/>
                <w:szCs w:val="21"/>
              </w:rPr>
            </w:pPr>
            <w:r>
              <w:rPr>
                <w:rFonts w:hint="eastAsia" w:ascii="宋体" w:hAnsi="宋体"/>
                <w:szCs w:val="21"/>
              </w:rPr>
              <w:t>采购项目名称</w:t>
            </w:r>
          </w:p>
        </w:tc>
        <w:tc>
          <w:tcPr>
            <w:tcW w:w="2520" w:type="dxa"/>
            <w:vAlign w:val="center"/>
          </w:tcPr>
          <w:p>
            <w:pPr>
              <w:spacing w:line="240" w:lineRule="atLeast"/>
              <w:jc w:val="center"/>
              <w:rPr>
                <w:rFonts w:ascii="宋体" w:hAnsi="宋体"/>
                <w:szCs w:val="21"/>
              </w:rPr>
            </w:pPr>
          </w:p>
        </w:tc>
        <w:tc>
          <w:tcPr>
            <w:tcW w:w="1980" w:type="dxa"/>
            <w:vAlign w:val="center"/>
          </w:tcPr>
          <w:p>
            <w:pPr>
              <w:spacing w:line="240" w:lineRule="atLeast"/>
              <w:jc w:val="center"/>
              <w:rPr>
                <w:rFonts w:ascii="宋体" w:hAnsi="宋体"/>
                <w:szCs w:val="21"/>
              </w:rPr>
            </w:pPr>
            <w:r>
              <w:rPr>
                <w:rFonts w:hint="eastAsia" w:ascii="宋体" w:hAnsi="宋体"/>
                <w:szCs w:val="21"/>
              </w:rPr>
              <w:t>项目编号</w:t>
            </w:r>
          </w:p>
        </w:tc>
        <w:tc>
          <w:tcPr>
            <w:tcW w:w="2135" w:type="dxa"/>
            <w:vAlign w:val="center"/>
          </w:tcPr>
          <w:p>
            <w:pPr>
              <w:spacing w:line="240" w:lineRule="atLeast"/>
              <w:jc w:val="center"/>
              <w:rPr>
                <w:rFonts w:ascii="宋体" w:hAnsi="宋体"/>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61" w:hRule="atLeast"/>
          <w:jc w:val="center"/>
        </w:trPr>
        <w:tc>
          <w:tcPr>
            <w:tcW w:w="2282" w:type="dxa"/>
            <w:gridSpan w:val="3"/>
            <w:vAlign w:val="center"/>
          </w:tcPr>
          <w:p>
            <w:pPr>
              <w:spacing w:line="240" w:lineRule="atLeast"/>
              <w:jc w:val="center"/>
              <w:rPr>
                <w:rFonts w:ascii="宋体" w:hAnsi="宋体"/>
                <w:szCs w:val="21"/>
              </w:rPr>
            </w:pPr>
            <w:r>
              <w:rPr>
                <w:rFonts w:hint="eastAsia" w:ascii="宋体" w:hAnsi="宋体"/>
                <w:szCs w:val="21"/>
              </w:rPr>
              <w:t>中标供应商名称</w:t>
            </w:r>
          </w:p>
        </w:tc>
        <w:tc>
          <w:tcPr>
            <w:tcW w:w="2520" w:type="dxa"/>
            <w:vAlign w:val="center"/>
          </w:tcPr>
          <w:p>
            <w:pPr>
              <w:spacing w:line="240" w:lineRule="atLeast"/>
              <w:jc w:val="center"/>
              <w:rPr>
                <w:rFonts w:ascii="宋体" w:hAnsi="宋体"/>
                <w:szCs w:val="21"/>
              </w:rPr>
            </w:pPr>
          </w:p>
        </w:tc>
        <w:tc>
          <w:tcPr>
            <w:tcW w:w="1980" w:type="dxa"/>
            <w:vAlign w:val="center"/>
          </w:tcPr>
          <w:p>
            <w:pPr>
              <w:spacing w:line="240" w:lineRule="atLeast"/>
              <w:jc w:val="center"/>
              <w:rPr>
                <w:rFonts w:ascii="宋体" w:hAnsi="宋体"/>
                <w:szCs w:val="21"/>
              </w:rPr>
            </w:pPr>
            <w:r>
              <w:rPr>
                <w:rFonts w:hint="eastAsia" w:ascii="宋体" w:hAnsi="宋体"/>
                <w:szCs w:val="21"/>
              </w:rPr>
              <w:t>供应商</w:t>
            </w:r>
          </w:p>
          <w:p>
            <w:pPr>
              <w:spacing w:line="240" w:lineRule="atLeast"/>
              <w:jc w:val="center"/>
              <w:rPr>
                <w:rFonts w:ascii="宋体" w:hAnsi="宋体"/>
                <w:szCs w:val="21"/>
              </w:rPr>
            </w:pPr>
            <w:r>
              <w:rPr>
                <w:rFonts w:hint="eastAsia" w:ascii="宋体" w:hAnsi="宋体"/>
                <w:szCs w:val="21"/>
              </w:rPr>
              <w:t>联系人及电话</w:t>
            </w:r>
          </w:p>
        </w:tc>
        <w:tc>
          <w:tcPr>
            <w:tcW w:w="2135" w:type="dxa"/>
            <w:vAlign w:val="center"/>
          </w:tcPr>
          <w:p>
            <w:pPr>
              <w:spacing w:line="240" w:lineRule="atLeast"/>
              <w:jc w:val="center"/>
              <w:rPr>
                <w:rFonts w:ascii="宋体" w:hAnsi="宋体"/>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38" w:hRule="atLeast"/>
          <w:jc w:val="center"/>
        </w:trPr>
        <w:tc>
          <w:tcPr>
            <w:tcW w:w="2282" w:type="dxa"/>
            <w:gridSpan w:val="3"/>
            <w:vAlign w:val="center"/>
          </w:tcPr>
          <w:p>
            <w:pPr>
              <w:spacing w:line="240" w:lineRule="atLeast"/>
              <w:jc w:val="center"/>
              <w:rPr>
                <w:rFonts w:ascii="宋体" w:hAnsi="宋体"/>
                <w:szCs w:val="21"/>
              </w:rPr>
            </w:pPr>
            <w:r>
              <w:rPr>
                <w:rFonts w:hint="eastAsia" w:ascii="宋体" w:hAnsi="宋体"/>
                <w:szCs w:val="21"/>
              </w:rPr>
              <w:t>中标金额</w:t>
            </w:r>
          </w:p>
        </w:tc>
        <w:tc>
          <w:tcPr>
            <w:tcW w:w="2520" w:type="dxa"/>
            <w:vAlign w:val="center"/>
          </w:tcPr>
          <w:p>
            <w:pPr>
              <w:spacing w:line="240" w:lineRule="atLeast"/>
              <w:jc w:val="center"/>
              <w:rPr>
                <w:rFonts w:ascii="宋体" w:hAnsi="宋体"/>
                <w:szCs w:val="21"/>
              </w:rPr>
            </w:pPr>
          </w:p>
        </w:tc>
        <w:tc>
          <w:tcPr>
            <w:tcW w:w="1980" w:type="dxa"/>
            <w:vAlign w:val="center"/>
          </w:tcPr>
          <w:p>
            <w:pPr>
              <w:spacing w:line="240" w:lineRule="atLeast"/>
              <w:jc w:val="center"/>
              <w:rPr>
                <w:rFonts w:ascii="宋体" w:hAnsi="宋体"/>
                <w:szCs w:val="21"/>
              </w:rPr>
            </w:pPr>
            <w:r>
              <w:rPr>
                <w:rFonts w:hint="eastAsia" w:ascii="宋体" w:hAnsi="宋体"/>
                <w:szCs w:val="21"/>
              </w:rPr>
              <w:t>合同履约时间</w:t>
            </w:r>
          </w:p>
        </w:tc>
        <w:tc>
          <w:tcPr>
            <w:tcW w:w="2135" w:type="dxa"/>
            <w:vAlign w:val="center"/>
          </w:tcPr>
          <w:p>
            <w:pPr>
              <w:spacing w:line="240" w:lineRule="atLeast"/>
              <w:rPr>
                <w:rFonts w:ascii="宋体" w:hAnsi="宋体"/>
                <w:szCs w:val="21"/>
              </w:rPr>
            </w:pPr>
            <w:r>
              <w:rPr>
                <w:rFonts w:hint="eastAsia" w:ascii="宋体" w:hAnsi="宋体"/>
                <w:szCs w:val="21"/>
              </w:rPr>
              <w:t>自       至</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44" w:hRule="atLeast"/>
          <w:jc w:val="center"/>
        </w:trPr>
        <w:tc>
          <w:tcPr>
            <w:tcW w:w="842" w:type="dxa"/>
            <w:vMerge w:val="restart"/>
            <w:vAlign w:val="center"/>
          </w:tcPr>
          <w:p>
            <w:pPr>
              <w:spacing w:line="240" w:lineRule="atLeast"/>
              <w:jc w:val="center"/>
              <w:rPr>
                <w:rFonts w:ascii="宋体" w:hAnsi="宋体"/>
                <w:b/>
                <w:szCs w:val="21"/>
              </w:rPr>
            </w:pPr>
            <w:r>
              <w:rPr>
                <w:rFonts w:hint="eastAsia" w:ascii="宋体" w:hAnsi="宋体"/>
                <w:b/>
                <w:szCs w:val="21"/>
              </w:rPr>
              <w:t>履约情况评价</w:t>
            </w:r>
          </w:p>
        </w:tc>
        <w:tc>
          <w:tcPr>
            <w:tcW w:w="1440" w:type="dxa"/>
            <w:gridSpan w:val="2"/>
            <w:tcBorders>
              <w:right w:val="single" w:color="auto" w:sz="4" w:space="0"/>
            </w:tcBorders>
            <w:vAlign w:val="center"/>
          </w:tcPr>
          <w:p>
            <w:pPr>
              <w:spacing w:line="240" w:lineRule="atLeast"/>
              <w:jc w:val="center"/>
              <w:rPr>
                <w:rFonts w:ascii="宋体" w:hAnsi="宋体"/>
                <w:szCs w:val="21"/>
              </w:rPr>
            </w:pPr>
            <w:r>
              <w:rPr>
                <w:rFonts w:hint="eastAsia" w:ascii="宋体" w:hAnsi="宋体"/>
                <w:szCs w:val="21"/>
              </w:rPr>
              <w:t>总体评价</w:t>
            </w:r>
          </w:p>
        </w:tc>
        <w:tc>
          <w:tcPr>
            <w:tcW w:w="6635" w:type="dxa"/>
            <w:gridSpan w:val="3"/>
            <w:tcBorders>
              <w:left w:val="single" w:color="auto" w:sz="4" w:space="0"/>
            </w:tcBorders>
            <w:vAlign w:val="center"/>
          </w:tcPr>
          <w:p>
            <w:pPr>
              <w:spacing w:line="240" w:lineRule="atLeast"/>
              <w:ind w:firstLine="105" w:firstLineChars="50"/>
              <w:jc w:val="center"/>
              <w:rPr>
                <w:rFonts w:ascii="宋体" w:hAnsi="宋体"/>
                <w:szCs w:val="21"/>
              </w:rPr>
            </w:pPr>
            <w:r>
              <w:rPr>
                <w:rFonts w:hint="eastAsia" w:ascii="宋体" w:hAnsi="宋体"/>
                <w:szCs w:val="21"/>
              </w:rPr>
              <w:t>□ 优          □ 良          □ 中           □ 差</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8" w:hRule="atLeast"/>
          <w:jc w:val="center"/>
        </w:trPr>
        <w:tc>
          <w:tcPr>
            <w:tcW w:w="842" w:type="dxa"/>
            <w:vMerge w:val="continue"/>
            <w:vAlign w:val="center"/>
          </w:tcPr>
          <w:p>
            <w:pPr>
              <w:spacing w:line="240" w:lineRule="atLeast"/>
              <w:jc w:val="center"/>
              <w:rPr>
                <w:rFonts w:ascii="宋体" w:hAnsi="宋体"/>
                <w:szCs w:val="21"/>
              </w:rPr>
            </w:pPr>
          </w:p>
        </w:tc>
        <w:tc>
          <w:tcPr>
            <w:tcW w:w="720" w:type="dxa"/>
            <w:vMerge w:val="restart"/>
            <w:tcBorders>
              <w:right w:val="single" w:color="auto" w:sz="4" w:space="0"/>
            </w:tcBorders>
            <w:vAlign w:val="center"/>
          </w:tcPr>
          <w:p>
            <w:pPr>
              <w:spacing w:line="240" w:lineRule="atLeast"/>
              <w:jc w:val="center"/>
              <w:rPr>
                <w:rFonts w:ascii="宋体" w:hAnsi="宋体"/>
                <w:szCs w:val="21"/>
              </w:rPr>
            </w:pPr>
            <w:r>
              <w:rPr>
                <w:rFonts w:hint="eastAsia" w:ascii="宋体" w:hAnsi="宋体"/>
                <w:szCs w:val="21"/>
              </w:rPr>
              <w:t>分项评价</w:t>
            </w:r>
          </w:p>
        </w:tc>
        <w:tc>
          <w:tcPr>
            <w:tcW w:w="720" w:type="dxa"/>
            <w:tcBorders>
              <w:left w:val="single" w:color="auto" w:sz="4" w:space="0"/>
              <w:right w:val="single" w:color="auto" w:sz="4" w:space="0"/>
            </w:tcBorders>
            <w:vAlign w:val="center"/>
          </w:tcPr>
          <w:p>
            <w:pPr>
              <w:spacing w:line="240" w:lineRule="atLeast"/>
              <w:jc w:val="center"/>
              <w:rPr>
                <w:rFonts w:ascii="宋体" w:hAnsi="宋体"/>
                <w:szCs w:val="21"/>
              </w:rPr>
            </w:pPr>
            <w:r>
              <w:rPr>
                <w:rFonts w:hint="eastAsia" w:ascii="宋体" w:hAnsi="宋体"/>
                <w:szCs w:val="21"/>
              </w:rPr>
              <w:t>质量方面</w:t>
            </w:r>
          </w:p>
        </w:tc>
        <w:tc>
          <w:tcPr>
            <w:tcW w:w="6635" w:type="dxa"/>
            <w:gridSpan w:val="3"/>
            <w:tcBorders>
              <w:left w:val="single" w:color="auto" w:sz="4" w:space="0"/>
            </w:tcBorders>
            <w:vAlign w:val="center"/>
          </w:tcPr>
          <w:p>
            <w:pPr>
              <w:spacing w:line="240" w:lineRule="atLeast"/>
              <w:jc w:val="center"/>
              <w:rPr>
                <w:rFonts w:ascii="宋体" w:hAnsi="宋体"/>
                <w:szCs w:val="21"/>
              </w:rPr>
            </w:pPr>
            <w:r>
              <w:rPr>
                <w:rFonts w:hint="eastAsia" w:ascii="宋体" w:hAnsi="宋体"/>
                <w:szCs w:val="21"/>
              </w:rPr>
              <w:t xml:space="preserve"> □ 优          □ 良          □ 中           □ 差</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8" w:hRule="atLeast"/>
          <w:jc w:val="center"/>
        </w:trPr>
        <w:tc>
          <w:tcPr>
            <w:tcW w:w="842" w:type="dxa"/>
            <w:vMerge w:val="continue"/>
            <w:vAlign w:val="center"/>
          </w:tcPr>
          <w:p>
            <w:pPr>
              <w:spacing w:line="240" w:lineRule="atLeast"/>
              <w:jc w:val="center"/>
              <w:rPr>
                <w:rFonts w:ascii="宋体" w:hAnsi="宋体"/>
                <w:szCs w:val="21"/>
              </w:rPr>
            </w:pPr>
          </w:p>
        </w:tc>
        <w:tc>
          <w:tcPr>
            <w:tcW w:w="720" w:type="dxa"/>
            <w:vMerge w:val="continue"/>
            <w:tcBorders>
              <w:right w:val="single" w:color="auto" w:sz="4" w:space="0"/>
            </w:tcBorders>
            <w:vAlign w:val="center"/>
          </w:tcPr>
          <w:p>
            <w:pPr>
              <w:spacing w:line="240" w:lineRule="atLeast"/>
              <w:jc w:val="center"/>
              <w:rPr>
                <w:rFonts w:ascii="宋体" w:hAnsi="宋体"/>
                <w:szCs w:val="21"/>
              </w:rPr>
            </w:pPr>
          </w:p>
        </w:tc>
        <w:tc>
          <w:tcPr>
            <w:tcW w:w="720" w:type="dxa"/>
            <w:tcBorders>
              <w:left w:val="single" w:color="auto" w:sz="4" w:space="0"/>
              <w:right w:val="single" w:color="auto" w:sz="4" w:space="0"/>
            </w:tcBorders>
            <w:vAlign w:val="center"/>
          </w:tcPr>
          <w:p>
            <w:pPr>
              <w:spacing w:line="240" w:lineRule="atLeast"/>
              <w:jc w:val="center"/>
              <w:rPr>
                <w:rFonts w:ascii="宋体" w:hAnsi="宋体"/>
                <w:szCs w:val="21"/>
              </w:rPr>
            </w:pPr>
            <w:r>
              <w:rPr>
                <w:rFonts w:hint="eastAsia" w:ascii="宋体" w:hAnsi="宋体"/>
                <w:szCs w:val="21"/>
              </w:rPr>
              <w:t>价格方面</w:t>
            </w:r>
          </w:p>
        </w:tc>
        <w:tc>
          <w:tcPr>
            <w:tcW w:w="6635" w:type="dxa"/>
            <w:gridSpan w:val="3"/>
            <w:tcBorders>
              <w:left w:val="single" w:color="auto" w:sz="4" w:space="0"/>
            </w:tcBorders>
            <w:vAlign w:val="center"/>
          </w:tcPr>
          <w:p>
            <w:pPr>
              <w:spacing w:line="240" w:lineRule="atLeast"/>
              <w:jc w:val="center"/>
              <w:rPr>
                <w:rFonts w:ascii="宋体" w:hAnsi="宋体"/>
                <w:szCs w:val="21"/>
              </w:rPr>
            </w:pPr>
            <w:r>
              <w:rPr>
                <w:rFonts w:hint="eastAsia" w:ascii="宋体" w:hAnsi="宋体"/>
                <w:szCs w:val="21"/>
              </w:rPr>
              <w:t xml:space="preserve"> □ 优          □ 良          □ 中           □ 差</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8" w:hRule="atLeast"/>
          <w:jc w:val="center"/>
        </w:trPr>
        <w:tc>
          <w:tcPr>
            <w:tcW w:w="842" w:type="dxa"/>
            <w:vMerge w:val="continue"/>
            <w:vAlign w:val="center"/>
          </w:tcPr>
          <w:p>
            <w:pPr>
              <w:spacing w:line="240" w:lineRule="atLeast"/>
              <w:jc w:val="center"/>
              <w:rPr>
                <w:rFonts w:ascii="宋体" w:hAnsi="宋体"/>
                <w:szCs w:val="21"/>
              </w:rPr>
            </w:pPr>
          </w:p>
        </w:tc>
        <w:tc>
          <w:tcPr>
            <w:tcW w:w="720" w:type="dxa"/>
            <w:vMerge w:val="continue"/>
            <w:tcBorders>
              <w:right w:val="single" w:color="auto" w:sz="4" w:space="0"/>
            </w:tcBorders>
            <w:vAlign w:val="center"/>
          </w:tcPr>
          <w:p>
            <w:pPr>
              <w:spacing w:line="240" w:lineRule="atLeast"/>
              <w:jc w:val="center"/>
              <w:rPr>
                <w:rFonts w:ascii="宋体" w:hAnsi="宋体"/>
                <w:szCs w:val="21"/>
              </w:rPr>
            </w:pPr>
          </w:p>
        </w:tc>
        <w:tc>
          <w:tcPr>
            <w:tcW w:w="720" w:type="dxa"/>
            <w:tcBorders>
              <w:left w:val="single" w:color="auto" w:sz="4" w:space="0"/>
              <w:right w:val="single" w:color="auto" w:sz="4" w:space="0"/>
            </w:tcBorders>
            <w:vAlign w:val="center"/>
          </w:tcPr>
          <w:p>
            <w:pPr>
              <w:spacing w:line="240" w:lineRule="atLeast"/>
              <w:jc w:val="center"/>
              <w:rPr>
                <w:rFonts w:ascii="宋体" w:hAnsi="宋体"/>
                <w:szCs w:val="21"/>
              </w:rPr>
            </w:pPr>
            <w:r>
              <w:rPr>
                <w:rFonts w:hint="eastAsia" w:ascii="宋体" w:hAnsi="宋体"/>
                <w:szCs w:val="21"/>
              </w:rPr>
              <w:t>服务方面</w:t>
            </w:r>
          </w:p>
        </w:tc>
        <w:tc>
          <w:tcPr>
            <w:tcW w:w="6635" w:type="dxa"/>
            <w:gridSpan w:val="3"/>
            <w:tcBorders>
              <w:left w:val="single" w:color="auto" w:sz="4" w:space="0"/>
            </w:tcBorders>
            <w:vAlign w:val="center"/>
          </w:tcPr>
          <w:p>
            <w:pPr>
              <w:spacing w:line="240" w:lineRule="atLeast"/>
              <w:jc w:val="center"/>
              <w:rPr>
                <w:rFonts w:ascii="宋体" w:hAnsi="宋体"/>
                <w:szCs w:val="21"/>
              </w:rPr>
            </w:pPr>
            <w:r>
              <w:rPr>
                <w:rFonts w:hint="eastAsia" w:ascii="宋体" w:hAnsi="宋体"/>
                <w:szCs w:val="21"/>
              </w:rPr>
              <w:t xml:space="preserve"> □ 优          □ 良          □ 中           □ 差</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8" w:hRule="atLeast"/>
          <w:jc w:val="center"/>
        </w:trPr>
        <w:tc>
          <w:tcPr>
            <w:tcW w:w="842" w:type="dxa"/>
            <w:vMerge w:val="continue"/>
            <w:vAlign w:val="center"/>
          </w:tcPr>
          <w:p>
            <w:pPr>
              <w:spacing w:line="240" w:lineRule="atLeast"/>
              <w:jc w:val="center"/>
              <w:rPr>
                <w:rFonts w:ascii="宋体" w:hAnsi="宋体"/>
                <w:szCs w:val="21"/>
              </w:rPr>
            </w:pPr>
          </w:p>
        </w:tc>
        <w:tc>
          <w:tcPr>
            <w:tcW w:w="720" w:type="dxa"/>
            <w:vMerge w:val="continue"/>
            <w:tcBorders>
              <w:right w:val="single" w:color="auto" w:sz="4" w:space="0"/>
            </w:tcBorders>
            <w:vAlign w:val="center"/>
          </w:tcPr>
          <w:p>
            <w:pPr>
              <w:spacing w:line="240" w:lineRule="atLeast"/>
              <w:jc w:val="center"/>
              <w:rPr>
                <w:rFonts w:ascii="宋体" w:hAnsi="宋体"/>
                <w:szCs w:val="21"/>
              </w:rPr>
            </w:pPr>
          </w:p>
        </w:tc>
        <w:tc>
          <w:tcPr>
            <w:tcW w:w="720" w:type="dxa"/>
            <w:tcBorders>
              <w:left w:val="single" w:color="auto" w:sz="4" w:space="0"/>
              <w:right w:val="single" w:color="auto" w:sz="4" w:space="0"/>
            </w:tcBorders>
            <w:vAlign w:val="center"/>
          </w:tcPr>
          <w:p>
            <w:pPr>
              <w:spacing w:line="240" w:lineRule="atLeast"/>
              <w:jc w:val="center"/>
              <w:rPr>
                <w:rFonts w:ascii="宋体" w:hAnsi="宋体"/>
                <w:szCs w:val="21"/>
              </w:rPr>
            </w:pPr>
            <w:r>
              <w:rPr>
                <w:rFonts w:hint="eastAsia" w:ascii="宋体" w:hAnsi="宋体"/>
                <w:szCs w:val="21"/>
              </w:rPr>
              <w:t>时间方面</w:t>
            </w:r>
          </w:p>
        </w:tc>
        <w:tc>
          <w:tcPr>
            <w:tcW w:w="6635" w:type="dxa"/>
            <w:gridSpan w:val="3"/>
            <w:tcBorders>
              <w:left w:val="single" w:color="auto" w:sz="4" w:space="0"/>
            </w:tcBorders>
            <w:vAlign w:val="center"/>
          </w:tcPr>
          <w:p>
            <w:pPr>
              <w:spacing w:line="240" w:lineRule="atLeast"/>
              <w:jc w:val="center"/>
              <w:rPr>
                <w:rFonts w:ascii="宋体" w:hAnsi="宋体"/>
                <w:szCs w:val="21"/>
              </w:rPr>
            </w:pPr>
            <w:r>
              <w:rPr>
                <w:rFonts w:hint="eastAsia" w:ascii="宋体" w:hAnsi="宋体"/>
                <w:szCs w:val="21"/>
              </w:rPr>
              <w:t xml:space="preserve"> □ 优          □ 良          □ 中           □ 差</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8" w:hRule="atLeast"/>
          <w:jc w:val="center"/>
        </w:trPr>
        <w:tc>
          <w:tcPr>
            <w:tcW w:w="842" w:type="dxa"/>
            <w:vMerge w:val="continue"/>
            <w:vAlign w:val="center"/>
          </w:tcPr>
          <w:p>
            <w:pPr>
              <w:spacing w:line="240" w:lineRule="atLeast"/>
              <w:jc w:val="center"/>
              <w:rPr>
                <w:rFonts w:ascii="宋体" w:hAnsi="宋体"/>
                <w:szCs w:val="21"/>
              </w:rPr>
            </w:pPr>
          </w:p>
        </w:tc>
        <w:tc>
          <w:tcPr>
            <w:tcW w:w="720" w:type="dxa"/>
            <w:vMerge w:val="continue"/>
            <w:tcBorders>
              <w:right w:val="single" w:color="auto" w:sz="4" w:space="0"/>
            </w:tcBorders>
            <w:vAlign w:val="center"/>
          </w:tcPr>
          <w:p>
            <w:pPr>
              <w:spacing w:line="240" w:lineRule="atLeast"/>
              <w:jc w:val="center"/>
              <w:rPr>
                <w:rFonts w:ascii="宋体" w:hAnsi="宋体"/>
                <w:szCs w:val="21"/>
              </w:rPr>
            </w:pPr>
          </w:p>
        </w:tc>
        <w:tc>
          <w:tcPr>
            <w:tcW w:w="720" w:type="dxa"/>
            <w:tcBorders>
              <w:left w:val="single" w:color="auto" w:sz="4" w:space="0"/>
              <w:right w:val="single" w:color="auto" w:sz="4" w:space="0"/>
            </w:tcBorders>
            <w:vAlign w:val="center"/>
          </w:tcPr>
          <w:p>
            <w:pPr>
              <w:spacing w:line="240" w:lineRule="atLeast"/>
              <w:jc w:val="center"/>
              <w:rPr>
                <w:rFonts w:ascii="宋体" w:hAnsi="宋体"/>
                <w:szCs w:val="21"/>
              </w:rPr>
            </w:pPr>
            <w:r>
              <w:rPr>
                <w:rFonts w:hint="eastAsia" w:ascii="宋体" w:hAnsi="宋体"/>
                <w:szCs w:val="21"/>
              </w:rPr>
              <w:t>环境保护</w:t>
            </w:r>
          </w:p>
        </w:tc>
        <w:tc>
          <w:tcPr>
            <w:tcW w:w="6635" w:type="dxa"/>
            <w:gridSpan w:val="3"/>
            <w:tcBorders>
              <w:left w:val="single" w:color="auto" w:sz="4" w:space="0"/>
            </w:tcBorders>
            <w:vAlign w:val="center"/>
          </w:tcPr>
          <w:p>
            <w:pPr>
              <w:spacing w:line="240" w:lineRule="atLeast"/>
              <w:jc w:val="center"/>
              <w:rPr>
                <w:rFonts w:ascii="宋体" w:hAnsi="宋体"/>
                <w:szCs w:val="21"/>
              </w:rPr>
            </w:pPr>
            <w:r>
              <w:rPr>
                <w:rFonts w:hint="eastAsia" w:ascii="宋体" w:hAnsi="宋体"/>
                <w:szCs w:val="21"/>
              </w:rPr>
              <w:t xml:space="preserve"> □ 优          □ 良          □ 中           □ 差</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8" w:hRule="atLeast"/>
          <w:jc w:val="center"/>
        </w:trPr>
        <w:tc>
          <w:tcPr>
            <w:tcW w:w="842" w:type="dxa"/>
            <w:vMerge w:val="continue"/>
            <w:vAlign w:val="center"/>
          </w:tcPr>
          <w:p>
            <w:pPr>
              <w:spacing w:line="240" w:lineRule="atLeast"/>
              <w:jc w:val="center"/>
              <w:rPr>
                <w:rFonts w:ascii="宋体" w:hAnsi="宋体"/>
                <w:szCs w:val="21"/>
              </w:rPr>
            </w:pPr>
          </w:p>
        </w:tc>
        <w:tc>
          <w:tcPr>
            <w:tcW w:w="720" w:type="dxa"/>
            <w:vMerge w:val="continue"/>
            <w:tcBorders>
              <w:right w:val="single" w:color="auto" w:sz="4" w:space="0"/>
            </w:tcBorders>
            <w:vAlign w:val="center"/>
          </w:tcPr>
          <w:p>
            <w:pPr>
              <w:spacing w:line="240" w:lineRule="atLeast"/>
              <w:jc w:val="center"/>
              <w:rPr>
                <w:rFonts w:ascii="宋体" w:hAnsi="宋体"/>
                <w:szCs w:val="21"/>
              </w:rPr>
            </w:pPr>
          </w:p>
        </w:tc>
        <w:tc>
          <w:tcPr>
            <w:tcW w:w="720" w:type="dxa"/>
            <w:tcBorders>
              <w:left w:val="single" w:color="auto" w:sz="4" w:space="0"/>
              <w:right w:val="single" w:color="auto" w:sz="4" w:space="0"/>
            </w:tcBorders>
            <w:vAlign w:val="center"/>
          </w:tcPr>
          <w:p>
            <w:pPr>
              <w:spacing w:line="240" w:lineRule="atLeast"/>
              <w:jc w:val="center"/>
              <w:rPr>
                <w:rFonts w:ascii="宋体" w:hAnsi="宋体"/>
                <w:szCs w:val="21"/>
              </w:rPr>
            </w:pPr>
            <w:r>
              <w:rPr>
                <w:rFonts w:hint="eastAsia" w:ascii="宋体" w:hAnsi="宋体"/>
                <w:szCs w:val="21"/>
              </w:rPr>
              <w:t>其他</w:t>
            </w:r>
          </w:p>
        </w:tc>
        <w:tc>
          <w:tcPr>
            <w:tcW w:w="6635" w:type="dxa"/>
            <w:gridSpan w:val="3"/>
            <w:tcBorders>
              <w:left w:val="single" w:color="auto" w:sz="4" w:space="0"/>
            </w:tcBorders>
            <w:vAlign w:val="center"/>
          </w:tcPr>
          <w:p>
            <w:pPr>
              <w:spacing w:before="120" w:beforeLines="50" w:after="120" w:afterLines="50" w:line="240" w:lineRule="atLeast"/>
              <w:rPr>
                <w:rFonts w:ascii="宋体" w:hAnsi="宋体"/>
                <w:szCs w:val="21"/>
                <w:u w:val="single"/>
              </w:rPr>
            </w:pPr>
            <w:r>
              <w:rPr>
                <w:rFonts w:hint="eastAsia" w:ascii="宋体" w:hAnsi="宋体"/>
                <w:szCs w:val="21"/>
              </w:rPr>
              <w:t>评价内容为：</w:t>
            </w:r>
            <w:r>
              <w:rPr>
                <w:rFonts w:hint="eastAsia" w:ascii="宋体" w:hAnsi="宋体"/>
                <w:szCs w:val="21"/>
                <w:u w:val="single"/>
              </w:rPr>
              <w:t xml:space="preserve">                    </w:t>
            </w:r>
          </w:p>
          <w:p>
            <w:pPr>
              <w:spacing w:before="120" w:beforeLines="50" w:after="120" w:afterLines="50" w:line="240" w:lineRule="atLeast"/>
              <w:rPr>
                <w:rFonts w:ascii="宋体" w:hAnsi="宋体"/>
                <w:szCs w:val="21"/>
              </w:rPr>
            </w:pPr>
            <w:r>
              <w:rPr>
                <w:rFonts w:hint="eastAsia" w:ascii="宋体" w:hAnsi="宋体"/>
                <w:szCs w:val="21"/>
              </w:rPr>
              <w:t>评价等级为：  □ 优       □ 良        □ 中         □ 差</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3261" w:hRule="atLeast"/>
          <w:jc w:val="center"/>
        </w:trPr>
        <w:tc>
          <w:tcPr>
            <w:tcW w:w="1562" w:type="dxa"/>
            <w:gridSpan w:val="2"/>
            <w:vAlign w:val="center"/>
          </w:tcPr>
          <w:p>
            <w:pPr>
              <w:spacing w:line="240" w:lineRule="atLeast"/>
              <w:jc w:val="center"/>
              <w:rPr>
                <w:rFonts w:ascii="宋体" w:hAnsi="宋体"/>
                <w:szCs w:val="21"/>
              </w:rPr>
            </w:pPr>
            <w:r>
              <w:rPr>
                <w:rFonts w:hint="eastAsia" w:ascii="宋体" w:hAnsi="宋体"/>
                <w:szCs w:val="21"/>
              </w:rPr>
              <w:t>具体情况说明</w:t>
            </w:r>
          </w:p>
        </w:tc>
        <w:tc>
          <w:tcPr>
            <w:tcW w:w="7355" w:type="dxa"/>
            <w:gridSpan w:val="4"/>
          </w:tcPr>
          <w:p>
            <w:pPr>
              <w:spacing w:line="240" w:lineRule="atLeast"/>
              <w:rPr>
                <w:rFonts w:ascii="宋体" w:hAnsi="宋体"/>
                <w:szCs w:val="21"/>
              </w:rPr>
            </w:pPr>
          </w:p>
          <w:p>
            <w:pPr>
              <w:spacing w:line="240" w:lineRule="atLeast"/>
              <w:rPr>
                <w:rFonts w:ascii="宋体" w:hAnsi="宋体"/>
                <w:szCs w:val="21"/>
              </w:rPr>
            </w:pPr>
          </w:p>
          <w:p>
            <w:pPr>
              <w:spacing w:line="240" w:lineRule="atLeast"/>
              <w:rPr>
                <w:rFonts w:ascii="宋体" w:hAnsi="宋体"/>
                <w:szCs w:val="21"/>
              </w:rPr>
            </w:pPr>
          </w:p>
          <w:p>
            <w:pPr>
              <w:spacing w:line="240" w:lineRule="atLeast"/>
              <w:rPr>
                <w:rFonts w:ascii="宋体" w:hAnsi="宋体"/>
                <w:szCs w:val="21"/>
              </w:rPr>
            </w:pPr>
          </w:p>
          <w:p>
            <w:pPr>
              <w:spacing w:line="240" w:lineRule="atLeast"/>
              <w:rPr>
                <w:rFonts w:ascii="宋体" w:hAnsi="宋体"/>
                <w:szCs w:val="21"/>
              </w:rPr>
            </w:pPr>
          </w:p>
          <w:p>
            <w:pPr>
              <w:spacing w:line="240" w:lineRule="atLeast"/>
              <w:rPr>
                <w:rFonts w:ascii="宋体" w:hAnsi="宋体"/>
                <w:szCs w:val="21"/>
              </w:rPr>
            </w:pPr>
          </w:p>
          <w:p>
            <w:pPr>
              <w:spacing w:line="240" w:lineRule="atLeast"/>
              <w:rPr>
                <w:rFonts w:ascii="宋体" w:hAnsi="宋体"/>
                <w:szCs w:val="21"/>
              </w:rPr>
            </w:pPr>
          </w:p>
          <w:p>
            <w:pPr>
              <w:spacing w:line="240" w:lineRule="atLeast"/>
              <w:rPr>
                <w:rFonts w:ascii="宋体" w:hAnsi="宋体"/>
                <w:szCs w:val="21"/>
              </w:rPr>
            </w:pPr>
          </w:p>
          <w:p>
            <w:pPr>
              <w:spacing w:line="240" w:lineRule="atLeast"/>
              <w:rPr>
                <w:rFonts w:ascii="宋体" w:hAnsi="宋体"/>
                <w:szCs w:val="21"/>
              </w:rPr>
            </w:pPr>
          </w:p>
          <w:p>
            <w:pPr>
              <w:spacing w:line="240" w:lineRule="atLeast"/>
              <w:rPr>
                <w:rFonts w:ascii="宋体" w:hAnsi="宋体"/>
                <w:szCs w:val="21"/>
              </w:rPr>
            </w:pPr>
          </w:p>
          <w:p>
            <w:pPr>
              <w:spacing w:line="240" w:lineRule="atLeast"/>
              <w:rPr>
                <w:rFonts w:ascii="宋体" w:hAnsi="宋体"/>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510" w:hRule="atLeast"/>
          <w:jc w:val="center"/>
        </w:trPr>
        <w:tc>
          <w:tcPr>
            <w:tcW w:w="1562" w:type="dxa"/>
            <w:gridSpan w:val="2"/>
            <w:vAlign w:val="center"/>
          </w:tcPr>
          <w:p>
            <w:pPr>
              <w:spacing w:line="240" w:lineRule="atLeast"/>
              <w:jc w:val="center"/>
              <w:rPr>
                <w:rFonts w:ascii="宋体" w:hAnsi="宋体"/>
                <w:szCs w:val="21"/>
              </w:rPr>
            </w:pPr>
            <w:r>
              <w:rPr>
                <w:rFonts w:hint="eastAsia" w:ascii="宋体" w:hAnsi="宋体"/>
                <w:szCs w:val="21"/>
              </w:rPr>
              <w:t>采购单位意见</w:t>
            </w:r>
          </w:p>
          <w:p>
            <w:pPr>
              <w:spacing w:line="240" w:lineRule="atLeast"/>
              <w:jc w:val="center"/>
              <w:rPr>
                <w:rFonts w:ascii="宋体" w:hAnsi="宋体"/>
                <w:szCs w:val="21"/>
              </w:rPr>
            </w:pPr>
            <w:r>
              <w:rPr>
                <w:rFonts w:hint="eastAsia" w:ascii="宋体" w:hAnsi="宋体"/>
                <w:szCs w:val="21"/>
              </w:rPr>
              <w:t>（公章）</w:t>
            </w:r>
          </w:p>
        </w:tc>
        <w:tc>
          <w:tcPr>
            <w:tcW w:w="7355" w:type="dxa"/>
            <w:gridSpan w:val="4"/>
            <w:vAlign w:val="center"/>
          </w:tcPr>
          <w:p>
            <w:pPr>
              <w:spacing w:line="240" w:lineRule="atLeast"/>
              <w:rPr>
                <w:rFonts w:ascii="宋体" w:hAnsi="宋体"/>
                <w:szCs w:val="21"/>
              </w:rPr>
            </w:pPr>
          </w:p>
          <w:p>
            <w:pPr>
              <w:spacing w:line="240" w:lineRule="atLeast"/>
              <w:rPr>
                <w:rFonts w:ascii="宋体" w:hAnsi="宋体"/>
                <w:szCs w:val="21"/>
              </w:rPr>
            </w:pPr>
          </w:p>
          <w:p>
            <w:pPr>
              <w:spacing w:line="240" w:lineRule="atLeast"/>
              <w:rPr>
                <w:rFonts w:ascii="宋体" w:hAnsi="宋体"/>
                <w:szCs w:val="21"/>
              </w:rPr>
            </w:pPr>
          </w:p>
          <w:p>
            <w:pPr>
              <w:spacing w:line="240" w:lineRule="atLeast"/>
              <w:rPr>
                <w:rFonts w:ascii="宋体" w:hAnsi="宋体"/>
                <w:szCs w:val="21"/>
              </w:rPr>
            </w:pPr>
            <w:r>
              <w:rPr>
                <w:rFonts w:hint="eastAsia" w:ascii="宋体" w:hAnsi="宋体"/>
                <w:szCs w:val="21"/>
              </w:rPr>
              <w:t xml:space="preserve">                                        </w:t>
            </w:r>
          </w:p>
          <w:p>
            <w:pPr>
              <w:spacing w:line="240" w:lineRule="atLeast"/>
              <w:ind w:firstLine="3780" w:firstLineChars="1800"/>
              <w:rPr>
                <w:rFonts w:ascii="宋体" w:hAnsi="宋体"/>
                <w:szCs w:val="21"/>
              </w:rPr>
            </w:pPr>
          </w:p>
          <w:p>
            <w:pPr>
              <w:spacing w:line="240" w:lineRule="atLeast"/>
              <w:ind w:firstLine="3780" w:firstLineChars="1800"/>
              <w:rPr>
                <w:rFonts w:ascii="宋体" w:hAnsi="宋体"/>
                <w:szCs w:val="21"/>
              </w:rPr>
            </w:pPr>
            <w:r>
              <w:rPr>
                <w:rFonts w:hint="eastAsia" w:ascii="宋体" w:hAnsi="宋体"/>
                <w:szCs w:val="21"/>
              </w:rPr>
              <w:t>日期：   年   月   日</w:t>
            </w:r>
          </w:p>
        </w:tc>
      </w:tr>
    </w:tbl>
    <w:p>
      <w:pPr>
        <w:spacing w:line="240" w:lineRule="atLeast"/>
        <w:rPr>
          <w:rFonts w:ascii="宋体" w:hAnsi="宋体"/>
          <w:szCs w:val="21"/>
        </w:rPr>
      </w:pPr>
      <w:r>
        <w:rPr>
          <w:rFonts w:hint="eastAsia" w:ascii="宋体" w:hAnsi="宋体"/>
          <w:szCs w:val="21"/>
        </w:rPr>
        <w:t>说明：</w:t>
      </w:r>
    </w:p>
    <w:p>
      <w:pPr>
        <w:spacing w:line="240" w:lineRule="atLeast"/>
        <w:rPr>
          <w:rFonts w:ascii="宋体" w:hAnsi="宋体"/>
          <w:szCs w:val="21"/>
        </w:rPr>
      </w:pPr>
      <w:r>
        <w:rPr>
          <w:rFonts w:hint="eastAsia" w:ascii="宋体" w:hAnsi="宋体"/>
          <w:szCs w:val="21"/>
        </w:rPr>
        <w:t>1、本表为采购单位向深圳大学招投标管理中心反映采购项目履约情况时所用；</w:t>
      </w:r>
    </w:p>
    <w:p>
      <w:pPr>
        <w:spacing w:line="240" w:lineRule="atLeast"/>
      </w:pPr>
      <w:r>
        <w:rPr>
          <w:rFonts w:hint="eastAsia"/>
        </w:rPr>
        <w:t>2、履约情况评价分为优、良、中、差四个等级，请在对应的框前打“√”，然后在“具体情况说明”一栏详细说明有关情况。</w:t>
      </w:r>
    </w:p>
    <w:p>
      <w:pPr>
        <w:pStyle w:val="2"/>
      </w:pPr>
      <w:r>
        <w:rPr>
          <w:rFonts w:hint="eastAsia"/>
        </w:rPr>
        <w:t>第二册</w:t>
      </w:r>
      <w:r>
        <w:t xml:space="preserve">  </w:t>
      </w:r>
      <w:r>
        <w:rPr>
          <w:rFonts w:hint="eastAsia"/>
        </w:rPr>
        <w:t>通用条款（公开招标）</w:t>
      </w:r>
    </w:p>
    <w:p>
      <w:pPr>
        <w:jc w:val="center"/>
        <w:rPr>
          <w:rFonts w:ascii="宋体" w:hAnsi="宋体"/>
          <w:b/>
          <w:color w:val="FF0000"/>
          <w:sz w:val="28"/>
          <w:szCs w:val="28"/>
        </w:rPr>
      </w:pPr>
      <w:r>
        <w:rPr>
          <w:rFonts w:hint="eastAsia" w:ascii="宋体" w:hAnsi="宋体"/>
          <w:b/>
          <w:color w:val="FF0000"/>
          <w:sz w:val="28"/>
          <w:szCs w:val="28"/>
        </w:rPr>
        <w:t>（1.4.1版本）</w:t>
      </w:r>
    </w:p>
    <w:p>
      <w:pPr>
        <w:keepNext/>
        <w:keepLines/>
        <w:numPr>
          <w:ilvl w:val="0"/>
          <w:numId w:val="12"/>
        </w:numPr>
        <w:adjustRightInd w:val="0"/>
        <w:spacing w:before="120" w:beforeLines="50" w:after="120" w:afterLines="50"/>
        <w:ind w:left="562" w:hanging="562"/>
        <w:jc w:val="center"/>
        <w:textAlignment w:val="baseline"/>
        <w:outlineLvl w:val="1"/>
        <w:rPr>
          <w:rFonts w:ascii="Arial" w:hAnsi="Arial" w:eastAsia="黑体"/>
          <w:b/>
          <w:bCs/>
          <w:sz w:val="28"/>
          <w:szCs w:val="28"/>
        </w:rPr>
      </w:pPr>
      <w:r>
        <w:rPr>
          <w:rFonts w:hint="eastAsia" w:ascii="Arial" w:hAnsi="Arial" w:eastAsia="黑体"/>
          <w:b/>
          <w:bCs/>
          <w:sz w:val="28"/>
          <w:szCs w:val="28"/>
        </w:rPr>
        <w:t>总则</w:t>
      </w:r>
    </w:p>
    <w:p>
      <w:pPr>
        <w:spacing w:line="360" w:lineRule="auto"/>
        <w:rPr>
          <w:rFonts w:ascii="黑体" w:hAnsi="宋体" w:eastAsia="黑体"/>
          <w:sz w:val="24"/>
        </w:rPr>
      </w:pPr>
      <w:r>
        <w:rPr>
          <w:rFonts w:hint="eastAsia" w:ascii="黑体" w:hAnsi="宋体" w:eastAsia="黑体"/>
          <w:sz w:val="24"/>
        </w:rPr>
        <w:t>1.通用条款说明</w:t>
      </w:r>
    </w:p>
    <w:p>
      <w:pPr>
        <w:ind w:firstLine="411" w:firstLineChars="196"/>
        <w:rPr>
          <w:rFonts w:ascii="宋体" w:hAnsi="宋体"/>
          <w:szCs w:val="21"/>
        </w:rPr>
      </w:pPr>
      <w:r>
        <w:rPr>
          <w:rFonts w:hint="eastAsia" w:ascii="宋体" w:hAnsi="宋体"/>
          <w:szCs w:val="21"/>
        </w:rPr>
        <w:t>1.1深圳大学招投标管理中心发出招标文件通用条款版本，列出深圳大学采购项目进行招标采购所适用的通用条款内容。如有需要，深圳大学招投标管理中心可以对通用条款增加附录或补充内容。</w:t>
      </w:r>
    </w:p>
    <w:p>
      <w:pPr>
        <w:ind w:firstLine="411" w:firstLineChars="196"/>
        <w:rPr>
          <w:rFonts w:ascii="宋体" w:hAnsi="宋体"/>
          <w:szCs w:val="21"/>
        </w:rPr>
      </w:pPr>
      <w:r>
        <w:rPr>
          <w:rFonts w:hint="eastAsia" w:ascii="宋体" w:hAnsi="宋体"/>
          <w:szCs w:val="21"/>
        </w:rPr>
        <w:t>1.2招标文件分为第一册“专用条款”和第二册“通用条款”。</w:t>
      </w:r>
    </w:p>
    <w:p>
      <w:pPr>
        <w:ind w:firstLine="411" w:firstLineChars="196"/>
        <w:rPr>
          <w:rFonts w:ascii="宋体" w:hAnsi="宋体"/>
          <w:szCs w:val="21"/>
        </w:rPr>
      </w:pPr>
      <w:r>
        <w:rPr>
          <w:rFonts w:hint="eastAsia" w:ascii="宋体" w:hAnsi="宋体"/>
          <w:szCs w:val="21"/>
        </w:rPr>
        <w:t>1.3“专用条款”是对本次采购项目的具体要求，包含投标人资格要求、招标项目需求、投标文件格式、附件等内容。</w:t>
      </w:r>
    </w:p>
    <w:p>
      <w:pPr>
        <w:ind w:firstLine="411" w:firstLineChars="196"/>
        <w:rPr>
          <w:rFonts w:ascii="宋体" w:hAnsi="宋体"/>
          <w:szCs w:val="21"/>
        </w:rPr>
      </w:pPr>
      <w:r>
        <w:rPr>
          <w:rFonts w:hint="eastAsia" w:ascii="宋体" w:hAnsi="宋体"/>
          <w:szCs w:val="21"/>
        </w:rPr>
        <w:t>1.4“通用条款”是适用于采购项目的基础性条款，具有普遍性和通用性。</w:t>
      </w:r>
    </w:p>
    <w:p>
      <w:pPr>
        <w:ind w:firstLine="411" w:firstLineChars="196"/>
        <w:rPr>
          <w:rFonts w:ascii="宋体" w:hAnsi="宋体"/>
          <w:szCs w:val="21"/>
        </w:rPr>
      </w:pPr>
      <w:r>
        <w:rPr>
          <w:rFonts w:hint="eastAsia" w:ascii="宋体" w:hAnsi="宋体"/>
          <w:szCs w:val="21"/>
        </w:rPr>
        <w:t>1.5 “专用条款”和“通用条款”表述不一致或有冲突时，以“专用条款”为准。</w:t>
      </w:r>
    </w:p>
    <w:p>
      <w:pPr>
        <w:spacing w:line="360" w:lineRule="auto"/>
        <w:rPr>
          <w:rFonts w:ascii="黑体" w:hAnsi="宋体" w:eastAsia="黑体"/>
          <w:sz w:val="24"/>
        </w:rPr>
      </w:pPr>
      <w:r>
        <w:rPr>
          <w:rFonts w:hint="eastAsia" w:ascii="黑体" w:hAnsi="宋体" w:eastAsia="黑体"/>
          <w:sz w:val="24"/>
        </w:rPr>
        <w:t>2．招标说明</w:t>
      </w:r>
    </w:p>
    <w:p>
      <w:pPr>
        <w:ind w:firstLine="411" w:firstLineChars="196"/>
        <w:rPr>
          <w:rFonts w:ascii="宋体" w:hAnsi="宋体"/>
          <w:szCs w:val="21"/>
        </w:rPr>
      </w:pPr>
      <w:r>
        <w:rPr>
          <w:rFonts w:hint="eastAsia" w:ascii="宋体" w:hAnsi="宋体"/>
          <w:szCs w:val="21"/>
        </w:rPr>
        <w:t>本项目按照《深圳经济特区政府采购条例》、 《深圳经济特区政府采购条例实施细则》和深圳大学的有关规定，并参考有关法规和规定通过招标方式确定中标供应商。</w:t>
      </w:r>
    </w:p>
    <w:p>
      <w:pPr>
        <w:spacing w:line="360" w:lineRule="auto"/>
        <w:rPr>
          <w:rFonts w:ascii="黑体" w:hAnsi="宋体" w:eastAsia="黑体"/>
          <w:sz w:val="24"/>
        </w:rPr>
      </w:pPr>
      <w:r>
        <w:rPr>
          <w:rFonts w:hint="eastAsia" w:ascii="黑体" w:hAnsi="宋体" w:eastAsia="黑体"/>
          <w:sz w:val="24"/>
        </w:rPr>
        <w:t>3．定义</w:t>
      </w:r>
    </w:p>
    <w:p>
      <w:pPr>
        <w:ind w:firstLine="420" w:firstLineChars="200"/>
        <w:rPr>
          <w:rFonts w:ascii="宋体" w:hAnsi="宋体"/>
          <w:szCs w:val="21"/>
        </w:rPr>
      </w:pPr>
      <w:r>
        <w:rPr>
          <w:rFonts w:hint="eastAsia" w:ascii="宋体" w:hAnsi="宋体"/>
          <w:szCs w:val="21"/>
        </w:rPr>
        <w:t>招标文件中下列术语应解释为：</w:t>
      </w:r>
    </w:p>
    <w:p>
      <w:pPr>
        <w:ind w:firstLine="411" w:firstLineChars="196"/>
        <w:rPr>
          <w:rFonts w:ascii="宋体" w:hAnsi="宋体"/>
          <w:szCs w:val="21"/>
        </w:rPr>
      </w:pPr>
      <w:r>
        <w:rPr>
          <w:rFonts w:hint="eastAsia" w:ascii="宋体" w:hAnsi="宋体"/>
          <w:szCs w:val="21"/>
        </w:rPr>
        <w:t>3.1“学校采购机构”系指深圳大学招投标管理中心；</w:t>
      </w:r>
    </w:p>
    <w:p>
      <w:pPr>
        <w:ind w:firstLine="411" w:firstLineChars="196"/>
        <w:rPr>
          <w:rFonts w:ascii="宋体" w:hAnsi="宋体"/>
          <w:szCs w:val="21"/>
        </w:rPr>
      </w:pPr>
      <w:r>
        <w:rPr>
          <w:rFonts w:hint="eastAsia" w:ascii="宋体" w:hAnsi="宋体"/>
          <w:szCs w:val="21"/>
        </w:rPr>
        <w:t xml:space="preserve">3.2“采购人”或“采购单位”：系指深圳大学、深圳大学下属单位； </w:t>
      </w:r>
    </w:p>
    <w:p>
      <w:pPr>
        <w:ind w:firstLine="411" w:firstLineChars="196"/>
        <w:rPr>
          <w:rFonts w:ascii="宋体" w:hAnsi="宋体"/>
          <w:szCs w:val="21"/>
        </w:rPr>
      </w:pPr>
      <w:r>
        <w:rPr>
          <w:rFonts w:hint="eastAsia" w:ascii="宋体" w:hAnsi="宋体"/>
          <w:szCs w:val="21"/>
        </w:rPr>
        <w:t>3.3“投标人”或“投标方”，即供应商，是指参加投标竞争并愿意按照招标文件要求向采购人提供货物、工程或者服务的依法成立的法人、其他组织或者自然人；</w:t>
      </w:r>
    </w:p>
    <w:p>
      <w:pPr>
        <w:ind w:firstLine="411" w:firstLineChars="196"/>
        <w:rPr>
          <w:rFonts w:ascii="宋体" w:hAnsi="宋体"/>
          <w:szCs w:val="21"/>
        </w:rPr>
      </w:pPr>
      <w:r>
        <w:rPr>
          <w:rFonts w:hint="eastAsia" w:ascii="宋体" w:hAnsi="宋体"/>
          <w:szCs w:val="21"/>
        </w:rPr>
        <w:t>3.4“评审委员会”和“谈判小组”是依据《深圳经济特区政府采购条例》、《深圳经济特区政府采购条例实施细则》和深圳大学的有关规定组建的专门负责本次招标的评审（谈判）工作的临时性机构；</w:t>
      </w:r>
    </w:p>
    <w:p>
      <w:pPr>
        <w:ind w:firstLine="411" w:firstLineChars="196"/>
        <w:rPr>
          <w:rFonts w:ascii="宋体" w:hAnsi="宋体"/>
          <w:szCs w:val="21"/>
        </w:rPr>
      </w:pPr>
      <w:r>
        <w:rPr>
          <w:rFonts w:hint="eastAsia" w:ascii="宋体" w:hAnsi="宋体"/>
          <w:szCs w:val="21"/>
        </w:rPr>
        <w:t>3.5“日期”指公历日；</w:t>
      </w:r>
    </w:p>
    <w:p>
      <w:pPr>
        <w:ind w:firstLine="411" w:firstLineChars="196"/>
        <w:rPr>
          <w:rFonts w:ascii="宋体" w:hAnsi="宋体"/>
          <w:szCs w:val="21"/>
        </w:rPr>
      </w:pPr>
      <w:r>
        <w:rPr>
          <w:rFonts w:hint="eastAsia" w:ascii="宋体" w:hAnsi="宋体"/>
          <w:szCs w:val="21"/>
        </w:rPr>
        <w:t>3.6“时间”如未特别说明，均为北京时间；</w:t>
      </w:r>
    </w:p>
    <w:p>
      <w:pPr>
        <w:ind w:firstLine="411" w:firstLineChars="196"/>
        <w:rPr>
          <w:rFonts w:ascii="宋体" w:hAnsi="宋体"/>
          <w:szCs w:val="21"/>
        </w:rPr>
      </w:pPr>
      <w:r>
        <w:rPr>
          <w:rFonts w:hint="eastAsia" w:ascii="宋体" w:hAnsi="宋体"/>
          <w:szCs w:val="21"/>
        </w:rPr>
        <w:t>3.7“合同”指由本次招标所产生的合同或合约文件；</w:t>
      </w:r>
    </w:p>
    <w:p>
      <w:pPr>
        <w:ind w:firstLine="411" w:firstLineChars="196"/>
        <w:rPr>
          <w:rFonts w:ascii="宋体" w:hAnsi="宋体"/>
          <w:szCs w:val="21"/>
        </w:rPr>
      </w:pPr>
      <w:r>
        <w:rPr>
          <w:rFonts w:hint="eastAsia" w:ascii="宋体" w:hAnsi="宋体"/>
          <w:szCs w:val="21"/>
        </w:rPr>
        <w:t>3.8招标文件中的标题或题名仅起引导作用，而不应视为对招标文件内容的理解和解释。</w:t>
      </w:r>
    </w:p>
    <w:p>
      <w:pPr>
        <w:spacing w:line="360" w:lineRule="auto"/>
        <w:rPr>
          <w:rFonts w:ascii="黑体" w:hAnsi="宋体" w:eastAsia="黑体"/>
          <w:sz w:val="24"/>
        </w:rPr>
      </w:pPr>
      <w:r>
        <w:rPr>
          <w:rFonts w:hint="eastAsia" w:ascii="黑体" w:hAnsi="宋体" w:eastAsia="黑体"/>
          <w:sz w:val="24"/>
        </w:rPr>
        <w:t>4. 供应商责任</w:t>
      </w:r>
    </w:p>
    <w:p>
      <w:pPr>
        <w:ind w:firstLine="411" w:firstLineChars="196"/>
        <w:rPr>
          <w:rFonts w:ascii="宋体" w:hAnsi="宋体"/>
          <w:szCs w:val="21"/>
        </w:rPr>
      </w:pPr>
      <w:r>
        <w:rPr>
          <w:rFonts w:hint="eastAsia" w:ascii="宋体" w:hAnsi="宋体"/>
          <w:szCs w:val="21"/>
        </w:rPr>
        <w:t>4.1欢迎诚信、有实力和有社会责任心的供应商参与深圳大学采购事务。</w:t>
      </w:r>
    </w:p>
    <w:p>
      <w:pPr>
        <w:ind w:firstLine="411" w:firstLineChars="196"/>
        <w:rPr>
          <w:rFonts w:ascii="宋体" w:hAnsi="宋体"/>
          <w:szCs w:val="21"/>
        </w:rPr>
      </w:pPr>
      <w:r>
        <w:rPr>
          <w:rFonts w:hint="eastAsia" w:ascii="宋体" w:hAnsi="宋体"/>
          <w:szCs w:val="21"/>
        </w:rPr>
        <w:t>4.2投标人应当遵循公平竞争的原则，不得恶意串通，不得妨碍其他投标人的竞争行为，不得损害采购人或者其他投标人的合法权益。如违反上述要求，经核实后，供应商的投标无效。</w:t>
      </w:r>
    </w:p>
    <w:p>
      <w:pPr>
        <w:spacing w:line="360" w:lineRule="auto"/>
        <w:rPr>
          <w:rFonts w:ascii="黑体" w:hAnsi="宋体" w:eastAsia="黑体"/>
          <w:sz w:val="24"/>
        </w:rPr>
      </w:pPr>
      <w:r>
        <w:rPr>
          <w:rFonts w:hint="eastAsia" w:ascii="黑体" w:hAnsi="宋体" w:eastAsia="黑体"/>
          <w:sz w:val="24"/>
        </w:rPr>
        <w:t>5．投标人参加深圳大学采购活动的条件</w:t>
      </w:r>
    </w:p>
    <w:p>
      <w:pPr>
        <w:ind w:firstLine="411" w:firstLineChars="196"/>
        <w:rPr>
          <w:rFonts w:ascii="宋体" w:hAnsi="宋体"/>
          <w:szCs w:val="21"/>
        </w:rPr>
      </w:pPr>
      <w:r>
        <w:rPr>
          <w:rFonts w:hint="eastAsia" w:ascii="宋体" w:hAnsi="宋体"/>
          <w:szCs w:val="21"/>
        </w:rPr>
        <w:t>5.1投标人的资格要求</w:t>
      </w:r>
    </w:p>
    <w:p>
      <w:pPr>
        <w:ind w:firstLine="411" w:firstLineChars="196"/>
        <w:rPr>
          <w:rFonts w:ascii="宋体" w:hAnsi="宋体"/>
          <w:szCs w:val="21"/>
        </w:rPr>
      </w:pPr>
      <w:r>
        <w:rPr>
          <w:rFonts w:hint="eastAsia" w:ascii="宋体" w:hAnsi="宋体"/>
          <w:szCs w:val="21"/>
        </w:rPr>
        <w:t>参加本项目的投标人应具备的资格条件详见本项目招标公告中的内容。</w:t>
      </w:r>
    </w:p>
    <w:p>
      <w:pPr>
        <w:spacing w:line="360" w:lineRule="auto"/>
        <w:rPr>
          <w:rFonts w:ascii="黑体" w:hAnsi="宋体" w:eastAsia="黑体"/>
          <w:sz w:val="24"/>
        </w:rPr>
      </w:pPr>
      <w:r>
        <w:rPr>
          <w:rFonts w:hint="eastAsia" w:ascii="黑体" w:hAnsi="宋体" w:eastAsia="黑体"/>
          <w:sz w:val="24"/>
        </w:rPr>
        <w:t>6．联合体投标</w:t>
      </w:r>
    </w:p>
    <w:p>
      <w:pPr>
        <w:ind w:firstLine="411" w:firstLineChars="196"/>
        <w:rPr>
          <w:rFonts w:ascii="宋体" w:hAnsi="宋体"/>
        </w:rPr>
      </w:pPr>
      <w:r>
        <w:rPr>
          <w:rFonts w:hint="eastAsia" w:ascii="宋体" w:hAnsi="宋体"/>
        </w:rPr>
        <w:t>6.1　</w:t>
      </w:r>
      <w:r>
        <w:rPr>
          <w:rFonts w:hint="eastAsia"/>
        </w:rPr>
        <w:t>以下有关联合体投标的条款仅适用于允许投标人组成联合体投标的项目。</w:t>
      </w:r>
    </w:p>
    <w:p>
      <w:pPr>
        <w:ind w:firstLine="411" w:firstLineChars="196"/>
        <w:rPr>
          <w:rFonts w:ascii="宋体" w:hAnsi="宋体"/>
        </w:rPr>
      </w:pPr>
      <w:r>
        <w:rPr>
          <w:rFonts w:hint="eastAsia" w:ascii="宋体" w:hAnsi="宋体"/>
        </w:rPr>
        <w:t>6.2　由两个或</w:t>
      </w:r>
      <w:r>
        <w:rPr>
          <w:rFonts w:hint="eastAsia"/>
        </w:rPr>
        <w:t>两个以上的自然人、法人或者其他组织可以组成一个联合体，以一个供应商的身份</w:t>
      </w:r>
      <w:r>
        <w:rPr>
          <w:rFonts w:hint="eastAsia" w:ascii="宋体" w:hAnsi="宋体"/>
        </w:rPr>
        <w:t>共同投标时，应符合以下原则：</w:t>
      </w:r>
    </w:p>
    <w:p>
      <w:pPr>
        <w:ind w:firstLine="411" w:firstLineChars="196"/>
        <w:rPr>
          <w:rFonts w:ascii="宋体" w:hAnsi="宋体"/>
        </w:rPr>
      </w:pPr>
      <w:r>
        <w:rPr>
          <w:rFonts w:hint="eastAsia" w:ascii="宋体" w:hAnsi="宋体"/>
        </w:rPr>
        <w:t xml:space="preserve">（1）投标联合体各方参加深圳大学的采购活动应当具备下列条件： </w:t>
      </w:r>
    </w:p>
    <w:p>
      <w:pPr>
        <w:ind w:left="420" w:leftChars="200" w:firstLine="411" w:firstLineChars="196"/>
        <w:rPr>
          <w:rFonts w:ascii="宋体" w:hAnsi="宋体"/>
        </w:rPr>
      </w:pPr>
      <w:r>
        <w:rPr>
          <w:rFonts w:hint="eastAsia" w:ascii="宋体" w:hAnsi="宋体"/>
        </w:rPr>
        <w:t xml:space="preserve">1、具有独立承担民事责任的能力； </w:t>
      </w:r>
    </w:p>
    <w:p>
      <w:pPr>
        <w:ind w:left="420" w:firstLine="411" w:firstLineChars="196"/>
        <w:rPr>
          <w:rFonts w:ascii="宋体" w:hAnsi="宋体"/>
        </w:rPr>
      </w:pPr>
      <w:r>
        <w:rPr>
          <w:rFonts w:hint="eastAsia" w:ascii="宋体" w:hAnsi="宋体"/>
        </w:rPr>
        <w:t xml:space="preserve">2、有良好的商业信誉和健全的财务会计制度； </w:t>
      </w:r>
    </w:p>
    <w:p>
      <w:pPr>
        <w:ind w:left="420" w:leftChars="200" w:firstLine="411" w:firstLineChars="196"/>
        <w:rPr>
          <w:rFonts w:ascii="宋体" w:hAnsi="宋体"/>
        </w:rPr>
      </w:pPr>
      <w:r>
        <w:rPr>
          <w:rFonts w:hint="eastAsia" w:ascii="宋体" w:hAnsi="宋体"/>
        </w:rPr>
        <w:t xml:space="preserve">3、具有履行合同所必需的设备和专业技术能力； </w:t>
      </w:r>
    </w:p>
    <w:p>
      <w:pPr>
        <w:ind w:left="420" w:leftChars="200" w:firstLine="411" w:firstLineChars="196"/>
        <w:rPr>
          <w:rFonts w:ascii="宋体" w:hAnsi="宋体"/>
        </w:rPr>
      </w:pPr>
      <w:r>
        <w:rPr>
          <w:rFonts w:hint="eastAsia" w:ascii="宋体" w:hAnsi="宋体"/>
        </w:rPr>
        <w:t xml:space="preserve">4、有依法缴纳税收和社会保障资金的良好记录； </w:t>
      </w:r>
    </w:p>
    <w:p>
      <w:pPr>
        <w:ind w:left="420" w:leftChars="200" w:firstLine="411" w:firstLineChars="196"/>
        <w:rPr>
          <w:rFonts w:ascii="宋体" w:hAnsi="宋体"/>
        </w:rPr>
      </w:pPr>
      <w:r>
        <w:rPr>
          <w:rFonts w:hint="eastAsia" w:ascii="宋体" w:hAnsi="宋体"/>
        </w:rPr>
        <w:t xml:space="preserve">5、参加采购活动前三年内，在经营活动中没有重大违法记录； </w:t>
      </w:r>
    </w:p>
    <w:p>
      <w:pPr>
        <w:ind w:left="420" w:leftChars="200" w:firstLine="411" w:firstLineChars="196"/>
        <w:rPr>
          <w:rFonts w:ascii="宋体" w:hAnsi="宋体"/>
        </w:rPr>
      </w:pPr>
      <w:r>
        <w:rPr>
          <w:rFonts w:hint="eastAsia" w:ascii="宋体" w:hAnsi="宋体"/>
        </w:rPr>
        <w:t xml:space="preserve">6、法律、行政法规规定的其他条件。 </w:t>
      </w:r>
    </w:p>
    <w:p>
      <w:pPr>
        <w:ind w:firstLine="411" w:firstLineChars="196"/>
        <w:rPr>
          <w:rFonts w:ascii="宋体" w:hAnsi="宋体"/>
        </w:rPr>
      </w:pPr>
      <w:r>
        <w:rPr>
          <w:rFonts w:hint="eastAsia" w:ascii="宋体" w:hAnsi="宋体"/>
        </w:rPr>
        <w:t>（2）投标联合体各方中至少应当有一方符合采购人规定的特定条件。联合体中有同类资质的供应商按照联合体分工承担相同工作的，应当按照资质等级较低的供应商确定资质等级。联合体各方的不同资质可优势互补。</w:t>
      </w:r>
    </w:p>
    <w:p>
      <w:pPr>
        <w:ind w:firstLine="411" w:firstLineChars="196"/>
        <w:rPr>
          <w:rFonts w:ascii="宋体" w:hAnsi="宋体"/>
        </w:rPr>
      </w:pPr>
      <w:r>
        <w:rPr>
          <w:rFonts w:hint="eastAsia" w:ascii="宋体" w:hAnsi="宋体"/>
        </w:rPr>
        <w:t>（3）投标人的投标文件及中标后签署的合同协议对联合体各方均具法律约束力；</w:t>
      </w:r>
    </w:p>
    <w:p>
      <w:pPr>
        <w:ind w:firstLine="411" w:firstLineChars="196"/>
        <w:rPr>
          <w:rFonts w:ascii="宋体" w:hAnsi="宋体"/>
        </w:rPr>
      </w:pPr>
      <w:r>
        <w:rPr>
          <w:rFonts w:hint="eastAsia" w:ascii="宋体" w:hAnsi="宋体"/>
        </w:rPr>
        <w:t>（4）联合体各方应当签订共同投标协议，明确约定各方拟承担的工作和责任，并将该共同投标协议随投标文件一并递交给学校采购机构；</w:t>
      </w:r>
    </w:p>
    <w:p>
      <w:pPr>
        <w:ind w:firstLine="411" w:firstLineChars="196"/>
        <w:rPr>
          <w:rFonts w:ascii="宋体" w:hAnsi="宋体"/>
        </w:rPr>
      </w:pPr>
      <w:r>
        <w:rPr>
          <w:rFonts w:hint="eastAsia" w:ascii="宋体" w:hAnsi="宋体"/>
        </w:rPr>
        <w:t>（5）是否允许联合体参加投标，应当由采购人和采购代理机构根据项目的实际情况和潜在供应商的数量自主决定，如果决定接受联合体投标则应当在采购公告中明示。</w:t>
      </w:r>
    </w:p>
    <w:p>
      <w:pPr>
        <w:ind w:firstLine="411" w:firstLineChars="196"/>
        <w:rPr>
          <w:rFonts w:ascii="宋体" w:hAnsi="宋体"/>
        </w:rPr>
      </w:pPr>
      <w:r>
        <w:rPr>
          <w:rFonts w:hint="eastAsia" w:ascii="宋体" w:hAnsi="宋体"/>
        </w:rPr>
        <w:t>（6）联合体的各方应当共同推荐一联合体投标授权代表方，由联合体各方提交一份授权书，证明其有资格代表联合体各方签署投标文件，该授权书作为投标文件的组成部分一并提交给学校采购机构；</w:t>
      </w:r>
    </w:p>
    <w:p>
      <w:pPr>
        <w:ind w:firstLine="411" w:firstLineChars="196"/>
        <w:rPr>
          <w:rFonts w:ascii="宋体" w:hAnsi="宋体"/>
        </w:rPr>
      </w:pPr>
      <w:r>
        <w:rPr>
          <w:rFonts w:hint="eastAsia" w:ascii="宋体" w:hAnsi="宋体"/>
        </w:rPr>
        <w:t>（7）联合体中标后，联合体各方应当共同与采购人签订合同，就中标项目向采购人承担连带责任；</w:t>
      </w:r>
    </w:p>
    <w:p>
      <w:pPr>
        <w:ind w:firstLine="411" w:firstLineChars="196"/>
        <w:rPr>
          <w:rFonts w:ascii="宋体" w:hAnsi="宋体"/>
        </w:rPr>
      </w:pPr>
      <w:r>
        <w:rPr>
          <w:rFonts w:hint="eastAsia" w:ascii="宋体" w:hAnsi="宋体"/>
        </w:rPr>
        <w:t>（8）以联合体形式参加本项目采购活动的，联合体各方不得再单独参加或者与其他供应商另外组成联合体参加同一合同项下的采购活动，出现上述情况者，其投标和与此有关联合体、总包单位的投标将被拒绝；</w:t>
      </w:r>
    </w:p>
    <w:p>
      <w:pPr>
        <w:ind w:firstLine="411" w:firstLineChars="196"/>
        <w:rPr>
          <w:rFonts w:ascii="宋体" w:hAnsi="宋体"/>
        </w:rPr>
      </w:pPr>
      <w:r>
        <w:rPr>
          <w:rFonts w:hint="eastAsia" w:ascii="宋体" w:hAnsi="宋体"/>
        </w:rPr>
        <w:t>（9）本通用条款中“投标人”一词亦指联合体各方，专用条款另有规定或说明的除外。</w:t>
      </w:r>
    </w:p>
    <w:p>
      <w:pPr>
        <w:spacing w:line="360" w:lineRule="auto"/>
        <w:rPr>
          <w:rFonts w:ascii="黑体" w:hAnsi="宋体" w:eastAsia="黑体"/>
          <w:sz w:val="24"/>
        </w:rPr>
      </w:pPr>
      <w:r>
        <w:rPr>
          <w:rFonts w:hint="eastAsia" w:ascii="黑体" w:hAnsi="宋体" w:eastAsia="黑体"/>
          <w:sz w:val="24"/>
        </w:rPr>
        <w:t>7.本项目若涉及采购货物，则合格的货物及相应服务应满足以下要求：</w:t>
      </w:r>
    </w:p>
    <w:p>
      <w:pPr>
        <w:ind w:firstLine="411" w:firstLineChars="196"/>
        <w:rPr>
          <w:rFonts w:ascii="宋体" w:hAnsi="宋体"/>
        </w:rPr>
      </w:pPr>
      <w:r>
        <w:rPr>
          <w:rFonts w:hint="eastAsia" w:ascii="宋体" w:hAnsi="宋体"/>
        </w:rPr>
        <w:t>7.1  必须是全新、未使用过的原装合格正品（包括零部件），如安装或配置了软件的，须为正版软件。</w:t>
      </w:r>
    </w:p>
    <w:p>
      <w:pPr>
        <w:ind w:firstLine="411" w:firstLineChars="196"/>
        <w:rPr>
          <w:rFonts w:ascii="宋体" w:hAnsi="宋体"/>
        </w:rPr>
      </w:pPr>
      <w:r>
        <w:rPr>
          <w:rFonts w:hint="eastAsia" w:ascii="宋体" w:hAnsi="宋体"/>
        </w:rPr>
        <w:t>7.2  国产的货物及其有关服务必须符合中华人民共和国的设计、制造生产标准及行业标准。招标公告有其他要求的，亦应符合其要求。</w:t>
      </w:r>
    </w:p>
    <w:p>
      <w:pPr>
        <w:ind w:firstLine="411" w:firstLineChars="196"/>
        <w:rPr>
          <w:rFonts w:ascii="宋体" w:hAnsi="宋体"/>
        </w:rPr>
      </w:pPr>
      <w:r>
        <w:rPr>
          <w:rFonts w:hint="eastAsia" w:ascii="宋体" w:hAnsi="宋体"/>
        </w:rPr>
        <w:t>7.3  进口货物及其有关服务必须符合原产地和中华人民共和国的设计和制造生产标准及行业标准。进口的货物必须具有合法的进口手续和途径，并通过中华人民共和国商检部门检验。招标公告有其他要求的，亦应符合其要求。</w:t>
      </w:r>
    </w:p>
    <w:p>
      <w:pPr>
        <w:ind w:firstLine="411" w:firstLineChars="196"/>
        <w:rPr>
          <w:rFonts w:ascii="宋体" w:hAnsi="宋体"/>
        </w:rPr>
      </w:pPr>
      <w:r>
        <w:rPr>
          <w:rFonts w:hint="eastAsia" w:ascii="宋体" w:hAnsi="宋体"/>
        </w:rPr>
        <w:t>7.4  投标人应保证，其所提供的货物在提供给采购人前具有完全的所有权，采购人在中华人民共和国使用该货物或货物的任何一部分时，不会产生因第三方提出的包括但不限于侵犯其专利权、商标权、工业设计权等知识产权和侵犯其所有权、抵押权等物权及其他权利而引发的纠纷。如有纠纷，投标人应承担全部责任。</w:t>
      </w:r>
    </w:p>
    <w:p>
      <w:pPr>
        <w:ind w:firstLine="411" w:firstLineChars="196"/>
        <w:rPr>
          <w:rFonts w:ascii="宋体" w:hAnsi="宋体"/>
        </w:rPr>
      </w:pPr>
      <w:r>
        <w:rPr>
          <w:rFonts w:hint="eastAsia" w:ascii="宋体" w:hAnsi="宋体"/>
        </w:rPr>
        <w:t>7.5  投标人应保证，其所提供的货物应具有行政主管部门颁发的资质证书或国家质量监督部门的产品《检验报告》。设备到货验收时，还必须提供设备的产品合格证、质量保证文件。若中标后，除非另有约定，投标人必须按合同规定完成设备的安装，并达到验收标准。</w:t>
      </w:r>
    </w:p>
    <w:p>
      <w:pPr>
        <w:ind w:firstLine="411" w:firstLineChars="196"/>
        <w:rPr>
          <w:rFonts w:ascii="宋体" w:hAnsi="宋体"/>
        </w:rPr>
      </w:pPr>
      <w:r>
        <w:rPr>
          <w:rFonts w:hint="eastAsia" w:ascii="宋体" w:hAnsi="宋体"/>
        </w:rPr>
        <w:t>7.6  对工期的要求：投标人在投标时对其所投项目应提交货进度、交货计划等，在合同规定的时间内完工验收。</w:t>
      </w:r>
    </w:p>
    <w:p>
      <w:pPr>
        <w:ind w:firstLine="411" w:firstLineChars="196"/>
        <w:rPr>
          <w:rFonts w:ascii="宋体" w:hAnsi="宋体"/>
        </w:rPr>
      </w:pPr>
      <w:r>
        <w:rPr>
          <w:rFonts w:hint="eastAsia" w:ascii="宋体" w:hAnsi="宋体"/>
        </w:rPr>
        <w:t>7.7  投标人必须承担的设备运输、安装调试、验收检测和提供设备操作说明书、图纸等其他相关及类似的义务。</w:t>
      </w:r>
    </w:p>
    <w:p>
      <w:pPr>
        <w:spacing w:line="360" w:lineRule="auto"/>
        <w:rPr>
          <w:rFonts w:ascii="黑体" w:hAnsi="宋体" w:eastAsia="黑体"/>
          <w:sz w:val="24"/>
        </w:rPr>
      </w:pPr>
      <w:r>
        <w:rPr>
          <w:rFonts w:hint="eastAsia" w:ascii="黑体" w:hAnsi="宋体" w:eastAsia="黑体"/>
          <w:sz w:val="24"/>
        </w:rPr>
        <w:t>8．投标费用</w:t>
      </w:r>
    </w:p>
    <w:p>
      <w:pPr>
        <w:ind w:firstLine="411" w:firstLineChars="196"/>
        <w:rPr>
          <w:rFonts w:ascii="宋体" w:hAnsi="宋体"/>
          <w:szCs w:val="21"/>
        </w:rPr>
      </w:pPr>
      <w:r>
        <w:rPr>
          <w:rFonts w:hint="eastAsia" w:ascii="宋体" w:hAnsi="宋体"/>
          <w:szCs w:val="21"/>
        </w:rPr>
        <w:t>不论投标结果如何，投标人应承担其编制投标文件与递交投标文件所涉及的一切费用。</w:t>
      </w:r>
    </w:p>
    <w:p>
      <w:pPr>
        <w:spacing w:line="360" w:lineRule="auto"/>
        <w:rPr>
          <w:rFonts w:ascii="黑体" w:hAnsi="宋体" w:eastAsia="黑体"/>
          <w:sz w:val="24"/>
        </w:rPr>
      </w:pPr>
      <w:r>
        <w:rPr>
          <w:rFonts w:hint="eastAsia" w:ascii="黑体" w:hAnsi="宋体" w:eastAsia="黑体"/>
          <w:sz w:val="24"/>
        </w:rPr>
        <w:t>9．踏勘现场</w:t>
      </w:r>
    </w:p>
    <w:p>
      <w:pPr>
        <w:ind w:firstLine="411" w:firstLineChars="196"/>
        <w:rPr>
          <w:rFonts w:ascii="宋体" w:hAnsi="宋体"/>
        </w:rPr>
      </w:pPr>
      <w:r>
        <w:rPr>
          <w:rFonts w:hint="eastAsia" w:ascii="宋体" w:hAnsi="宋体"/>
        </w:rPr>
        <w:t>9.1如有需要（详见专用条款），学校采购机构或采购人将组织投标人对项目现场及周围环境进行踏勘，以便投标人获取有关编制投标文件和签署合同所需的资料。踏勘现场所发生的费用由投标人自行承担。投标人应按招标公告所约定的时间、地点踏勘现场。</w:t>
      </w:r>
    </w:p>
    <w:p>
      <w:pPr>
        <w:ind w:firstLine="411" w:firstLineChars="196"/>
        <w:rPr>
          <w:rFonts w:ascii="宋体" w:hAnsi="宋体"/>
        </w:rPr>
      </w:pPr>
      <w:r>
        <w:rPr>
          <w:rFonts w:hint="eastAsia" w:ascii="宋体" w:hAnsi="宋体"/>
        </w:rPr>
        <w:t>9.2投标人及其人员经过采购人的允许，可以进入采购人的项目现场踏勘。若招标文件要求投标人于统一时间地点踏勘现场的，投标人应当按时前往。</w:t>
      </w:r>
    </w:p>
    <w:p>
      <w:pPr>
        <w:ind w:firstLine="411" w:firstLineChars="196"/>
        <w:rPr>
          <w:rFonts w:ascii="宋体" w:hAnsi="宋体"/>
        </w:rPr>
      </w:pPr>
      <w:r>
        <w:rPr>
          <w:rFonts w:hint="eastAsia" w:ascii="宋体" w:hAnsi="宋体"/>
        </w:rPr>
        <w:t>9.3采购人必须通过学校采购机构向投标人提供有关现场的资料和数据。</w:t>
      </w:r>
    </w:p>
    <w:p>
      <w:pPr>
        <w:ind w:firstLine="411" w:firstLineChars="196"/>
        <w:rPr>
          <w:rFonts w:ascii="宋体" w:hAnsi="宋体"/>
        </w:rPr>
      </w:pPr>
      <w:r>
        <w:rPr>
          <w:rFonts w:hint="eastAsia" w:ascii="宋体" w:hAnsi="宋体"/>
        </w:rPr>
        <w:t>9.4任何人或任何组织在踏勘现场时向投标人提交的任何书面资料或口头承诺，未经学校采购机构在网上发布或书面通知，均作无效处理。</w:t>
      </w:r>
    </w:p>
    <w:p>
      <w:pPr>
        <w:spacing w:line="360" w:lineRule="auto"/>
        <w:rPr>
          <w:rFonts w:ascii="黑体" w:hAnsi="宋体" w:eastAsia="黑体"/>
          <w:sz w:val="24"/>
        </w:rPr>
      </w:pPr>
      <w:r>
        <w:rPr>
          <w:rFonts w:hint="eastAsia" w:ascii="黑体" w:hAnsi="宋体" w:eastAsia="黑体"/>
          <w:sz w:val="24"/>
        </w:rPr>
        <w:t>10．招标答疑</w:t>
      </w:r>
    </w:p>
    <w:p>
      <w:pPr>
        <w:ind w:firstLine="411" w:firstLineChars="196"/>
        <w:rPr>
          <w:rFonts w:ascii="宋体" w:hAnsi="宋体"/>
          <w:szCs w:val="21"/>
        </w:rPr>
      </w:pPr>
      <w:r>
        <w:rPr>
          <w:rFonts w:hint="eastAsia" w:ascii="宋体" w:hAnsi="宋体"/>
          <w:szCs w:val="21"/>
        </w:rPr>
        <w:t>10.1招标答疑的目的是澄清、解答投标人在查阅招标文件后或现场踏勘中可能提出的与投标有关的疑问或询问。</w:t>
      </w:r>
    </w:p>
    <w:p>
      <w:pPr>
        <w:ind w:firstLine="411" w:firstLineChars="196"/>
        <w:rPr>
          <w:rFonts w:ascii="宋体" w:hAnsi="宋体"/>
          <w:szCs w:val="21"/>
        </w:rPr>
      </w:pPr>
      <w:r>
        <w:rPr>
          <w:rFonts w:hint="eastAsia" w:ascii="宋体" w:hAnsi="宋体"/>
          <w:szCs w:val="21"/>
        </w:rPr>
        <w:t>10.2投标人如对招标文件内容有疑问，必须在招标文件规定的答疑截止时间前以书面形式提交给学校采购机构。</w:t>
      </w:r>
    </w:p>
    <w:p>
      <w:pPr>
        <w:ind w:firstLine="411" w:firstLineChars="196"/>
        <w:rPr>
          <w:rFonts w:ascii="宋体" w:hAnsi="宋体"/>
          <w:szCs w:val="21"/>
        </w:rPr>
      </w:pPr>
      <w:r>
        <w:rPr>
          <w:rFonts w:hint="eastAsia" w:ascii="宋体" w:hAnsi="宋体"/>
          <w:szCs w:val="21"/>
        </w:rPr>
        <w:t>10.3学校采购机构对疑问所做出的澄清和解答，以书面答复（包括网站发布信息）为准。答疑纪要的有效性规定按照本通用条款第13.3、13.4款规定执行。</w:t>
      </w:r>
    </w:p>
    <w:p>
      <w:pPr>
        <w:ind w:firstLine="411" w:firstLineChars="196"/>
        <w:rPr>
          <w:rFonts w:ascii="宋体" w:hAnsi="宋体"/>
          <w:szCs w:val="21"/>
        </w:rPr>
      </w:pPr>
      <w:r>
        <w:rPr>
          <w:rFonts w:hint="eastAsia" w:ascii="宋体" w:hAnsi="宋体"/>
          <w:szCs w:val="21"/>
        </w:rPr>
        <w:t>10.4如学校采购机构认为有必要组织现场答疑会，投标人应按照招标文件规定的时间或学校采购机构另行书面通知（包括网站发布的通知）的时间和地点，参与现场答疑会。</w:t>
      </w:r>
    </w:p>
    <w:p>
      <w:pPr>
        <w:ind w:firstLine="411" w:firstLineChars="196"/>
        <w:rPr>
          <w:rFonts w:ascii="宋体" w:hAnsi="宋体"/>
          <w:szCs w:val="21"/>
        </w:rPr>
      </w:pPr>
      <w:r>
        <w:rPr>
          <w:rFonts w:hint="eastAsia" w:ascii="宋体" w:hAnsi="宋体"/>
          <w:szCs w:val="21"/>
        </w:rPr>
        <w:t>10.5未参与招标答疑不作为否定投标人资格的理由。</w:t>
      </w:r>
    </w:p>
    <w:p>
      <w:pPr>
        <w:ind w:firstLine="411" w:firstLineChars="196"/>
        <w:rPr>
          <w:rFonts w:ascii="宋体" w:hAnsi="宋体"/>
        </w:rPr>
      </w:pPr>
    </w:p>
    <w:p>
      <w:pPr>
        <w:keepNext/>
        <w:keepLines/>
        <w:numPr>
          <w:ilvl w:val="0"/>
          <w:numId w:val="12"/>
        </w:numPr>
        <w:adjustRightInd w:val="0"/>
        <w:spacing w:before="120" w:beforeLines="50" w:after="120" w:afterLines="50"/>
        <w:ind w:left="562" w:hanging="562"/>
        <w:jc w:val="center"/>
        <w:textAlignment w:val="baseline"/>
        <w:outlineLvl w:val="1"/>
        <w:rPr>
          <w:rFonts w:ascii="Arial" w:hAnsi="Arial" w:eastAsia="黑体"/>
          <w:b/>
          <w:bCs/>
          <w:sz w:val="28"/>
          <w:szCs w:val="28"/>
        </w:rPr>
      </w:pPr>
      <w:r>
        <w:rPr>
          <w:rFonts w:hint="eastAsia" w:ascii="Arial" w:hAnsi="Arial" w:eastAsia="黑体"/>
          <w:b/>
          <w:bCs/>
          <w:sz w:val="28"/>
          <w:szCs w:val="28"/>
        </w:rPr>
        <w:t>招标文件</w:t>
      </w:r>
    </w:p>
    <w:p>
      <w:pPr>
        <w:spacing w:line="360" w:lineRule="auto"/>
        <w:rPr>
          <w:rFonts w:ascii="黑体" w:hAnsi="宋体" w:eastAsia="黑体"/>
          <w:sz w:val="24"/>
        </w:rPr>
      </w:pPr>
      <w:r>
        <w:rPr>
          <w:rFonts w:hint="eastAsia" w:ascii="黑体" w:hAnsi="宋体" w:eastAsia="黑体"/>
          <w:sz w:val="24"/>
        </w:rPr>
        <w:t>11．招标文件的编制与组成</w:t>
      </w:r>
    </w:p>
    <w:p>
      <w:pPr>
        <w:snapToGrid w:val="0"/>
        <w:ind w:firstLine="420" w:firstLineChars="200"/>
        <w:rPr>
          <w:rFonts w:ascii="宋体" w:hAnsi="宋体"/>
          <w:szCs w:val="21"/>
        </w:rPr>
      </w:pPr>
      <w:r>
        <w:rPr>
          <w:rFonts w:hint="eastAsia" w:ascii="宋体" w:hAnsi="宋体"/>
          <w:szCs w:val="21"/>
        </w:rPr>
        <w:t>11.1招标文件除以下内容外，学校采购机构在招标（或谈判）期间发出的答疑、澄清或修改等相关公告或通知内容，均是招标文件的组成部分，对投标人起约束作用；</w:t>
      </w:r>
    </w:p>
    <w:p>
      <w:pPr>
        <w:ind w:firstLine="411" w:firstLineChars="196"/>
        <w:rPr>
          <w:rFonts w:ascii="宋体" w:hAnsi="宋体"/>
          <w:szCs w:val="21"/>
        </w:rPr>
      </w:pPr>
      <w:r>
        <w:rPr>
          <w:rFonts w:hint="eastAsia" w:ascii="宋体" w:hAnsi="宋体"/>
          <w:szCs w:val="21"/>
        </w:rPr>
        <w:t>招标文件包括下列内容：</w:t>
      </w:r>
    </w:p>
    <w:p>
      <w:pPr>
        <w:ind w:left="420" w:leftChars="200" w:firstLine="413" w:firstLineChars="196"/>
        <w:rPr>
          <w:rFonts w:ascii="宋体" w:hAnsi="宋体"/>
          <w:b/>
          <w:szCs w:val="21"/>
        </w:rPr>
      </w:pPr>
      <w:r>
        <w:rPr>
          <w:rFonts w:hint="eastAsia" w:ascii="宋体" w:hAnsi="宋体"/>
          <w:b/>
          <w:szCs w:val="21"/>
        </w:rPr>
        <w:t>第一册  专用条款</w:t>
      </w:r>
    </w:p>
    <w:p>
      <w:pPr>
        <w:ind w:left="1079" w:leftChars="514"/>
        <w:rPr>
          <w:rFonts w:ascii="宋体" w:hAnsi="宋体"/>
          <w:b/>
          <w:szCs w:val="21"/>
        </w:rPr>
      </w:pPr>
      <w:r>
        <w:rPr>
          <w:rFonts w:hint="eastAsia" w:ascii="宋体" w:hAnsi="宋体"/>
          <w:b/>
          <w:szCs w:val="21"/>
        </w:rPr>
        <w:t>关键信息</w:t>
      </w:r>
    </w:p>
    <w:p>
      <w:pPr>
        <w:ind w:left="630" w:leftChars="300" w:firstLine="411" w:firstLineChars="196"/>
        <w:rPr>
          <w:rFonts w:ascii="宋体" w:hAnsi="宋体"/>
          <w:szCs w:val="21"/>
        </w:rPr>
      </w:pPr>
      <w:r>
        <w:rPr>
          <w:rFonts w:hint="eastAsia" w:ascii="宋体" w:hAnsi="宋体"/>
          <w:szCs w:val="21"/>
        </w:rPr>
        <w:t>第一章  招标公告</w:t>
      </w:r>
    </w:p>
    <w:p>
      <w:pPr>
        <w:ind w:left="630" w:leftChars="300" w:firstLine="411" w:firstLineChars="196"/>
        <w:rPr>
          <w:rFonts w:ascii="宋体" w:hAnsi="宋体"/>
          <w:szCs w:val="21"/>
        </w:rPr>
      </w:pPr>
      <w:r>
        <w:rPr>
          <w:rFonts w:hint="eastAsia" w:ascii="宋体" w:hAnsi="宋体"/>
          <w:szCs w:val="21"/>
        </w:rPr>
        <w:t>第二章  招标项目需求</w:t>
      </w:r>
    </w:p>
    <w:p>
      <w:pPr>
        <w:ind w:left="630" w:leftChars="300" w:firstLine="411" w:firstLineChars="196"/>
        <w:rPr>
          <w:rFonts w:ascii="宋体" w:hAnsi="宋体"/>
          <w:szCs w:val="21"/>
        </w:rPr>
      </w:pPr>
      <w:r>
        <w:rPr>
          <w:rFonts w:hint="eastAsia" w:ascii="宋体" w:hAnsi="宋体"/>
          <w:szCs w:val="21"/>
        </w:rPr>
        <w:t>第三章  投标文件格式</w:t>
      </w:r>
    </w:p>
    <w:p>
      <w:pPr>
        <w:ind w:left="630" w:leftChars="300" w:firstLine="411" w:firstLineChars="196"/>
        <w:rPr>
          <w:rFonts w:ascii="宋体" w:hAnsi="宋体"/>
          <w:szCs w:val="21"/>
        </w:rPr>
      </w:pPr>
      <w:r>
        <w:rPr>
          <w:rFonts w:hint="eastAsia" w:ascii="宋体" w:hAnsi="宋体"/>
          <w:szCs w:val="21"/>
        </w:rPr>
        <w:t>第四章  合同及履约情况反馈表格式</w:t>
      </w:r>
    </w:p>
    <w:p>
      <w:pPr>
        <w:ind w:left="420" w:leftChars="200" w:firstLine="413" w:firstLineChars="196"/>
        <w:rPr>
          <w:rFonts w:ascii="宋体" w:hAnsi="宋体"/>
          <w:b/>
          <w:szCs w:val="21"/>
        </w:rPr>
      </w:pPr>
      <w:r>
        <w:rPr>
          <w:rFonts w:hint="eastAsia" w:ascii="宋体" w:hAnsi="宋体"/>
          <w:b/>
          <w:szCs w:val="21"/>
        </w:rPr>
        <w:t>第二册  通用条款</w:t>
      </w:r>
    </w:p>
    <w:p>
      <w:pPr>
        <w:tabs>
          <w:tab w:val="left" w:pos="360"/>
        </w:tabs>
        <w:ind w:firstLine="1079" w:firstLineChars="514"/>
        <w:rPr>
          <w:szCs w:val="21"/>
        </w:rPr>
      </w:pPr>
      <w:r>
        <w:rPr>
          <w:rFonts w:hint="eastAsia"/>
          <w:szCs w:val="21"/>
        </w:rPr>
        <w:t>第一章</w:t>
      </w:r>
      <w:r>
        <w:rPr>
          <w:szCs w:val="21"/>
        </w:rPr>
        <w:t xml:space="preserve">  </w:t>
      </w:r>
      <w:r>
        <w:rPr>
          <w:rFonts w:hint="eastAsia"/>
          <w:szCs w:val="21"/>
        </w:rPr>
        <w:t>总则</w:t>
      </w:r>
    </w:p>
    <w:p>
      <w:pPr>
        <w:tabs>
          <w:tab w:val="left" w:pos="360"/>
        </w:tabs>
        <w:ind w:firstLine="1079" w:firstLineChars="514"/>
        <w:rPr>
          <w:szCs w:val="21"/>
        </w:rPr>
      </w:pPr>
      <w:r>
        <w:rPr>
          <w:rFonts w:hint="eastAsia"/>
          <w:szCs w:val="21"/>
        </w:rPr>
        <w:t>第二章</w:t>
      </w:r>
      <w:r>
        <w:rPr>
          <w:szCs w:val="21"/>
        </w:rPr>
        <w:t xml:space="preserve">  </w:t>
      </w:r>
      <w:r>
        <w:rPr>
          <w:rFonts w:hint="eastAsia"/>
          <w:szCs w:val="21"/>
        </w:rPr>
        <w:t>招标文件</w:t>
      </w:r>
    </w:p>
    <w:p>
      <w:pPr>
        <w:tabs>
          <w:tab w:val="left" w:pos="360"/>
        </w:tabs>
        <w:ind w:firstLine="1079" w:firstLineChars="514"/>
        <w:rPr>
          <w:szCs w:val="21"/>
        </w:rPr>
      </w:pPr>
      <w:r>
        <w:rPr>
          <w:rFonts w:hint="eastAsia"/>
          <w:szCs w:val="21"/>
        </w:rPr>
        <w:t>第三章</w:t>
      </w:r>
      <w:r>
        <w:rPr>
          <w:szCs w:val="21"/>
        </w:rPr>
        <w:t xml:space="preserve">  </w:t>
      </w:r>
      <w:r>
        <w:rPr>
          <w:rFonts w:hint="eastAsia"/>
          <w:szCs w:val="21"/>
        </w:rPr>
        <w:t>投标文件的编制</w:t>
      </w:r>
    </w:p>
    <w:p>
      <w:pPr>
        <w:tabs>
          <w:tab w:val="left" w:pos="360"/>
        </w:tabs>
        <w:ind w:firstLine="1079" w:firstLineChars="514"/>
        <w:rPr>
          <w:szCs w:val="21"/>
        </w:rPr>
      </w:pPr>
      <w:r>
        <w:rPr>
          <w:rFonts w:hint="eastAsia"/>
          <w:szCs w:val="21"/>
        </w:rPr>
        <w:t>第四章</w:t>
      </w:r>
      <w:r>
        <w:rPr>
          <w:szCs w:val="21"/>
        </w:rPr>
        <w:t xml:space="preserve">  </w:t>
      </w:r>
      <w:r>
        <w:rPr>
          <w:rFonts w:hint="eastAsia"/>
          <w:szCs w:val="21"/>
        </w:rPr>
        <w:t>投标文件的递交</w:t>
      </w:r>
    </w:p>
    <w:p>
      <w:pPr>
        <w:tabs>
          <w:tab w:val="left" w:pos="360"/>
        </w:tabs>
        <w:ind w:firstLine="1079" w:firstLineChars="514"/>
        <w:rPr>
          <w:szCs w:val="21"/>
        </w:rPr>
      </w:pPr>
      <w:r>
        <w:rPr>
          <w:rFonts w:hint="eastAsia"/>
          <w:szCs w:val="21"/>
        </w:rPr>
        <w:t>第五章</w:t>
      </w:r>
      <w:r>
        <w:rPr>
          <w:szCs w:val="21"/>
        </w:rPr>
        <w:t xml:space="preserve">  </w:t>
      </w:r>
      <w:r>
        <w:rPr>
          <w:rFonts w:hint="eastAsia"/>
          <w:szCs w:val="21"/>
        </w:rPr>
        <w:t>开标</w:t>
      </w:r>
    </w:p>
    <w:p>
      <w:pPr>
        <w:tabs>
          <w:tab w:val="left" w:pos="360"/>
        </w:tabs>
        <w:ind w:firstLine="1079" w:firstLineChars="514"/>
        <w:rPr>
          <w:szCs w:val="21"/>
        </w:rPr>
      </w:pPr>
      <w:r>
        <w:rPr>
          <w:rFonts w:hint="eastAsia"/>
          <w:szCs w:val="21"/>
        </w:rPr>
        <w:t>第六章</w:t>
      </w:r>
      <w:r>
        <w:rPr>
          <w:szCs w:val="21"/>
        </w:rPr>
        <w:t xml:space="preserve">  </w:t>
      </w:r>
      <w:r>
        <w:rPr>
          <w:rFonts w:hint="eastAsia"/>
          <w:szCs w:val="21"/>
        </w:rPr>
        <w:t>评标要求</w:t>
      </w:r>
    </w:p>
    <w:p>
      <w:pPr>
        <w:tabs>
          <w:tab w:val="left" w:pos="360"/>
        </w:tabs>
        <w:ind w:firstLine="1079" w:firstLineChars="514"/>
        <w:rPr>
          <w:szCs w:val="21"/>
        </w:rPr>
      </w:pPr>
      <w:r>
        <w:rPr>
          <w:rFonts w:hint="eastAsia"/>
          <w:szCs w:val="21"/>
        </w:rPr>
        <w:t>第七章</w:t>
      </w:r>
      <w:r>
        <w:rPr>
          <w:szCs w:val="21"/>
        </w:rPr>
        <w:t xml:space="preserve">  </w:t>
      </w:r>
      <w:r>
        <w:rPr>
          <w:rFonts w:hint="eastAsia"/>
          <w:szCs w:val="21"/>
        </w:rPr>
        <w:t>评标程序及评标方法</w:t>
      </w:r>
    </w:p>
    <w:p>
      <w:pPr>
        <w:tabs>
          <w:tab w:val="left" w:pos="360"/>
        </w:tabs>
        <w:ind w:firstLine="1079" w:firstLineChars="514"/>
        <w:rPr>
          <w:szCs w:val="21"/>
        </w:rPr>
      </w:pPr>
      <w:r>
        <w:rPr>
          <w:rFonts w:hint="eastAsia"/>
          <w:szCs w:val="21"/>
        </w:rPr>
        <w:t>第八章</w:t>
      </w:r>
      <w:r>
        <w:rPr>
          <w:szCs w:val="21"/>
        </w:rPr>
        <w:t xml:space="preserve">  </w:t>
      </w:r>
      <w:r>
        <w:rPr>
          <w:rFonts w:hint="eastAsia"/>
          <w:szCs w:val="21"/>
        </w:rPr>
        <w:t>定标及公示</w:t>
      </w:r>
    </w:p>
    <w:p>
      <w:pPr>
        <w:tabs>
          <w:tab w:val="left" w:pos="360"/>
        </w:tabs>
        <w:ind w:firstLine="1079" w:firstLineChars="514"/>
        <w:rPr>
          <w:szCs w:val="21"/>
        </w:rPr>
      </w:pPr>
      <w:r>
        <w:rPr>
          <w:rFonts w:hint="eastAsia"/>
          <w:szCs w:val="21"/>
        </w:rPr>
        <w:t>第九章</w:t>
      </w:r>
      <w:r>
        <w:rPr>
          <w:szCs w:val="21"/>
        </w:rPr>
        <w:t xml:space="preserve">  </w:t>
      </w:r>
      <w:r>
        <w:rPr>
          <w:rFonts w:hint="eastAsia"/>
          <w:szCs w:val="21"/>
        </w:rPr>
        <w:t>公开招标失败的后续处理</w:t>
      </w:r>
    </w:p>
    <w:p>
      <w:pPr>
        <w:tabs>
          <w:tab w:val="left" w:pos="360"/>
        </w:tabs>
        <w:ind w:firstLine="1079" w:firstLineChars="514"/>
        <w:rPr>
          <w:szCs w:val="21"/>
        </w:rPr>
      </w:pPr>
      <w:r>
        <w:rPr>
          <w:rFonts w:hint="eastAsia"/>
          <w:szCs w:val="21"/>
        </w:rPr>
        <w:t>第十章</w:t>
      </w:r>
      <w:r>
        <w:rPr>
          <w:szCs w:val="21"/>
        </w:rPr>
        <w:t xml:space="preserve">  </w:t>
      </w:r>
      <w:r>
        <w:rPr>
          <w:rFonts w:hint="eastAsia"/>
          <w:szCs w:val="21"/>
        </w:rPr>
        <w:t>合同的授予与备案</w:t>
      </w:r>
    </w:p>
    <w:p>
      <w:pPr>
        <w:tabs>
          <w:tab w:val="left" w:pos="360"/>
        </w:tabs>
        <w:ind w:firstLine="1079" w:firstLineChars="514"/>
        <w:rPr>
          <w:szCs w:val="21"/>
        </w:rPr>
      </w:pPr>
      <w:r>
        <w:rPr>
          <w:rFonts w:hint="eastAsia"/>
          <w:szCs w:val="21"/>
        </w:rPr>
        <w:t>第十一章</w:t>
      </w:r>
      <w:r>
        <w:rPr>
          <w:szCs w:val="21"/>
        </w:rPr>
        <w:t xml:space="preserve">  </w:t>
      </w:r>
      <w:r>
        <w:rPr>
          <w:rFonts w:hint="eastAsia"/>
          <w:szCs w:val="21"/>
        </w:rPr>
        <w:t>质疑处理</w:t>
      </w:r>
    </w:p>
    <w:p>
      <w:pPr>
        <w:ind w:firstLine="411" w:firstLineChars="196"/>
        <w:rPr>
          <w:rFonts w:ascii="宋体" w:hAnsi="宋体"/>
          <w:szCs w:val="21"/>
        </w:rPr>
      </w:pPr>
      <w:r>
        <w:rPr>
          <w:rFonts w:hint="eastAsia" w:ascii="宋体" w:hAnsi="宋体"/>
          <w:szCs w:val="21"/>
        </w:rPr>
        <w:t>11.2 投标人获得招标文件后，应仔细检查招标文件的所有内容，如有疑问应在答疑截止时间之前向学校采购机构提出，否则，由此引起的投标损失自负；投标人同时应认真审阅招标文件所有的事项、格式、条款和规范要求等，如果投标人的投标文件未按招标文件要求提交全部资料或者投标文件未对招标文件做出实质性响应，其风险应由投标人自行承担。</w:t>
      </w:r>
    </w:p>
    <w:p>
      <w:pPr>
        <w:ind w:firstLine="411" w:firstLineChars="196"/>
        <w:rPr>
          <w:rFonts w:ascii="宋体" w:hAnsi="宋体"/>
          <w:szCs w:val="21"/>
        </w:rPr>
      </w:pPr>
      <w:r>
        <w:rPr>
          <w:rFonts w:hint="eastAsia" w:ascii="宋体" w:hAnsi="宋体"/>
          <w:szCs w:val="21"/>
        </w:rPr>
        <w:t>11.3</w:t>
      </w:r>
      <w:r>
        <w:rPr>
          <w:rFonts w:hint="eastAsia" w:ascii="宋体" w:hAnsi="宋体"/>
        </w:rPr>
        <w:t>任何人或任何组织向投标人提交的任何书面或口头资料，未经学校采购机构在网上发布或书面通知，均作无效处理，不得作为招标文件的组成部分。学校采购机构对投标人由此而做出的推论、理解和结论概不负责。</w:t>
      </w:r>
    </w:p>
    <w:p>
      <w:pPr>
        <w:spacing w:line="360" w:lineRule="auto"/>
        <w:rPr>
          <w:rFonts w:ascii="黑体" w:hAnsi="宋体" w:eastAsia="黑体"/>
          <w:sz w:val="24"/>
        </w:rPr>
      </w:pPr>
      <w:r>
        <w:rPr>
          <w:rFonts w:hint="eastAsia" w:ascii="黑体" w:hAnsi="宋体" w:eastAsia="黑体"/>
          <w:sz w:val="24"/>
        </w:rPr>
        <w:t>12．招标文件的澄清</w:t>
      </w:r>
    </w:p>
    <w:p>
      <w:pPr>
        <w:snapToGrid w:val="0"/>
        <w:ind w:firstLine="420" w:firstLineChars="200"/>
        <w:rPr>
          <w:rFonts w:ascii="宋体" w:hAnsi="宋体"/>
          <w:szCs w:val="21"/>
        </w:rPr>
      </w:pPr>
      <w:r>
        <w:rPr>
          <w:rFonts w:hint="eastAsia" w:ascii="宋体" w:hAnsi="宋体"/>
          <w:szCs w:val="21"/>
        </w:rPr>
        <w:t>12.1投标人如对招标文件内容有疑问，必须在招标文件规定的答疑截止时间前以书面形式提交给向学校采购机构。不论是学校采购机构根据需要主动对招标文件进行必要的澄清或是根据投标人的要求对招标文件做出澄清，学校采购机构都将在投标截止日期前以书面形式（包括学校采购机构网站公开发布方式）答复或发送给所有投标人。澄清纪要作为招标文件的组成部分，对投标人起约束作用；</w:t>
      </w:r>
    </w:p>
    <w:p>
      <w:pPr>
        <w:snapToGrid w:val="0"/>
        <w:ind w:firstLine="420" w:firstLineChars="200"/>
        <w:rPr>
          <w:rFonts w:ascii="宋体" w:hAnsi="宋体"/>
          <w:szCs w:val="21"/>
        </w:rPr>
      </w:pPr>
      <w:r>
        <w:rPr>
          <w:rFonts w:hint="eastAsia" w:ascii="宋体" w:hAnsi="宋体"/>
          <w:szCs w:val="21"/>
        </w:rPr>
        <w:t>12.2对于没有提出澄清又参与了该项目投标的供应商将被视为完全认同该</w:t>
      </w:r>
      <w:r>
        <w:rPr>
          <w:rFonts w:hint="eastAsia"/>
        </w:rPr>
        <w:t>招标文件（含澄清纪要）</w:t>
      </w:r>
      <w:r>
        <w:rPr>
          <w:rFonts w:hint="eastAsia" w:ascii="宋体" w:hAnsi="宋体"/>
          <w:szCs w:val="21"/>
        </w:rPr>
        <w:t>。</w:t>
      </w:r>
    </w:p>
    <w:p>
      <w:pPr>
        <w:snapToGrid w:val="0"/>
        <w:ind w:firstLine="420" w:firstLineChars="200"/>
        <w:rPr>
          <w:rFonts w:ascii="宋体" w:hAnsi="宋体"/>
          <w:szCs w:val="21"/>
        </w:rPr>
      </w:pPr>
      <w:r>
        <w:rPr>
          <w:rFonts w:hint="eastAsia" w:ascii="宋体" w:hAnsi="宋体"/>
          <w:szCs w:val="21"/>
        </w:rPr>
        <w:t>12.3 对招标文件中描述有歧义或前后不一致的地方，评审委员会有权进行评判，但对同一条款的评判应适用于每个投标人。</w:t>
      </w:r>
    </w:p>
    <w:p>
      <w:pPr>
        <w:spacing w:line="360" w:lineRule="auto"/>
        <w:rPr>
          <w:rFonts w:ascii="黑体" w:hAnsi="宋体" w:eastAsia="黑体"/>
          <w:sz w:val="24"/>
        </w:rPr>
      </w:pPr>
      <w:r>
        <w:rPr>
          <w:rFonts w:hint="eastAsia" w:ascii="黑体" w:hAnsi="宋体" w:eastAsia="黑体"/>
          <w:sz w:val="24"/>
        </w:rPr>
        <w:t>13．招标文件的修改</w:t>
      </w:r>
    </w:p>
    <w:p>
      <w:pPr>
        <w:ind w:firstLine="411" w:firstLineChars="196"/>
        <w:rPr>
          <w:rFonts w:ascii="宋体" w:hAnsi="宋体"/>
          <w:szCs w:val="21"/>
        </w:rPr>
      </w:pPr>
      <w:r>
        <w:rPr>
          <w:rFonts w:hint="eastAsia" w:ascii="宋体" w:hAnsi="宋体"/>
          <w:szCs w:val="21"/>
        </w:rPr>
        <w:t>13.1招标文件发出后，在投标截止日期前任何时候，确需要变更招标内容的，学校采购机构可主动或在解答投标人提出的澄清问题时对招标文件进行修改；</w:t>
      </w:r>
    </w:p>
    <w:p>
      <w:pPr>
        <w:ind w:firstLine="411" w:firstLineChars="196"/>
        <w:rPr>
          <w:rFonts w:ascii="宋体" w:hAnsi="宋体"/>
          <w:szCs w:val="21"/>
        </w:rPr>
      </w:pPr>
      <w:r>
        <w:rPr>
          <w:rFonts w:hint="eastAsia" w:ascii="宋体" w:hAnsi="宋体"/>
          <w:szCs w:val="21"/>
        </w:rPr>
        <w:t>13.2招标文件的修改以书面形式（包括网站公开发布方式）发送给所有投标人，招标文件的修改内容作为招标文件的组成部分，并具有约束力。</w:t>
      </w:r>
    </w:p>
    <w:p>
      <w:pPr>
        <w:ind w:firstLine="411" w:firstLineChars="196"/>
        <w:rPr>
          <w:rFonts w:ascii="宋体" w:hAnsi="宋体"/>
          <w:szCs w:val="21"/>
        </w:rPr>
      </w:pPr>
      <w:r>
        <w:rPr>
          <w:rFonts w:hint="eastAsia" w:ascii="宋体" w:hAnsi="宋体"/>
          <w:szCs w:val="21"/>
        </w:rPr>
        <w:t>13.3招标文件、招标文件澄清（答疑）纪要、招标文件修改补充通知内容均以书面（包括网站公开发布方式）明确的内容为准。当招标文件、修改补充通知、澄清（答疑）纪要内容相互矛盾时，以最后发出的内容为准；</w:t>
      </w:r>
    </w:p>
    <w:p>
      <w:pPr>
        <w:ind w:firstLine="411" w:firstLineChars="196"/>
        <w:rPr>
          <w:rFonts w:ascii="宋体" w:hAnsi="宋体"/>
          <w:szCs w:val="21"/>
        </w:rPr>
      </w:pPr>
      <w:r>
        <w:rPr>
          <w:rFonts w:hint="eastAsia" w:ascii="宋体" w:hAnsi="宋体"/>
          <w:szCs w:val="21"/>
        </w:rPr>
        <w:t>13.4学校采购机构保证招标文件澄清（答疑）纪要和招标文件修改补充通知在投标截止时间前以网站公开发布形式或书面形式发送给所有投标人。为使投标人在编写投标文件时有充分时间对招标文件的修改部分进行研究，学校采购机构可以酌情延长递交投标文件的截止日期，具体时间将在修改补充通知中明确。</w:t>
      </w:r>
    </w:p>
    <w:p>
      <w:pPr>
        <w:keepNext/>
        <w:keepLines/>
        <w:numPr>
          <w:ilvl w:val="0"/>
          <w:numId w:val="12"/>
        </w:numPr>
        <w:adjustRightInd w:val="0"/>
        <w:spacing w:before="120" w:beforeLines="50" w:after="120" w:afterLines="50"/>
        <w:ind w:left="562" w:hanging="562"/>
        <w:jc w:val="center"/>
        <w:textAlignment w:val="baseline"/>
        <w:outlineLvl w:val="1"/>
        <w:rPr>
          <w:rFonts w:ascii="Arial" w:hAnsi="Arial" w:eastAsia="黑体"/>
          <w:b/>
          <w:bCs/>
          <w:sz w:val="28"/>
          <w:szCs w:val="28"/>
        </w:rPr>
      </w:pPr>
      <w:r>
        <w:rPr>
          <w:rFonts w:hint="eastAsia" w:ascii="Arial" w:hAnsi="Arial" w:eastAsia="黑体"/>
          <w:b/>
          <w:bCs/>
          <w:sz w:val="28"/>
          <w:szCs w:val="28"/>
        </w:rPr>
        <w:t>投标文件的编制</w:t>
      </w:r>
    </w:p>
    <w:p>
      <w:pPr>
        <w:spacing w:line="360" w:lineRule="auto"/>
        <w:rPr>
          <w:rFonts w:ascii="黑体" w:hAnsi="宋体" w:eastAsia="黑体"/>
          <w:sz w:val="24"/>
        </w:rPr>
      </w:pPr>
      <w:r>
        <w:rPr>
          <w:rFonts w:hint="eastAsia" w:ascii="黑体" w:hAnsi="宋体" w:eastAsia="黑体"/>
          <w:sz w:val="24"/>
        </w:rPr>
        <w:t>14．投标文件的语言及度量单位</w:t>
      </w:r>
    </w:p>
    <w:p>
      <w:pPr>
        <w:ind w:firstLine="411" w:firstLineChars="196"/>
        <w:rPr>
          <w:rFonts w:ascii="宋体" w:hAnsi="宋体"/>
          <w:szCs w:val="21"/>
        </w:rPr>
      </w:pPr>
      <w:r>
        <w:rPr>
          <w:rFonts w:hint="eastAsia" w:ascii="宋体" w:hAnsi="宋体"/>
          <w:szCs w:val="21"/>
        </w:rPr>
        <w:t>14.1 投标人和学校采购机构之间与投标有关的所有往来通知、函件和投标文件均用中文表述。投标人随投标文件提供的证明文件和资料可以为其它语言，但必须附中文译文。翻译的中文资料与外文资料如果出现差异时，以中文为准，但翻译错误的除外。</w:t>
      </w:r>
    </w:p>
    <w:p>
      <w:pPr>
        <w:ind w:firstLine="411" w:firstLineChars="196"/>
        <w:rPr>
          <w:rFonts w:ascii="宋体" w:hAnsi="宋体"/>
          <w:szCs w:val="21"/>
        </w:rPr>
      </w:pPr>
      <w:r>
        <w:rPr>
          <w:rFonts w:hint="eastAsia" w:ascii="宋体" w:hAnsi="宋体"/>
          <w:szCs w:val="21"/>
        </w:rPr>
        <w:t>14.2 除技术规范另有规定外，投标文件使用的度量单位，均采用中华人民共和国法定计量单位。</w:t>
      </w:r>
    </w:p>
    <w:p>
      <w:pPr>
        <w:spacing w:line="360" w:lineRule="auto"/>
        <w:rPr>
          <w:rFonts w:ascii="黑体" w:hAnsi="宋体" w:eastAsia="黑体"/>
          <w:sz w:val="24"/>
        </w:rPr>
      </w:pPr>
      <w:r>
        <w:rPr>
          <w:rFonts w:hint="eastAsia" w:ascii="黑体" w:hAnsi="宋体" w:eastAsia="黑体"/>
          <w:sz w:val="24"/>
        </w:rPr>
        <w:t>15．投标文件的组成</w:t>
      </w:r>
    </w:p>
    <w:p>
      <w:pPr>
        <w:ind w:firstLine="413" w:firstLineChars="196"/>
        <w:rPr>
          <w:rFonts w:ascii="宋体" w:hAnsi="宋体"/>
          <w:b/>
          <w:szCs w:val="21"/>
        </w:rPr>
      </w:pPr>
      <w:r>
        <w:rPr>
          <w:rFonts w:hint="eastAsia" w:ascii="宋体" w:hAnsi="宋体"/>
          <w:b/>
          <w:szCs w:val="21"/>
        </w:rPr>
        <w:t>具体内容请详见本项目招标文件第一册“专用条款”的相关内容。</w:t>
      </w:r>
    </w:p>
    <w:p>
      <w:pPr>
        <w:spacing w:line="360" w:lineRule="auto"/>
        <w:rPr>
          <w:rFonts w:ascii="黑体" w:hAnsi="宋体" w:eastAsia="黑体"/>
          <w:sz w:val="24"/>
        </w:rPr>
      </w:pPr>
      <w:r>
        <w:rPr>
          <w:rFonts w:hint="eastAsia" w:ascii="黑体" w:hAnsi="宋体" w:eastAsia="黑体"/>
          <w:sz w:val="24"/>
        </w:rPr>
        <w:t>16．投标文件格式</w:t>
      </w:r>
    </w:p>
    <w:p>
      <w:pPr>
        <w:ind w:firstLine="411" w:firstLineChars="196"/>
        <w:rPr>
          <w:rFonts w:ascii="宋体" w:hAnsi="宋体"/>
          <w:szCs w:val="21"/>
        </w:rPr>
      </w:pPr>
      <w:r>
        <w:rPr>
          <w:rFonts w:hint="eastAsia" w:ascii="宋体" w:hAnsi="宋体"/>
          <w:szCs w:val="21"/>
        </w:rPr>
        <w:t>投标文件包括本通用条款第15条中规定的内容。如招标文件提供了投标文件格式，则</w:t>
      </w:r>
      <w:r>
        <w:rPr>
          <w:rFonts w:hint="eastAsia" w:ascii="宋体" w:hAnsi="宋体"/>
          <w:b/>
          <w:bCs/>
          <w:szCs w:val="21"/>
        </w:rPr>
        <w:t>投标人提交的投标文件应毫无例外地使用招标文件所提供的相应格式</w:t>
      </w:r>
      <w:r>
        <w:rPr>
          <w:rFonts w:hint="eastAsia" w:ascii="宋体" w:hAnsi="宋体"/>
          <w:szCs w:val="21"/>
        </w:rPr>
        <w:t>（表格可以按同样格式扩展）。</w:t>
      </w:r>
    </w:p>
    <w:p>
      <w:pPr>
        <w:spacing w:line="360" w:lineRule="auto"/>
        <w:rPr>
          <w:rFonts w:ascii="黑体" w:hAnsi="宋体" w:eastAsia="黑体"/>
          <w:sz w:val="24"/>
        </w:rPr>
      </w:pPr>
      <w:r>
        <w:rPr>
          <w:rFonts w:hint="eastAsia" w:ascii="黑体" w:hAnsi="宋体" w:eastAsia="黑体"/>
          <w:sz w:val="24"/>
        </w:rPr>
        <w:t>17．投标货币</w:t>
      </w:r>
    </w:p>
    <w:p>
      <w:pPr>
        <w:ind w:firstLine="411" w:firstLineChars="196"/>
        <w:rPr>
          <w:rFonts w:ascii="宋体" w:hAnsi="宋体"/>
          <w:szCs w:val="21"/>
        </w:rPr>
      </w:pPr>
      <w:r>
        <w:rPr>
          <w:rFonts w:hint="eastAsia" w:ascii="宋体" w:hAnsi="宋体"/>
          <w:szCs w:val="21"/>
        </w:rPr>
        <w:t>如招标文件第一册“专用条款”无另外规定，本项目的投标应以人民币计。</w:t>
      </w:r>
    </w:p>
    <w:p>
      <w:pPr>
        <w:spacing w:line="360" w:lineRule="auto"/>
        <w:rPr>
          <w:rFonts w:ascii="黑体" w:hAnsi="宋体" w:eastAsia="黑体"/>
          <w:sz w:val="24"/>
        </w:rPr>
      </w:pPr>
      <w:r>
        <w:rPr>
          <w:rFonts w:hint="eastAsia" w:ascii="黑体" w:hAnsi="宋体" w:eastAsia="黑体"/>
          <w:sz w:val="24"/>
        </w:rPr>
        <w:t>18．证明投标文件投标技术方案的合格性和符合招标文件规定的文件要求</w:t>
      </w:r>
    </w:p>
    <w:p>
      <w:pPr>
        <w:ind w:firstLine="411" w:firstLineChars="196"/>
        <w:rPr>
          <w:rFonts w:ascii="宋体" w:hAnsi="宋体"/>
          <w:szCs w:val="21"/>
        </w:rPr>
      </w:pPr>
      <w:r>
        <w:rPr>
          <w:rFonts w:hint="eastAsia" w:ascii="宋体" w:hAnsi="宋体"/>
          <w:szCs w:val="21"/>
        </w:rPr>
        <w:t>18.1 投标人应按照本项目招标文件第一册“专用条款”的要求提交证明文件证明其投标技术方案项下的货物、工程和服务的合格性符合招标文件规定。该投标技术方案及其证明文件作为投标文件的一部分。</w:t>
      </w:r>
    </w:p>
    <w:p>
      <w:pPr>
        <w:ind w:firstLine="411" w:firstLineChars="196"/>
        <w:rPr>
          <w:rFonts w:ascii="宋体" w:hAnsi="宋体"/>
          <w:szCs w:val="21"/>
        </w:rPr>
      </w:pPr>
      <w:r>
        <w:rPr>
          <w:rFonts w:hint="eastAsia" w:ascii="宋体" w:hAnsi="宋体"/>
          <w:szCs w:val="21"/>
        </w:rPr>
        <w:t>18.2 投标人提供证明投标技术方案与招标文件的要求相一致的文件，可以是文字资料、图纸、数据或数码照片、制造商公布的产品说明书、产品彩页和我国政府机构出具的产品检验和核准证件等，提供的文件应符合以下要求：</w:t>
      </w:r>
    </w:p>
    <w:p>
      <w:pPr>
        <w:ind w:firstLine="411" w:firstLineChars="196"/>
        <w:rPr>
          <w:rFonts w:ascii="宋体" w:hAnsi="宋体"/>
          <w:szCs w:val="21"/>
        </w:rPr>
      </w:pPr>
      <w:r>
        <w:rPr>
          <w:rFonts w:hint="eastAsia" w:ascii="宋体" w:hAnsi="宋体"/>
          <w:szCs w:val="21"/>
        </w:rPr>
        <w:t>18.2.1主要技术指标和性能的详细说明；</w:t>
      </w:r>
    </w:p>
    <w:p>
      <w:pPr>
        <w:ind w:firstLine="411" w:firstLineChars="196"/>
        <w:rPr>
          <w:rFonts w:ascii="宋体" w:hAnsi="宋体"/>
          <w:szCs w:val="21"/>
        </w:rPr>
      </w:pPr>
      <w:r>
        <w:rPr>
          <w:rFonts w:hint="eastAsia" w:ascii="宋体" w:hAnsi="宋体"/>
          <w:szCs w:val="21"/>
        </w:rPr>
        <w:t>18.2.2投标产品从采购人开始使用至招标文件中规定的周期内正常、连续地使用所必须的备件和专用工具清单，包括备件和专用工具的货源及现行价格；</w:t>
      </w:r>
    </w:p>
    <w:p>
      <w:pPr>
        <w:ind w:firstLine="411" w:firstLineChars="196"/>
        <w:rPr>
          <w:rFonts w:ascii="宋体" w:hAnsi="宋体"/>
          <w:szCs w:val="21"/>
        </w:rPr>
      </w:pPr>
      <w:r>
        <w:rPr>
          <w:rFonts w:hint="eastAsia" w:ascii="宋体" w:hAnsi="宋体"/>
          <w:szCs w:val="21"/>
        </w:rPr>
        <w:t>18.2.3对照招标文件技术规格，逐条说明投标技术方案已对采购人的技术规格做出了实质性的响应，或申明与技术规格条文的偏差和例外。投标人应详细说明投标技术方案中产品的具体参数，不得照搬照抄招标文件的技术要求；</w:t>
      </w:r>
    </w:p>
    <w:p>
      <w:pPr>
        <w:ind w:firstLine="411" w:firstLineChars="196"/>
        <w:rPr>
          <w:rFonts w:ascii="宋体" w:hAnsi="宋体"/>
          <w:szCs w:val="21"/>
        </w:rPr>
      </w:pPr>
      <w:r>
        <w:rPr>
          <w:rFonts w:hint="eastAsia" w:ascii="宋体" w:hAnsi="宋体"/>
          <w:szCs w:val="21"/>
        </w:rPr>
        <w:t>18.2.4产品说明书或彩页应为制造商公布或出具的中文产品说明书或彩页；提供外文说明书或彩页的，必须同时提供加盖制造商公章的对应中文翻译说明，评标依据以中文翻译内容为准，外文说明书或彩页仅供参考；产品说明书或彩页的尺寸和清晰度应该能够被阅读、识别和判断；</w:t>
      </w:r>
    </w:p>
    <w:p>
      <w:pPr>
        <w:ind w:firstLine="411" w:firstLineChars="196"/>
        <w:rPr>
          <w:rFonts w:ascii="宋体" w:hAnsi="宋体"/>
          <w:szCs w:val="21"/>
        </w:rPr>
      </w:pPr>
      <w:r>
        <w:rPr>
          <w:rFonts w:hint="eastAsia" w:ascii="宋体" w:hAnsi="宋体"/>
          <w:szCs w:val="21"/>
        </w:rPr>
        <w:t>18.2.5我国政府机构出具的产品检验和核准证件应为证件正面、背面和附件标注的全部具体内容；产品检验和核准证件的尺寸和清晰度应该能够被阅读、识别和判断，提供原件复印件。</w:t>
      </w:r>
    </w:p>
    <w:p>
      <w:pPr>
        <w:ind w:firstLine="411" w:firstLineChars="196"/>
        <w:rPr>
          <w:rFonts w:ascii="宋体" w:hAnsi="宋体"/>
          <w:szCs w:val="21"/>
        </w:rPr>
      </w:pPr>
      <w:r>
        <w:rPr>
          <w:rFonts w:hint="eastAsia" w:ascii="宋体" w:hAnsi="宋体"/>
          <w:szCs w:val="21"/>
        </w:rPr>
        <w:t>18.3相关资料不符合18.2款要求的，评审委员会有权认定为投标技术方案不合格响应，其相关分数予以扣减或作投标无效处理。</w:t>
      </w:r>
    </w:p>
    <w:p>
      <w:pPr>
        <w:ind w:firstLine="411" w:firstLineChars="196"/>
        <w:rPr>
          <w:rFonts w:ascii="宋体" w:hAnsi="宋体"/>
          <w:szCs w:val="21"/>
        </w:rPr>
      </w:pPr>
      <w:r>
        <w:rPr>
          <w:rFonts w:hint="eastAsia" w:ascii="宋体" w:hAnsi="宋体"/>
          <w:szCs w:val="21"/>
        </w:rPr>
        <w:t>18.4投标人在阐述上述第18.2时应注意采购人在技术规格中指出的工艺、材料和设备的标准以及参照的牌号或分类号仅起说明作用，并没有任何限制性。投标人在投标中可以选用替代标准、牌号或分类号，但这些替代要实质上满足招标文件中技术规格的要求，是否</w:t>
      </w:r>
      <w:r>
        <w:rPr>
          <w:rFonts w:hint="eastAsia"/>
        </w:rPr>
        <w:t>满足要求</w:t>
      </w:r>
      <w:r>
        <w:rPr>
          <w:rFonts w:hint="eastAsia" w:ascii="宋体" w:hAnsi="宋体"/>
          <w:szCs w:val="21"/>
        </w:rPr>
        <w:t>，由评审委员会来评判。</w:t>
      </w:r>
    </w:p>
    <w:p>
      <w:pPr>
        <w:ind w:firstLine="411" w:firstLineChars="196"/>
        <w:rPr>
          <w:rFonts w:ascii="宋体" w:hAnsi="宋体"/>
          <w:szCs w:val="21"/>
        </w:rPr>
      </w:pPr>
      <w:r>
        <w:rPr>
          <w:rFonts w:hint="eastAsia" w:ascii="宋体" w:hAnsi="宋体"/>
          <w:szCs w:val="21"/>
        </w:rPr>
        <w:t>18.5为保证公平公正，除非另有规定或说明，投标人对同一项目投标时，不得同时提供两套或两套以上的投标方案。</w:t>
      </w:r>
    </w:p>
    <w:p>
      <w:pPr>
        <w:spacing w:line="360" w:lineRule="auto"/>
        <w:rPr>
          <w:rFonts w:ascii="黑体" w:hAnsi="宋体" w:eastAsia="黑体"/>
          <w:sz w:val="24"/>
        </w:rPr>
      </w:pPr>
      <w:r>
        <w:rPr>
          <w:rFonts w:hint="eastAsia" w:ascii="黑体" w:hAnsi="宋体" w:eastAsia="黑体"/>
          <w:sz w:val="24"/>
        </w:rPr>
        <w:t>19．投标文件其他证明文件的要求</w:t>
      </w:r>
    </w:p>
    <w:p>
      <w:pPr>
        <w:ind w:firstLine="411" w:firstLineChars="196"/>
        <w:rPr>
          <w:rFonts w:ascii="宋体" w:hAnsi="宋体"/>
          <w:szCs w:val="21"/>
        </w:rPr>
      </w:pPr>
      <w:r>
        <w:rPr>
          <w:rFonts w:hint="eastAsia" w:ascii="宋体" w:hAnsi="宋体"/>
          <w:szCs w:val="21"/>
        </w:rPr>
        <w:t>19.1对项目招标文件《评标信息》评分项中涉及的相关业绩、社保情况等内容以及《资格性审查表》和《符合性审查表》中涉及的证明材料，投标人应提供相关部门出具的证明材料原件复印件，原件备查。有关复印的尺寸和清晰度要求能够被阅读、识别和判断。若投标人未按要求提供证明材料或提供的是部分证明材料或提供不清晰的复印件的，评审委员会有权认定其投标文件未对招标文件有关需求进行响应，涉及资格性检查或符合性检查的予以投标无效处理，涉及《评标信息》打分项的则该项评分予以0分处理。</w:t>
      </w:r>
    </w:p>
    <w:p>
      <w:pPr>
        <w:ind w:firstLine="411" w:firstLineChars="196"/>
        <w:rPr>
          <w:rFonts w:ascii="宋体" w:hAnsi="宋体"/>
          <w:szCs w:val="21"/>
        </w:rPr>
      </w:pPr>
      <w:r>
        <w:rPr>
          <w:rFonts w:hint="eastAsia" w:ascii="宋体" w:hAnsi="宋体"/>
          <w:szCs w:val="21"/>
        </w:rPr>
        <w:t>19.2本项目涉及提供的有关资质证书，若原有资质证书处于年审期间，须提供证书颁发部门提供的回执，并且回执须证明该证书依然有效（若在法规范围不需提供的，供应商应做书面说明并提供证明文件，否则该证书无效），则该投标人提供年审证明的可按原资质投标；若投标人正在申报上一级别资质，在未获批准之前，仍按原级别资质投标。</w:t>
      </w:r>
    </w:p>
    <w:p>
      <w:pPr>
        <w:spacing w:line="360" w:lineRule="auto"/>
        <w:rPr>
          <w:rFonts w:ascii="黑体" w:hAnsi="宋体" w:eastAsia="黑体"/>
          <w:sz w:val="24"/>
        </w:rPr>
      </w:pPr>
      <w:r>
        <w:rPr>
          <w:rFonts w:hint="eastAsia" w:ascii="黑体" w:hAnsi="宋体" w:eastAsia="黑体"/>
          <w:sz w:val="24"/>
        </w:rPr>
        <w:t>20．投标有效期</w:t>
      </w:r>
    </w:p>
    <w:p>
      <w:pPr>
        <w:ind w:firstLine="411" w:firstLineChars="196"/>
        <w:rPr>
          <w:rFonts w:ascii="宋体" w:hAnsi="宋体"/>
          <w:szCs w:val="21"/>
        </w:rPr>
      </w:pPr>
      <w:r>
        <w:rPr>
          <w:rFonts w:hint="eastAsia" w:ascii="宋体" w:hAnsi="宋体"/>
          <w:szCs w:val="21"/>
        </w:rPr>
        <w:t>20.1 投标有效期为</w:t>
      </w:r>
      <w:r>
        <w:rPr>
          <w:rFonts w:hint="eastAsia" w:ascii="Arial" w:hAnsi="Arial" w:cs="Arial"/>
          <w:szCs w:val="21"/>
        </w:rPr>
        <w:t>从投标截止之日算起的日历天数，具体见专用条款中投标有效期的天数要求。</w:t>
      </w:r>
      <w:r>
        <w:rPr>
          <w:rFonts w:hint="eastAsia" w:ascii="宋体" w:hAnsi="宋体"/>
          <w:szCs w:val="21"/>
        </w:rPr>
        <w:t>在此期限内，所有投标文件均保持有效；</w:t>
      </w:r>
    </w:p>
    <w:p>
      <w:pPr>
        <w:ind w:firstLine="411" w:firstLineChars="196"/>
        <w:rPr>
          <w:rFonts w:ascii="宋体" w:hAnsi="宋体"/>
          <w:szCs w:val="21"/>
        </w:rPr>
      </w:pPr>
      <w:r>
        <w:rPr>
          <w:rFonts w:hint="eastAsia" w:ascii="宋体" w:hAnsi="宋体"/>
          <w:szCs w:val="21"/>
        </w:rPr>
        <w:t>20.2 在特殊的情况下，学校采购机构在原定的投标有效期满之前，可以根据需要以书面形式（包括网站公开发布方式）向投标人提出延长投标有效期的要求，对此要求投标人须以书面形式予以答复，投标人可以拒绝学校采购机构此项要求，其投标在原投标有效期满后不再有效。同意延长投标有效期的投标人不能要求也不允许修改其投标文件，但应当相应的延长投标担保的有效期；</w:t>
      </w:r>
    </w:p>
    <w:p>
      <w:pPr>
        <w:ind w:firstLine="411" w:firstLineChars="196"/>
        <w:rPr>
          <w:rFonts w:ascii="宋体" w:hAnsi="宋体"/>
          <w:szCs w:val="21"/>
        </w:rPr>
      </w:pPr>
      <w:r>
        <w:rPr>
          <w:rFonts w:hint="eastAsia" w:ascii="宋体" w:hAnsi="宋体"/>
          <w:szCs w:val="21"/>
        </w:rPr>
        <w:t>20.3 中标单位的投标书有效期，截止于完成本招标文件规定的全部项目内容，并通过竣工验收及保修结束。</w:t>
      </w:r>
    </w:p>
    <w:p>
      <w:pPr>
        <w:spacing w:line="360" w:lineRule="auto"/>
        <w:rPr>
          <w:rFonts w:ascii="黑体" w:hAnsi="宋体" w:eastAsia="黑体"/>
          <w:sz w:val="24"/>
        </w:rPr>
      </w:pPr>
      <w:r>
        <w:rPr>
          <w:rFonts w:hint="eastAsia" w:ascii="黑体" w:hAnsi="宋体" w:eastAsia="黑体"/>
          <w:sz w:val="24"/>
        </w:rPr>
        <w:t>21．关于投标保证金</w:t>
      </w:r>
    </w:p>
    <w:p>
      <w:pPr>
        <w:ind w:firstLine="411" w:firstLineChars="196"/>
        <w:rPr>
          <w:rFonts w:ascii="宋体" w:hAnsi="宋体"/>
          <w:szCs w:val="21"/>
        </w:rPr>
      </w:pPr>
      <w:r>
        <w:rPr>
          <w:rFonts w:hint="eastAsia" w:ascii="宋体" w:hAnsi="宋体"/>
          <w:szCs w:val="21"/>
        </w:rPr>
        <w:t>21.1 为切实减轻企业负担，降低制度性交易成本，一般采购项目不收取投标保证金。</w:t>
      </w:r>
    </w:p>
    <w:p>
      <w:pPr>
        <w:ind w:firstLine="411" w:firstLineChars="196"/>
        <w:rPr>
          <w:rFonts w:ascii="宋体" w:hAnsi="宋体"/>
          <w:szCs w:val="21"/>
        </w:rPr>
      </w:pPr>
      <w:r>
        <w:rPr>
          <w:rFonts w:hint="eastAsia" w:ascii="宋体" w:hAnsi="宋体"/>
          <w:szCs w:val="21"/>
        </w:rPr>
        <w:t>21.2 若为重大项目，学校采购机构可自行决定另外收取投标保证金，不受21.1款限制。是否另外收取投标保证金，请见本招标文件“专用条款”《对通用条款的补充内容》中的相关要求。</w:t>
      </w:r>
    </w:p>
    <w:p>
      <w:pPr>
        <w:spacing w:line="360" w:lineRule="auto"/>
        <w:rPr>
          <w:rFonts w:ascii="黑体" w:hAnsi="宋体" w:eastAsia="黑体"/>
          <w:sz w:val="24"/>
        </w:rPr>
      </w:pPr>
      <w:r>
        <w:rPr>
          <w:rFonts w:hint="eastAsia" w:ascii="黑体" w:hAnsi="宋体" w:eastAsia="黑体"/>
          <w:sz w:val="24"/>
        </w:rPr>
        <w:t>22．投标人的替代方案</w:t>
      </w:r>
    </w:p>
    <w:p>
      <w:pPr>
        <w:ind w:firstLine="411" w:firstLineChars="196"/>
        <w:rPr>
          <w:rFonts w:ascii="宋体" w:hAnsi="宋体"/>
          <w:szCs w:val="21"/>
        </w:rPr>
      </w:pPr>
      <w:r>
        <w:rPr>
          <w:rFonts w:hint="eastAsia" w:ascii="宋体" w:hAnsi="宋体"/>
          <w:szCs w:val="21"/>
        </w:rPr>
        <w:t>22.1投标人所提交的投标文件应完全满足招标文件（包括图纸和技术规范所示的基本技术设计）的要求。除非招标的项目明确允许投标人提交替代方案，否则投标人有关替代方案的条款将初审不通过，投标无效。</w:t>
      </w:r>
    </w:p>
    <w:p>
      <w:pPr>
        <w:ind w:firstLine="411" w:firstLineChars="196"/>
        <w:rPr>
          <w:rFonts w:ascii="宋体" w:hAnsi="宋体"/>
          <w:szCs w:val="21"/>
        </w:rPr>
      </w:pPr>
      <w:r>
        <w:rPr>
          <w:rFonts w:hint="eastAsia" w:ascii="宋体" w:hAnsi="宋体"/>
          <w:szCs w:val="21"/>
        </w:rPr>
        <w:t>22.2 如果允许投标人提交替代方案，则准备提交替代方案的投标人除应提交一份满足招标文件（包括图纸和技术规范所示的基本技术设计）要求的投标文件外，还应提交需评审其替代方案所需的全部资料，包括项目方案书、技术规范、替代方案报价书、所建议的项目方案及有关的其它详细资料。</w:t>
      </w:r>
    </w:p>
    <w:p>
      <w:pPr>
        <w:spacing w:line="360" w:lineRule="auto"/>
        <w:rPr>
          <w:rFonts w:ascii="黑体" w:hAnsi="宋体" w:eastAsia="黑体"/>
          <w:sz w:val="24"/>
        </w:rPr>
      </w:pPr>
      <w:r>
        <w:rPr>
          <w:rFonts w:hint="eastAsia" w:ascii="黑体" w:hAnsi="宋体" w:eastAsia="黑体"/>
          <w:sz w:val="24"/>
        </w:rPr>
        <w:t>23．投标文件的制作要求</w:t>
      </w:r>
    </w:p>
    <w:p>
      <w:pPr>
        <w:ind w:firstLine="411" w:firstLineChars="196"/>
        <w:rPr>
          <w:rFonts w:ascii="宋体" w:hAnsi="宋体"/>
        </w:rPr>
      </w:pPr>
      <w:r>
        <w:rPr>
          <w:rFonts w:hint="eastAsia" w:ascii="宋体" w:hAnsi="宋体"/>
        </w:rPr>
        <w:t>23.1 投标人需按项目采购文件要求准备所投项目的纸质投标文件正副本。</w:t>
      </w:r>
    </w:p>
    <w:p>
      <w:pPr>
        <w:ind w:firstLine="413" w:firstLineChars="196"/>
        <w:rPr>
          <w:rFonts w:ascii="宋体" w:hAnsi="宋体"/>
        </w:rPr>
      </w:pPr>
      <w:r>
        <w:rPr>
          <w:rFonts w:hint="eastAsia" w:ascii="宋体" w:hAnsi="宋体"/>
          <w:b/>
        </w:rPr>
        <w:tab/>
      </w:r>
      <w:r>
        <w:rPr>
          <w:rFonts w:hint="eastAsia" w:ascii="宋体" w:hAnsi="宋体"/>
        </w:rPr>
        <w:t>23.2 投标人在编辑投标文件时，在投标文件目录中属于本节点内容的必须在本节点中填写；填写到其他节点或附件的，评审委员会有权不予接受，一切后果由供应商自行承担。</w:t>
      </w:r>
    </w:p>
    <w:p>
      <w:pPr>
        <w:ind w:firstLine="411" w:firstLineChars="196"/>
        <w:rPr>
          <w:rFonts w:ascii="宋体" w:hAnsi="宋体"/>
        </w:rPr>
      </w:pPr>
      <w:r>
        <w:rPr>
          <w:rFonts w:hint="eastAsia" w:ascii="宋体" w:hAnsi="宋体"/>
        </w:rPr>
        <w:t>23.3 投标文件要求盖章、签字的地方，应按要求盖章、签字。评审委员会有权将缺、漏盖章、签字的投标文件认定为无效投标。</w:t>
      </w:r>
    </w:p>
    <w:p>
      <w:pPr>
        <w:ind w:firstLine="411" w:firstLineChars="196"/>
        <w:rPr>
          <w:rFonts w:ascii="宋体" w:hAnsi="宋体"/>
        </w:rPr>
      </w:pPr>
      <w:r>
        <w:rPr>
          <w:rFonts w:hint="eastAsia" w:ascii="宋体" w:hAnsi="宋体"/>
        </w:rPr>
        <w:t>23.4 电报、电话、传真形式的投标概不接受。</w:t>
      </w:r>
    </w:p>
    <w:p>
      <w:pPr>
        <w:keepNext/>
        <w:keepLines/>
        <w:numPr>
          <w:ilvl w:val="0"/>
          <w:numId w:val="12"/>
        </w:numPr>
        <w:adjustRightInd w:val="0"/>
        <w:spacing w:before="120" w:beforeLines="50" w:after="120" w:afterLines="50"/>
        <w:ind w:left="562" w:hanging="562"/>
        <w:jc w:val="center"/>
        <w:textAlignment w:val="baseline"/>
        <w:outlineLvl w:val="1"/>
        <w:rPr>
          <w:rFonts w:ascii="Arial" w:hAnsi="Arial" w:eastAsia="黑体"/>
          <w:b/>
          <w:bCs/>
          <w:sz w:val="28"/>
          <w:szCs w:val="28"/>
        </w:rPr>
      </w:pPr>
      <w:r>
        <w:rPr>
          <w:rFonts w:hint="eastAsia" w:ascii="Arial" w:hAnsi="Arial" w:eastAsia="黑体"/>
          <w:b/>
          <w:bCs/>
          <w:sz w:val="28"/>
          <w:szCs w:val="28"/>
        </w:rPr>
        <w:t>投标文件的递交</w:t>
      </w:r>
    </w:p>
    <w:p>
      <w:pPr>
        <w:spacing w:line="360" w:lineRule="auto"/>
        <w:rPr>
          <w:rFonts w:ascii="黑体" w:hAnsi="宋体" w:eastAsia="黑体"/>
          <w:sz w:val="24"/>
        </w:rPr>
      </w:pPr>
      <w:r>
        <w:rPr>
          <w:rFonts w:hint="eastAsia" w:ascii="黑体" w:hAnsi="宋体" w:eastAsia="黑体"/>
          <w:sz w:val="24"/>
        </w:rPr>
        <w:t>24．投标书的保密</w:t>
      </w:r>
    </w:p>
    <w:p>
      <w:pPr>
        <w:ind w:firstLine="411" w:firstLineChars="196"/>
        <w:rPr>
          <w:rFonts w:ascii="宋体" w:hAnsi="宋体"/>
        </w:rPr>
      </w:pPr>
      <w:r>
        <w:rPr>
          <w:rFonts w:hint="eastAsia" w:ascii="宋体" w:hAnsi="宋体"/>
        </w:rPr>
        <w:t>24.1在投标文件制作完成后，所有文件必须密封完整且加盖公章。</w:t>
      </w:r>
    </w:p>
    <w:p>
      <w:pPr>
        <w:ind w:firstLine="411" w:firstLineChars="196"/>
        <w:rPr>
          <w:rFonts w:ascii="宋体" w:hAnsi="宋体"/>
        </w:rPr>
      </w:pPr>
      <w:r>
        <w:rPr>
          <w:rFonts w:hint="eastAsia" w:ascii="宋体" w:hAnsi="宋体"/>
        </w:rPr>
        <w:t>24.2 所有投标文件应在其密封封面上注明项目名称、项目编号、投标人名称。</w:t>
      </w:r>
    </w:p>
    <w:p>
      <w:pPr>
        <w:spacing w:line="360" w:lineRule="auto"/>
        <w:rPr>
          <w:rFonts w:ascii="黑体" w:hAnsi="宋体" w:eastAsia="黑体"/>
          <w:sz w:val="24"/>
        </w:rPr>
      </w:pPr>
      <w:r>
        <w:rPr>
          <w:rFonts w:hint="eastAsia" w:ascii="黑体" w:hAnsi="宋体" w:eastAsia="黑体"/>
          <w:sz w:val="24"/>
        </w:rPr>
        <w:t>25．投标截止时间</w:t>
      </w:r>
    </w:p>
    <w:p>
      <w:pPr>
        <w:ind w:firstLine="411" w:firstLineChars="196"/>
        <w:rPr>
          <w:rFonts w:ascii="宋体" w:hAnsi="宋体"/>
        </w:rPr>
      </w:pPr>
      <w:r>
        <w:rPr>
          <w:rFonts w:hint="eastAsia" w:ascii="宋体" w:hAnsi="宋体"/>
        </w:rPr>
        <w:t>25.1投标人必须在采购文件规定的投标截止时间前将密封的投标文件递交到项目指定的地点。</w:t>
      </w:r>
    </w:p>
    <w:p>
      <w:pPr>
        <w:ind w:firstLine="411" w:firstLineChars="196"/>
        <w:rPr>
          <w:rFonts w:ascii="宋体" w:hAnsi="宋体"/>
        </w:rPr>
      </w:pPr>
      <w:r>
        <w:rPr>
          <w:rFonts w:hint="eastAsia" w:ascii="宋体" w:hAnsi="宋体"/>
        </w:rPr>
        <w:t>25.2学校采购机构可以按本通用条款第13条规定，通过修改招标文件自行决定酌情延长投标截止期。在此情况下，学校采购机构、采购人和投标人受投标截止期制约的所有权利和义务均应延长至新的截止期。</w:t>
      </w:r>
    </w:p>
    <w:p>
      <w:pPr>
        <w:ind w:firstLine="411" w:firstLineChars="196"/>
        <w:rPr>
          <w:rFonts w:ascii="宋体" w:hAnsi="宋体"/>
        </w:rPr>
      </w:pPr>
      <w:r>
        <w:rPr>
          <w:rFonts w:hint="eastAsia" w:ascii="宋体" w:hAnsi="宋体"/>
        </w:rPr>
        <w:t>25.3学校采购机构不接受投标截止时间后递交的投标文件。</w:t>
      </w:r>
    </w:p>
    <w:p>
      <w:pPr>
        <w:spacing w:line="360" w:lineRule="auto"/>
        <w:rPr>
          <w:rFonts w:ascii="黑体" w:hAnsi="宋体" w:eastAsia="黑体"/>
          <w:sz w:val="24"/>
        </w:rPr>
      </w:pPr>
      <w:r>
        <w:rPr>
          <w:rFonts w:hint="eastAsia" w:ascii="黑体" w:hAnsi="宋体" w:eastAsia="黑体"/>
          <w:sz w:val="24"/>
        </w:rPr>
        <w:t>26.样品的递交</w:t>
      </w:r>
    </w:p>
    <w:p>
      <w:pPr>
        <w:ind w:firstLine="420"/>
        <w:rPr>
          <w:rFonts w:ascii="宋体" w:hAnsi="宋体"/>
          <w:szCs w:val="21"/>
        </w:rPr>
      </w:pPr>
      <w:r>
        <w:rPr>
          <w:rFonts w:hint="eastAsia" w:ascii="宋体" w:hAnsi="宋体"/>
          <w:szCs w:val="21"/>
        </w:rPr>
        <w:t>26.1 如确有必要，采购人可以要求投标人提供样品。</w:t>
      </w:r>
    </w:p>
    <w:p>
      <w:pPr>
        <w:ind w:firstLine="420"/>
        <w:rPr>
          <w:rFonts w:ascii="宋体" w:hAnsi="宋体"/>
          <w:szCs w:val="21"/>
        </w:rPr>
      </w:pPr>
      <w:r>
        <w:rPr>
          <w:rFonts w:hint="eastAsia" w:ascii="宋体" w:hAnsi="宋体"/>
          <w:szCs w:val="21"/>
        </w:rPr>
        <w:t>26.2 未中标供应商的样品将于招标结束后退还。中标供应商的样品由采购人保留，作为验收的依据。</w:t>
      </w:r>
    </w:p>
    <w:p>
      <w:pPr>
        <w:ind w:firstLine="420"/>
        <w:rPr>
          <w:rFonts w:ascii="宋体" w:hAnsi="宋体"/>
          <w:szCs w:val="21"/>
        </w:rPr>
      </w:pPr>
      <w:r>
        <w:rPr>
          <w:rFonts w:hint="eastAsia" w:ascii="宋体" w:hAnsi="宋体"/>
          <w:szCs w:val="21"/>
        </w:rPr>
        <w:t>26.3投标样品未能及时退回的，学校采购机构工作人员将及时存放到样品室，并发函或电话敦促相关单位取回。经敦促仍未能按规定取回的，视同投标供应商或采购人放弃取回，学校采购机构将定期清理。</w:t>
      </w:r>
    </w:p>
    <w:p>
      <w:pPr>
        <w:spacing w:line="360" w:lineRule="auto"/>
        <w:rPr>
          <w:rFonts w:ascii="黑体" w:hAnsi="宋体" w:eastAsia="黑体"/>
          <w:sz w:val="24"/>
        </w:rPr>
      </w:pPr>
      <w:r>
        <w:rPr>
          <w:rFonts w:hint="eastAsia" w:ascii="黑体" w:hAnsi="宋体" w:eastAsia="黑体"/>
          <w:sz w:val="24"/>
        </w:rPr>
        <w:t>27．投标文件的修改和撤销</w:t>
      </w:r>
    </w:p>
    <w:p>
      <w:pPr>
        <w:ind w:firstLine="411" w:firstLineChars="196"/>
        <w:rPr>
          <w:rFonts w:ascii="宋体" w:hAnsi="宋体"/>
        </w:rPr>
      </w:pPr>
      <w:r>
        <w:rPr>
          <w:rFonts w:hint="eastAsia" w:ascii="宋体" w:hAnsi="宋体"/>
        </w:rPr>
        <w:t>27.1投标方在提交投标文件后可对其投标文件进行修改或撤回。</w:t>
      </w:r>
    </w:p>
    <w:p>
      <w:pPr>
        <w:ind w:firstLine="411" w:firstLineChars="196"/>
        <w:rPr>
          <w:rFonts w:ascii="宋体" w:hAnsi="宋体"/>
        </w:rPr>
      </w:pPr>
      <w:r>
        <w:rPr>
          <w:rFonts w:hint="eastAsia" w:ascii="宋体" w:hAnsi="宋体"/>
        </w:rPr>
        <w:t>27.2投标截止时间以后不得修改投标文件。</w:t>
      </w:r>
    </w:p>
    <w:p>
      <w:pPr>
        <w:ind w:firstLine="411" w:firstLineChars="196"/>
        <w:rPr>
          <w:rFonts w:ascii="宋体" w:hAnsi="宋体"/>
        </w:rPr>
      </w:pPr>
      <w:r>
        <w:rPr>
          <w:rFonts w:hint="eastAsia" w:ascii="宋体" w:hAnsi="宋体"/>
        </w:rPr>
        <w:t>27.3从投标截止期至投标人在投标书中确定的投标有效期之间的这段时间内，投标人不得撤回其投标。</w:t>
      </w:r>
    </w:p>
    <w:p>
      <w:pPr>
        <w:ind w:firstLine="411" w:firstLineChars="196"/>
        <w:rPr>
          <w:rFonts w:ascii="宋体" w:hAnsi="宋体"/>
          <w:szCs w:val="21"/>
        </w:rPr>
      </w:pPr>
      <w:r>
        <w:rPr>
          <w:rFonts w:hint="eastAsia" w:ascii="宋体" w:hAnsi="宋体"/>
          <w:szCs w:val="21"/>
        </w:rPr>
        <w:t>27.4学校采购机构不退还投标文件，专用条款另有规定的除外。</w:t>
      </w:r>
    </w:p>
    <w:p>
      <w:pPr>
        <w:keepNext/>
        <w:keepLines/>
        <w:numPr>
          <w:ilvl w:val="0"/>
          <w:numId w:val="12"/>
        </w:numPr>
        <w:adjustRightInd w:val="0"/>
        <w:spacing w:before="120" w:beforeLines="50" w:after="120" w:afterLines="50"/>
        <w:ind w:left="562" w:hanging="562"/>
        <w:jc w:val="center"/>
        <w:textAlignment w:val="baseline"/>
        <w:outlineLvl w:val="1"/>
        <w:rPr>
          <w:rFonts w:ascii="Arial" w:hAnsi="Arial" w:eastAsia="黑体"/>
          <w:b/>
          <w:bCs/>
          <w:sz w:val="28"/>
          <w:szCs w:val="28"/>
        </w:rPr>
      </w:pPr>
      <w:r>
        <w:rPr>
          <w:rFonts w:hint="eastAsia" w:ascii="Arial" w:hAnsi="Arial" w:eastAsia="黑体"/>
          <w:b/>
          <w:bCs/>
          <w:sz w:val="28"/>
          <w:szCs w:val="28"/>
        </w:rPr>
        <w:t>开标</w:t>
      </w:r>
    </w:p>
    <w:p>
      <w:pPr>
        <w:spacing w:line="360" w:lineRule="auto"/>
        <w:rPr>
          <w:rFonts w:ascii="黑体" w:hAnsi="宋体" w:eastAsia="黑体"/>
          <w:sz w:val="24"/>
        </w:rPr>
      </w:pPr>
      <w:r>
        <w:rPr>
          <w:rFonts w:hint="eastAsia" w:ascii="黑体" w:hAnsi="宋体" w:eastAsia="黑体"/>
          <w:sz w:val="24"/>
        </w:rPr>
        <w:t>28．开标</w:t>
      </w:r>
    </w:p>
    <w:p>
      <w:pPr>
        <w:ind w:firstLine="359" w:firstLineChars="171"/>
        <w:rPr>
          <w:rFonts w:ascii="宋体" w:hAnsi="宋体"/>
          <w:szCs w:val="21"/>
        </w:rPr>
      </w:pPr>
      <w:r>
        <w:rPr>
          <w:rFonts w:hint="eastAsia" w:ascii="宋体" w:hAnsi="宋体"/>
          <w:szCs w:val="21"/>
        </w:rPr>
        <w:t>28.1学校采购机构将在投标截止时间后，对密封的投标文件进行拆封，开标，并在开标现场公布开标结果。</w:t>
      </w:r>
    </w:p>
    <w:p>
      <w:pPr>
        <w:keepNext/>
        <w:keepLines/>
        <w:numPr>
          <w:ilvl w:val="0"/>
          <w:numId w:val="12"/>
        </w:numPr>
        <w:adjustRightInd w:val="0"/>
        <w:spacing w:before="120" w:beforeLines="50" w:after="120" w:afterLines="50"/>
        <w:ind w:left="562" w:hanging="562"/>
        <w:jc w:val="center"/>
        <w:textAlignment w:val="baseline"/>
        <w:outlineLvl w:val="1"/>
        <w:rPr>
          <w:rFonts w:ascii="Arial" w:hAnsi="Arial" w:eastAsia="黑体"/>
          <w:b/>
          <w:bCs/>
          <w:sz w:val="28"/>
          <w:szCs w:val="28"/>
        </w:rPr>
      </w:pPr>
      <w:r>
        <w:rPr>
          <w:rFonts w:hint="eastAsia" w:ascii="Arial" w:hAnsi="Arial" w:eastAsia="黑体"/>
          <w:b/>
          <w:bCs/>
          <w:sz w:val="28"/>
          <w:szCs w:val="28"/>
        </w:rPr>
        <w:t>评标要求</w:t>
      </w:r>
    </w:p>
    <w:p>
      <w:pPr>
        <w:spacing w:line="360" w:lineRule="auto"/>
        <w:rPr>
          <w:rFonts w:ascii="黑体" w:hAnsi="宋体" w:eastAsia="黑体"/>
          <w:sz w:val="24"/>
        </w:rPr>
      </w:pPr>
      <w:r>
        <w:rPr>
          <w:rFonts w:hint="eastAsia" w:ascii="黑体" w:hAnsi="宋体" w:eastAsia="黑体"/>
          <w:sz w:val="24"/>
        </w:rPr>
        <w:t>29．评审委员会组成</w:t>
      </w:r>
    </w:p>
    <w:p>
      <w:pPr>
        <w:ind w:firstLine="411" w:firstLineChars="196"/>
        <w:rPr>
          <w:rFonts w:ascii="宋体" w:hAnsi="宋体"/>
        </w:rPr>
      </w:pPr>
      <w:r>
        <w:rPr>
          <w:rFonts w:hint="eastAsia" w:ascii="宋体" w:hAnsi="宋体"/>
        </w:rPr>
        <w:t>29.1开标结束后召开评标会议，评审委员会由学校采购机构依法组建，负责评标活动。</w:t>
      </w:r>
    </w:p>
    <w:p>
      <w:pPr>
        <w:ind w:firstLine="420"/>
        <w:rPr>
          <w:rFonts w:ascii="宋体" w:hAnsi="宋体"/>
        </w:rPr>
      </w:pPr>
      <w:r>
        <w:rPr>
          <w:rFonts w:hint="eastAsia" w:ascii="宋体" w:hAnsi="宋体"/>
        </w:rPr>
        <w:t>评标委员会由采购人代表和评审专家组成，成员人数为5人以上（含5人）单数，其中评审专家不少于成员总数的三分之二。</w:t>
      </w:r>
    </w:p>
    <w:p>
      <w:pPr>
        <w:ind w:firstLine="411" w:firstLineChars="196"/>
        <w:rPr>
          <w:rFonts w:ascii="宋体" w:hAnsi="宋体"/>
        </w:rPr>
      </w:pPr>
      <w:r>
        <w:rPr>
          <w:rFonts w:hint="eastAsia" w:ascii="宋体" w:hAnsi="宋体"/>
        </w:rPr>
        <w:t>为保证评委人选的专业性，以及评标中的公平公正性，评标委员会成员从深圳大学评标专家库中随机抽取。</w:t>
      </w:r>
    </w:p>
    <w:p>
      <w:pPr>
        <w:ind w:firstLine="411" w:firstLineChars="196"/>
        <w:rPr>
          <w:rFonts w:ascii="宋体" w:hAnsi="宋体"/>
        </w:rPr>
      </w:pPr>
      <w:r>
        <w:rPr>
          <w:rFonts w:hint="eastAsia" w:ascii="宋体" w:hAnsi="宋体"/>
        </w:rPr>
        <w:t>29.2评标定标应当遵循公平、公正、科学、择优的原则。</w:t>
      </w:r>
    </w:p>
    <w:p>
      <w:pPr>
        <w:ind w:firstLine="411" w:firstLineChars="196"/>
        <w:rPr>
          <w:rFonts w:ascii="宋体" w:hAnsi="宋体"/>
        </w:rPr>
      </w:pPr>
      <w:r>
        <w:rPr>
          <w:rFonts w:hint="eastAsia" w:ascii="宋体" w:hAnsi="宋体"/>
        </w:rPr>
        <w:t>29.3评标活动依法进行，任何单位和个人不得非法干预评标过程和结果。</w:t>
      </w:r>
    </w:p>
    <w:p>
      <w:pPr>
        <w:ind w:firstLine="411" w:firstLineChars="196"/>
        <w:rPr>
          <w:rFonts w:ascii="宋体" w:hAnsi="宋体"/>
        </w:rPr>
      </w:pPr>
      <w:r>
        <w:rPr>
          <w:rFonts w:hint="eastAsia" w:ascii="宋体" w:hAnsi="宋体"/>
        </w:rPr>
        <w:t>29.4评标过程中不允许违背评标程序或采用招标文件未载明的评标方法或评标因素进行评标。</w:t>
      </w:r>
    </w:p>
    <w:p>
      <w:pPr>
        <w:ind w:firstLine="411" w:firstLineChars="196"/>
        <w:rPr>
          <w:rFonts w:ascii="宋体" w:hAnsi="宋体"/>
          <w:bCs/>
        </w:rPr>
      </w:pPr>
      <w:r>
        <w:rPr>
          <w:rFonts w:hint="eastAsia" w:ascii="宋体" w:hAnsi="宋体"/>
          <w:bCs/>
        </w:rPr>
        <w:t>29.5 开标后，直到签订合同为止，凡属于对投标文件的审查、澄清、评价和比较的有关资料以及中标候选人的推荐情况、与评标有关的其他任何情况均严格保密（信息公开的内容除外）。</w:t>
      </w:r>
    </w:p>
    <w:p>
      <w:pPr>
        <w:spacing w:line="360" w:lineRule="auto"/>
        <w:rPr>
          <w:rFonts w:ascii="黑体" w:hAnsi="宋体" w:eastAsia="黑体"/>
          <w:sz w:val="24"/>
        </w:rPr>
      </w:pPr>
      <w:r>
        <w:rPr>
          <w:rFonts w:hint="eastAsia" w:ascii="黑体" w:hAnsi="宋体" w:eastAsia="黑体"/>
          <w:sz w:val="24"/>
        </w:rPr>
        <w:t>30．向评审委员会提供的资料</w:t>
      </w:r>
    </w:p>
    <w:p>
      <w:pPr>
        <w:ind w:firstLine="411" w:firstLineChars="196"/>
        <w:rPr>
          <w:rFonts w:ascii="宋体" w:hAnsi="宋体"/>
        </w:rPr>
      </w:pPr>
      <w:r>
        <w:rPr>
          <w:rFonts w:hint="eastAsia" w:ascii="宋体" w:hAnsi="宋体"/>
        </w:rPr>
        <w:t>30.1公开发布的招标文件，包括图纸、服务清单、答疑文件等；</w:t>
      </w:r>
    </w:p>
    <w:p>
      <w:pPr>
        <w:ind w:firstLine="411" w:firstLineChars="196"/>
        <w:rPr>
          <w:rFonts w:ascii="宋体" w:hAnsi="宋体"/>
        </w:rPr>
      </w:pPr>
      <w:r>
        <w:rPr>
          <w:rFonts w:hint="eastAsia" w:ascii="宋体" w:hAnsi="宋体"/>
        </w:rPr>
        <w:t>30.2其他评标必须的资料。</w:t>
      </w:r>
    </w:p>
    <w:p>
      <w:pPr>
        <w:ind w:firstLine="411" w:firstLineChars="196"/>
        <w:rPr>
          <w:rFonts w:ascii="宋体" w:hAnsi="宋体"/>
        </w:rPr>
      </w:pPr>
      <w:r>
        <w:rPr>
          <w:rFonts w:hint="eastAsia" w:ascii="宋体" w:hAnsi="宋体"/>
        </w:rPr>
        <w:t>30.3评审委员会应当认真研究招标文件，至少应了解熟悉以下内容：</w:t>
      </w:r>
    </w:p>
    <w:p>
      <w:pPr>
        <w:ind w:firstLine="411" w:firstLineChars="196"/>
        <w:rPr>
          <w:rFonts w:ascii="宋体" w:hAnsi="宋体"/>
        </w:rPr>
      </w:pPr>
      <w:r>
        <w:rPr>
          <w:rFonts w:hint="eastAsia" w:ascii="宋体" w:hAnsi="宋体"/>
        </w:rPr>
        <w:t>（1）招标的目的；</w:t>
      </w:r>
    </w:p>
    <w:p>
      <w:pPr>
        <w:ind w:firstLine="411" w:firstLineChars="196"/>
        <w:rPr>
          <w:rFonts w:ascii="宋体" w:hAnsi="宋体"/>
        </w:rPr>
      </w:pPr>
      <w:r>
        <w:rPr>
          <w:rFonts w:hint="eastAsia" w:ascii="宋体" w:hAnsi="宋体"/>
        </w:rPr>
        <w:t>（2）招标项目需求的范围和性质；</w:t>
      </w:r>
    </w:p>
    <w:p>
      <w:pPr>
        <w:ind w:firstLine="411" w:firstLineChars="196"/>
        <w:rPr>
          <w:rFonts w:ascii="宋体" w:hAnsi="宋体"/>
        </w:rPr>
      </w:pPr>
      <w:r>
        <w:rPr>
          <w:rFonts w:hint="eastAsia" w:ascii="宋体" w:hAnsi="宋体"/>
        </w:rPr>
        <w:t>（3）招标文件规定的投标人的资格、财政预算限额、商务条款；</w:t>
      </w:r>
    </w:p>
    <w:p>
      <w:pPr>
        <w:ind w:firstLine="411" w:firstLineChars="196"/>
        <w:rPr>
          <w:rFonts w:ascii="宋体" w:hAnsi="宋体"/>
        </w:rPr>
      </w:pPr>
      <w:r>
        <w:rPr>
          <w:rFonts w:hint="eastAsia" w:ascii="宋体" w:hAnsi="宋体"/>
        </w:rPr>
        <w:t>（4）招标文件规定的评标程序、评标方法和评标因素；</w:t>
      </w:r>
    </w:p>
    <w:p>
      <w:pPr>
        <w:ind w:firstLine="411" w:firstLineChars="196"/>
        <w:rPr>
          <w:rFonts w:ascii="宋体" w:hAnsi="宋体"/>
        </w:rPr>
      </w:pPr>
      <w:r>
        <w:rPr>
          <w:rFonts w:hint="eastAsia" w:ascii="宋体" w:hAnsi="宋体"/>
        </w:rPr>
        <w:t>（5）招标文件所列示的资格性审查表及符合性审查表；</w:t>
      </w:r>
    </w:p>
    <w:p>
      <w:pPr>
        <w:spacing w:line="360" w:lineRule="auto"/>
        <w:rPr>
          <w:rFonts w:ascii="黑体" w:hAnsi="宋体" w:eastAsia="黑体"/>
          <w:sz w:val="24"/>
        </w:rPr>
      </w:pPr>
      <w:r>
        <w:rPr>
          <w:rFonts w:hint="eastAsia" w:ascii="黑体" w:hAnsi="宋体" w:eastAsia="黑体"/>
          <w:sz w:val="24"/>
        </w:rPr>
        <w:t>31．独立评标</w:t>
      </w:r>
    </w:p>
    <w:p>
      <w:pPr>
        <w:ind w:firstLine="411" w:firstLineChars="196"/>
        <w:rPr>
          <w:rFonts w:ascii="宋体" w:hAnsi="宋体"/>
          <w:bCs/>
          <w:szCs w:val="21"/>
        </w:rPr>
      </w:pPr>
      <w:r>
        <w:rPr>
          <w:rFonts w:hint="eastAsia" w:ascii="宋体" w:hAnsi="宋体"/>
          <w:bCs/>
        </w:rPr>
        <w:t>30.1评审委员会成员的评标活动应当独立进行，并应遵循投标文件初审、澄清有关问题、比较与评价、确定中标供应商、编写评标报告的工作程序。</w:t>
      </w:r>
    </w:p>
    <w:p>
      <w:pPr>
        <w:keepNext/>
        <w:keepLines/>
        <w:numPr>
          <w:ilvl w:val="0"/>
          <w:numId w:val="12"/>
        </w:numPr>
        <w:adjustRightInd w:val="0"/>
        <w:spacing w:before="120" w:beforeLines="50" w:after="120" w:afterLines="50"/>
        <w:ind w:left="562" w:hanging="562"/>
        <w:jc w:val="center"/>
        <w:textAlignment w:val="baseline"/>
        <w:outlineLvl w:val="1"/>
        <w:rPr>
          <w:rFonts w:ascii="Arial" w:hAnsi="Arial" w:eastAsia="黑体"/>
          <w:b/>
          <w:bCs/>
          <w:sz w:val="28"/>
          <w:szCs w:val="28"/>
        </w:rPr>
      </w:pPr>
      <w:r>
        <w:rPr>
          <w:rFonts w:hint="eastAsia" w:ascii="Arial" w:hAnsi="Arial" w:eastAsia="黑体"/>
          <w:b/>
          <w:bCs/>
          <w:sz w:val="28"/>
          <w:szCs w:val="28"/>
        </w:rPr>
        <w:t>评标程序及评标方法</w:t>
      </w:r>
    </w:p>
    <w:p>
      <w:pPr>
        <w:spacing w:line="360" w:lineRule="auto"/>
        <w:rPr>
          <w:rFonts w:ascii="黑体" w:hAnsi="宋体" w:eastAsia="黑体"/>
          <w:sz w:val="24"/>
        </w:rPr>
      </w:pPr>
      <w:r>
        <w:rPr>
          <w:rFonts w:hint="eastAsia" w:ascii="黑体" w:hAnsi="宋体" w:eastAsia="黑体"/>
          <w:sz w:val="24"/>
        </w:rPr>
        <w:t>32．投标文件初审</w:t>
      </w:r>
    </w:p>
    <w:p>
      <w:pPr>
        <w:ind w:firstLine="411" w:firstLineChars="196"/>
        <w:rPr>
          <w:rFonts w:ascii="宋体" w:hAnsi="宋体"/>
        </w:rPr>
      </w:pPr>
      <w:r>
        <w:rPr>
          <w:rFonts w:hint="eastAsia" w:ascii="宋体" w:hAnsi="宋体"/>
        </w:rPr>
        <w:t>32.1投标文件初审包括资格性审查和符合性审查。资格性审查：依据法律法规和招标文件的规定，对投标文件中的资格证明等进行审查，以确定投标供应商是否具备投标资格。符合性审查：依据招标文件的规定，对投标文件的有效性、完整性和对招标文件的响应程度进行审查，以确定是否满足符合性审查的要求。</w:t>
      </w:r>
    </w:p>
    <w:p>
      <w:pPr>
        <w:ind w:firstLine="411" w:firstLineChars="196"/>
        <w:rPr>
          <w:rFonts w:ascii="宋体" w:hAnsi="宋体"/>
        </w:rPr>
      </w:pPr>
      <w:r>
        <w:rPr>
          <w:rFonts w:hint="eastAsia" w:ascii="宋体" w:hAnsi="宋体"/>
        </w:rPr>
        <w:t>32.2投标文件初审内容请详见《资格性审查表》和《符合性审查表》部分。投标人若有一条审查不通过则按投标无效处理。评审委员会对投标单位打√为通过审查，打×为未通过审查。</w:t>
      </w:r>
    </w:p>
    <w:p>
      <w:pPr>
        <w:ind w:firstLine="411" w:firstLineChars="196"/>
        <w:rPr>
          <w:rFonts w:ascii="宋体" w:hAnsi="宋体"/>
        </w:rPr>
      </w:pPr>
      <w:r>
        <w:rPr>
          <w:rFonts w:hint="eastAsia" w:ascii="宋体" w:hAnsi="宋体"/>
        </w:rPr>
        <w:t>32.3 投标文件初审中关于供应商家数的计算:</w:t>
      </w:r>
    </w:p>
    <w:p>
      <w:pPr>
        <w:ind w:firstLine="411" w:firstLineChars="196"/>
        <w:rPr>
          <w:rFonts w:ascii="宋体" w:hAnsi="宋体"/>
        </w:rPr>
      </w:pPr>
      <w:r>
        <w:rPr>
          <w:rFonts w:hint="eastAsia" w:ascii="宋体" w:hAnsi="宋体"/>
        </w:rPr>
        <w:t>32.3.1采用最低评标价法的采购项目，提供相同品牌产品的不同投标人参加同一合同项下投标的，以其中通过资格审查、符合性审查且报价最低的参加评标；报价相同的，由采购人或者采购人委托评审委员会按照招标文件规定的方式确定一个参加评标的投标人，招标文件未规定的采取随机抽取方式确定，其他投标无效。</w:t>
      </w:r>
    </w:p>
    <w:p>
      <w:pPr>
        <w:ind w:firstLine="411" w:firstLineChars="196"/>
        <w:rPr>
          <w:rFonts w:ascii="宋体" w:hAnsi="宋体"/>
        </w:rPr>
      </w:pPr>
      <w:r>
        <w:rPr>
          <w:rFonts w:hint="eastAsia" w:ascii="宋体" w:hAnsi="宋体"/>
        </w:rPr>
        <w:t>32.3.2采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审委员会按照招标文件规定的方式确定一个投标人获得中标人推荐资格，招标文件未规定的采取随机抽取方式确定，其他同品牌投标人不作为中标候选人。</w:t>
      </w:r>
    </w:p>
    <w:p>
      <w:pPr>
        <w:ind w:firstLine="411" w:firstLineChars="196"/>
        <w:rPr>
          <w:rFonts w:ascii="宋体" w:hAnsi="宋体"/>
        </w:rPr>
      </w:pPr>
      <w:r>
        <w:rPr>
          <w:rFonts w:hint="eastAsia" w:ascii="宋体" w:hAnsi="宋体"/>
        </w:rPr>
        <w:t>32.3.3非单一产品采购项目，采购人应当根据采购项目技术构成、产品价格比重等合理确定核心产品，并在招标文件中载明。多家投标人提供的核心产品品牌相同的，按前两款规定处理。</w:t>
      </w:r>
    </w:p>
    <w:p>
      <w:pPr>
        <w:ind w:firstLine="411" w:firstLineChars="196"/>
        <w:rPr>
          <w:rFonts w:ascii="宋体" w:hAnsi="宋体"/>
        </w:rPr>
      </w:pPr>
      <w:r>
        <w:rPr>
          <w:rFonts w:hint="eastAsia" w:ascii="宋体" w:hAnsi="宋体"/>
        </w:rPr>
        <w:t>32.4评审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11" w:firstLineChars="196"/>
        <w:rPr>
          <w:rFonts w:ascii="宋体" w:hAnsi="宋体"/>
        </w:rPr>
      </w:pPr>
      <w:r>
        <w:rPr>
          <w:rFonts w:hint="eastAsia" w:ascii="宋体" w:hAnsi="宋体"/>
        </w:rPr>
        <w:t>32.5投标人投标文件作无效处理的情形，具体包括但不限于以下：</w:t>
      </w:r>
    </w:p>
    <w:p>
      <w:pPr>
        <w:ind w:firstLine="411" w:firstLineChars="196"/>
        <w:rPr>
          <w:rFonts w:ascii="宋体" w:hAnsi="宋体"/>
        </w:rPr>
      </w:pPr>
      <w:r>
        <w:rPr>
          <w:rFonts w:hint="eastAsia" w:ascii="宋体" w:hAnsi="宋体"/>
        </w:rPr>
        <w:t>32.5.1不同投标人的投标文件由同一单位或者同一个人编制，或者由同一个人分阶段参与编制；</w:t>
      </w:r>
    </w:p>
    <w:p>
      <w:pPr>
        <w:ind w:firstLine="411" w:firstLineChars="196"/>
        <w:rPr>
          <w:rFonts w:ascii="宋体" w:hAnsi="宋体"/>
        </w:rPr>
      </w:pPr>
      <w:r>
        <w:rPr>
          <w:rFonts w:hint="eastAsia" w:ascii="宋体" w:hAnsi="宋体"/>
        </w:rPr>
        <w:t>32.5.2不同投标人委托同一单位或者个人办理投标事宜；</w:t>
      </w:r>
    </w:p>
    <w:p>
      <w:pPr>
        <w:ind w:firstLine="411" w:firstLineChars="196"/>
        <w:rPr>
          <w:rFonts w:ascii="宋体" w:hAnsi="宋体"/>
        </w:rPr>
      </w:pPr>
      <w:r>
        <w:rPr>
          <w:rFonts w:hint="eastAsia" w:ascii="宋体" w:hAnsi="宋体"/>
        </w:rPr>
        <w:t>32.5.3不同投标人的投标文件载明的项目管理成员或者联系人员为同一人；</w:t>
      </w:r>
    </w:p>
    <w:p>
      <w:pPr>
        <w:ind w:firstLine="411" w:firstLineChars="196"/>
        <w:rPr>
          <w:rFonts w:ascii="宋体" w:hAnsi="宋体"/>
        </w:rPr>
      </w:pPr>
      <w:r>
        <w:rPr>
          <w:rFonts w:hint="eastAsia" w:ascii="宋体" w:hAnsi="宋体"/>
        </w:rPr>
        <w:t>32.5.4不同投标人的投标文件异常一致或者投标报价呈规律性差异；</w:t>
      </w:r>
    </w:p>
    <w:p>
      <w:pPr>
        <w:ind w:firstLine="411" w:firstLineChars="196"/>
        <w:rPr>
          <w:rFonts w:ascii="宋体" w:hAnsi="宋体"/>
        </w:rPr>
      </w:pPr>
      <w:r>
        <w:rPr>
          <w:rFonts w:hint="eastAsia" w:ascii="宋体" w:hAnsi="宋体"/>
        </w:rPr>
        <w:t>32.5.5不同投标人的投标文件或部分投标文件相互混装；</w:t>
      </w:r>
    </w:p>
    <w:p>
      <w:pPr>
        <w:ind w:firstLine="411" w:firstLineChars="196"/>
        <w:rPr>
          <w:rFonts w:ascii="宋体" w:hAnsi="宋体"/>
        </w:rPr>
      </w:pPr>
      <w:r>
        <w:rPr>
          <w:rFonts w:hint="eastAsia" w:ascii="宋体" w:hAnsi="宋体"/>
        </w:rPr>
        <w:t>32.5.6投标供应商之间相互约定给予未中标的供应商利益补偿；</w:t>
      </w:r>
    </w:p>
    <w:p>
      <w:pPr>
        <w:ind w:firstLine="411" w:firstLineChars="196"/>
        <w:rPr>
          <w:rFonts w:ascii="宋体" w:hAnsi="宋体"/>
        </w:rPr>
      </w:pPr>
      <w:r>
        <w:rPr>
          <w:rFonts w:hint="eastAsia" w:ascii="宋体" w:hAnsi="宋体"/>
        </w:rPr>
        <w:t>32.5.7不同投标供应商的法定代表人、主要经营负责人、项目投标授权代表人、项目负责人、主要技术人员为同一人、属同一单位或者同一单位缴纳社会保险；</w:t>
      </w:r>
    </w:p>
    <w:p>
      <w:pPr>
        <w:ind w:firstLine="411" w:firstLineChars="196"/>
        <w:rPr>
          <w:rFonts w:ascii="宋体" w:hAnsi="宋体"/>
        </w:rPr>
      </w:pPr>
      <w:r>
        <w:rPr>
          <w:rFonts w:hint="eastAsia" w:ascii="宋体" w:hAnsi="宋体"/>
        </w:rPr>
        <w:t>32.5.8不同投标供应商的投标文件内容存在非正常一致；</w:t>
      </w:r>
    </w:p>
    <w:p>
      <w:pPr>
        <w:ind w:firstLine="411" w:firstLineChars="196"/>
        <w:rPr>
          <w:rFonts w:ascii="宋体" w:hAnsi="宋体"/>
        </w:rPr>
      </w:pPr>
      <w:r>
        <w:rPr>
          <w:rFonts w:hint="eastAsia" w:ascii="宋体" w:hAnsi="宋体"/>
        </w:rPr>
        <w:t>32.5.9在同一单位工作人员为两家以上（含两家）供应商进行同一项投标活动；</w:t>
      </w:r>
    </w:p>
    <w:p>
      <w:pPr>
        <w:ind w:firstLine="411" w:firstLineChars="196"/>
        <w:rPr>
          <w:rFonts w:ascii="宋体" w:hAnsi="宋体"/>
        </w:rPr>
      </w:pPr>
      <w:r>
        <w:rPr>
          <w:rFonts w:hint="eastAsia" w:ascii="宋体" w:hAnsi="宋体"/>
        </w:rPr>
        <w:t>32.5.10主管部门依照法律、法规认定的其他情形。</w:t>
      </w:r>
    </w:p>
    <w:p>
      <w:pPr>
        <w:ind w:firstLine="411" w:firstLineChars="196"/>
        <w:rPr>
          <w:rFonts w:ascii="宋体" w:hAnsi="宋体"/>
        </w:rPr>
      </w:pPr>
      <w:r>
        <w:rPr>
          <w:rFonts w:hint="eastAsia" w:ascii="宋体" w:hAnsi="宋体"/>
        </w:rPr>
        <w:t>32.6 对不属于《资格性审查表》和《符合性审查表》所列的其他情形，除专用条款另有规定和32.5条款所列情形外，不得作为投标无效的理由。</w:t>
      </w:r>
    </w:p>
    <w:p>
      <w:pPr>
        <w:spacing w:line="360" w:lineRule="auto"/>
        <w:rPr>
          <w:rFonts w:ascii="黑体" w:hAnsi="宋体" w:eastAsia="黑体"/>
          <w:sz w:val="24"/>
        </w:rPr>
      </w:pPr>
      <w:r>
        <w:rPr>
          <w:rFonts w:hint="eastAsia" w:ascii="黑体" w:hAnsi="宋体" w:eastAsia="黑体"/>
          <w:sz w:val="24"/>
        </w:rPr>
        <w:t>33．澄清有关问题</w:t>
      </w:r>
    </w:p>
    <w:p>
      <w:pPr>
        <w:ind w:firstLine="411" w:firstLineChars="196"/>
        <w:rPr>
          <w:rFonts w:ascii="宋体" w:hAnsi="宋体"/>
          <w:szCs w:val="21"/>
        </w:rPr>
      </w:pPr>
      <w:r>
        <w:rPr>
          <w:rFonts w:hint="eastAsia" w:ascii="宋体" w:hAnsi="宋体"/>
          <w:szCs w:val="21"/>
        </w:rPr>
        <w:t>对于投标文件中含义不明确、同类问题表述不一致或者有明显文字和计算错误的内容，评审委员会应当以书面形式要求投标人作出必要的澄清、说明或者补正。</w:t>
      </w:r>
    </w:p>
    <w:p>
      <w:pPr>
        <w:ind w:firstLine="411" w:firstLineChars="196"/>
        <w:rPr>
          <w:rFonts w:ascii="宋体" w:hAnsi="宋体"/>
          <w:szCs w:val="21"/>
        </w:rPr>
      </w:pPr>
      <w:r>
        <w:rPr>
          <w:rFonts w:hint="eastAsia" w:ascii="宋体" w:hAnsi="宋体"/>
          <w:szCs w:val="21"/>
        </w:rPr>
        <w:t>投标人的澄清、说明或者补正应当采用书面形式，并加盖公章，或者由法定代表人或其授权的代表签字。投标人的澄清、说明或者补正不得超出投标文件的范围或者改变投标文件的实质性内容。</w:t>
      </w:r>
    </w:p>
    <w:p>
      <w:pPr>
        <w:ind w:firstLine="411" w:firstLineChars="196"/>
        <w:rPr>
          <w:rFonts w:ascii="宋体" w:hAnsi="宋体"/>
          <w:szCs w:val="21"/>
        </w:rPr>
      </w:pPr>
      <w:r>
        <w:rPr>
          <w:rFonts w:hint="eastAsia" w:ascii="宋体" w:hAnsi="宋体"/>
          <w:szCs w:val="21"/>
        </w:rPr>
        <w:t>根据本通用条款第34条，凡属于评审委员会在评审中发现的算术错误进行核实的修改不在此列。</w:t>
      </w:r>
    </w:p>
    <w:p>
      <w:pPr>
        <w:spacing w:line="360" w:lineRule="auto"/>
        <w:rPr>
          <w:rFonts w:ascii="黑体" w:hAnsi="宋体" w:eastAsia="黑体"/>
          <w:sz w:val="24"/>
        </w:rPr>
      </w:pPr>
      <w:r>
        <w:rPr>
          <w:rFonts w:hint="eastAsia" w:ascii="黑体" w:hAnsi="宋体" w:eastAsia="黑体"/>
          <w:sz w:val="24"/>
        </w:rPr>
        <w:t>34．错误的修正</w:t>
      </w:r>
    </w:p>
    <w:p>
      <w:pPr>
        <w:ind w:firstLine="411" w:firstLineChars="196"/>
        <w:rPr>
          <w:rFonts w:ascii="宋体" w:hAnsi="宋体"/>
          <w:szCs w:val="21"/>
        </w:rPr>
      </w:pPr>
      <w:r>
        <w:rPr>
          <w:rFonts w:hint="eastAsia" w:ascii="宋体" w:hAnsi="宋体"/>
          <w:szCs w:val="21"/>
        </w:rPr>
        <w:t>投标文件报价出现前后不一致的，除专用条款另有规定外，按照下列规定修正：</w:t>
      </w:r>
    </w:p>
    <w:p>
      <w:pPr>
        <w:ind w:firstLine="411" w:firstLineChars="196"/>
        <w:rPr>
          <w:rFonts w:ascii="宋体" w:hAnsi="宋体"/>
          <w:szCs w:val="21"/>
        </w:rPr>
      </w:pPr>
      <w:r>
        <w:rPr>
          <w:rFonts w:hint="eastAsia" w:ascii="宋体" w:hAnsi="宋体"/>
          <w:szCs w:val="21"/>
        </w:rPr>
        <w:t>34.1投标文件中开标一览表内容与投标文件中相应内容不一致的，以开标一览表为准；</w:t>
      </w:r>
    </w:p>
    <w:p>
      <w:pPr>
        <w:ind w:firstLine="411" w:firstLineChars="196"/>
        <w:rPr>
          <w:rFonts w:ascii="宋体" w:hAnsi="宋体"/>
          <w:szCs w:val="21"/>
        </w:rPr>
      </w:pPr>
      <w:r>
        <w:rPr>
          <w:rFonts w:hint="eastAsia" w:ascii="宋体" w:hAnsi="宋体"/>
          <w:szCs w:val="21"/>
        </w:rPr>
        <w:t>34.2大写金额和小写金额不一致的，以大写金额为准；</w:t>
      </w:r>
    </w:p>
    <w:p>
      <w:pPr>
        <w:ind w:firstLine="411" w:firstLineChars="196"/>
        <w:rPr>
          <w:rFonts w:ascii="宋体" w:hAnsi="宋体"/>
          <w:szCs w:val="21"/>
        </w:rPr>
      </w:pPr>
      <w:r>
        <w:rPr>
          <w:rFonts w:hint="eastAsia" w:ascii="宋体" w:hAnsi="宋体"/>
          <w:szCs w:val="21"/>
        </w:rPr>
        <w:t>34.3单价金额小数点或者百分比有明显错位，以开标一览表的总价为准，并修改单价；</w:t>
      </w:r>
    </w:p>
    <w:p>
      <w:pPr>
        <w:ind w:firstLine="411" w:firstLineChars="196"/>
        <w:rPr>
          <w:rFonts w:ascii="宋体" w:hAnsi="宋体"/>
          <w:szCs w:val="21"/>
        </w:rPr>
      </w:pPr>
      <w:r>
        <w:rPr>
          <w:rFonts w:hint="eastAsia" w:ascii="宋体" w:hAnsi="宋体"/>
          <w:szCs w:val="21"/>
        </w:rPr>
        <w:t>34.4总价金额与按单价汇总金额不一致的，以单价金额计算结果为准。</w:t>
      </w:r>
    </w:p>
    <w:p>
      <w:pPr>
        <w:ind w:firstLine="411" w:firstLineChars="196"/>
        <w:rPr>
          <w:rFonts w:ascii="宋体" w:hAnsi="宋体"/>
          <w:szCs w:val="21"/>
        </w:rPr>
      </w:pPr>
      <w:r>
        <w:rPr>
          <w:rFonts w:hint="eastAsia" w:ascii="宋体" w:hAnsi="宋体"/>
          <w:szCs w:val="21"/>
        </w:rPr>
        <w:t>34.5同时出现两种以上不一致的，按照前款规定的顺序修正。修正后的报价按照本通用条款33条的规定，经投标人确认后产生约束力，投标人不确认的，其投标无效。</w:t>
      </w:r>
    </w:p>
    <w:p>
      <w:pPr>
        <w:spacing w:line="360" w:lineRule="auto"/>
        <w:rPr>
          <w:rFonts w:ascii="黑体" w:hAnsi="宋体" w:eastAsia="黑体"/>
          <w:sz w:val="24"/>
        </w:rPr>
      </w:pPr>
      <w:r>
        <w:rPr>
          <w:rFonts w:hint="eastAsia" w:ascii="黑体" w:hAnsi="宋体" w:eastAsia="黑体"/>
          <w:sz w:val="24"/>
        </w:rPr>
        <w:t>35．投标文件的比较与评价</w:t>
      </w:r>
    </w:p>
    <w:p>
      <w:pPr>
        <w:ind w:firstLine="411" w:firstLineChars="196"/>
        <w:rPr>
          <w:rFonts w:ascii="宋体" w:hAnsi="宋体"/>
          <w:szCs w:val="21"/>
        </w:rPr>
      </w:pPr>
      <w:r>
        <w:rPr>
          <w:rFonts w:hint="eastAsia" w:ascii="宋体" w:hAnsi="宋体"/>
          <w:szCs w:val="21"/>
        </w:rPr>
        <w:t>评审委员会将按照《深圳经济特区政府采购条例》、《深圳经济特区政府采购条例实施细则》及《深圳市政府采购评审委员会和评标方法暂行规定》，参照相关法律、法规、规定，仅对通过资格性审查和符合性审查的投标文件进行综合比较与评价。</w:t>
      </w:r>
    </w:p>
    <w:p>
      <w:pPr>
        <w:ind w:firstLine="411" w:firstLineChars="196"/>
        <w:rPr>
          <w:rFonts w:ascii="宋体" w:hAnsi="宋体"/>
          <w:szCs w:val="21"/>
        </w:rPr>
      </w:pPr>
      <w:r>
        <w:rPr>
          <w:rFonts w:hint="eastAsia" w:ascii="宋体" w:hAnsi="宋体"/>
          <w:szCs w:val="21"/>
        </w:rPr>
        <w:t>评审委员会成员对需要共同认定的事项存在争议的，应当按照少数服从多数的原则作出结论。持不同意见的评审委员会成员应当在评标报告上签署不同意见及理由，否则视为同意评标报告。</w:t>
      </w:r>
    </w:p>
    <w:p>
      <w:pPr>
        <w:spacing w:line="360" w:lineRule="auto"/>
        <w:rPr>
          <w:rFonts w:ascii="黑体" w:hAnsi="宋体" w:eastAsia="黑体"/>
          <w:sz w:val="24"/>
        </w:rPr>
      </w:pPr>
      <w:r>
        <w:rPr>
          <w:rFonts w:hint="eastAsia" w:ascii="黑体" w:hAnsi="宋体" w:eastAsia="黑体"/>
          <w:sz w:val="24"/>
        </w:rPr>
        <w:t>36.实地考察、演示或设备测试</w:t>
      </w:r>
    </w:p>
    <w:p>
      <w:pPr>
        <w:ind w:firstLine="411" w:firstLineChars="196"/>
        <w:rPr>
          <w:rFonts w:ascii="宋体" w:hAnsi="宋体"/>
          <w:szCs w:val="21"/>
        </w:rPr>
      </w:pPr>
      <w:r>
        <w:rPr>
          <w:rFonts w:hint="eastAsia" w:ascii="宋体" w:hAnsi="宋体"/>
          <w:szCs w:val="21"/>
        </w:rPr>
        <w:t>36.1在招标过程中，评审委员会有权决定是否对本项目投标人进行现场勘察或实地考察或检验有关证明材料的原件。投标人应随时做好接受检查的准备。</w:t>
      </w:r>
    </w:p>
    <w:p>
      <w:pPr>
        <w:ind w:firstLine="411" w:firstLineChars="196"/>
        <w:rPr>
          <w:rFonts w:ascii="宋体" w:hAnsi="宋体"/>
          <w:szCs w:val="21"/>
        </w:rPr>
      </w:pPr>
      <w:r>
        <w:rPr>
          <w:rFonts w:hint="eastAsia" w:ascii="宋体" w:hAnsi="宋体"/>
          <w:szCs w:val="21"/>
        </w:rPr>
        <w:t>36.2若招标文件要求进行现场演示或设备测试的，投标人应做好相应准备。</w:t>
      </w:r>
    </w:p>
    <w:p>
      <w:pPr>
        <w:spacing w:line="360" w:lineRule="auto"/>
        <w:rPr>
          <w:rFonts w:ascii="黑体" w:hAnsi="宋体" w:eastAsia="黑体"/>
          <w:sz w:val="24"/>
        </w:rPr>
      </w:pPr>
      <w:r>
        <w:rPr>
          <w:rFonts w:hint="eastAsia" w:ascii="黑体" w:hAnsi="宋体" w:eastAsia="黑体"/>
          <w:sz w:val="24"/>
        </w:rPr>
        <w:t>37．评标方法</w:t>
      </w:r>
    </w:p>
    <w:p>
      <w:pPr>
        <w:ind w:firstLine="413" w:firstLineChars="196"/>
        <w:rPr>
          <w:rFonts w:ascii="宋体" w:hAnsi="宋体"/>
          <w:b/>
          <w:bCs/>
          <w:szCs w:val="21"/>
        </w:rPr>
      </w:pPr>
      <w:r>
        <w:rPr>
          <w:rFonts w:hint="eastAsia" w:ascii="宋体" w:hAnsi="宋体"/>
          <w:b/>
          <w:bCs/>
          <w:szCs w:val="21"/>
        </w:rPr>
        <w:t>37.1最低价法</w:t>
      </w:r>
    </w:p>
    <w:p>
      <w:pPr>
        <w:ind w:firstLine="411" w:firstLineChars="196"/>
        <w:rPr>
          <w:rFonts w:ascii="宋体" w:hAnsi="宋体"/>
          <w:bCs/>
          <w:szCs w:val="21"/>
        </w:rPr>
      </w:pPr>
      <w:r>
        <w:rPr>
          <w:rFonts w:hint="eastAsia" w:ascii="宋体" w:hAnsi="宋体"/>
          <w:bCs/>
          <w:szCs w:val="21"/>
        </w:rPr>
        <w:t>最低评标价法，是指投标文件满足招标文件全部实质性要求，且投标报价最低的投标人为中标候选人的评标方法。</w:t>
      </w:r>
    </w:p>
    <w:p>
      <w:pPr>
        <w:ind w:firstLine="413" w:firstLineChars="196"/>
        <w:rPr>
          <w:rFonts w:ascii="宋体" w:hAnsi="宋体"/>
          <w:b/>
          <w:bCs/>
          <w:szCs w:val="21"/>
        </w:rPr>
      </w:pPr>
      <w:r>
        <w:rPr>
          <w:rFonts w:hint="eastAsia" w:ascii="宋体" w:hAnsi="宋体"/>
          <w:b/>
          <w:bCs/>
          <w:szCs w:val="21"/>
        </w:rPr>
        <w:t>37.2综合评分法</w:t>
      </w:r>
    </w:p>
    <w:p>
      <w:pPr>
        <w:ind w:firstLine="411" w:firstLineChars="196"/>
        <w:rPr>
          <w:rFonts w:ascii="宋体" w:hAnsi="宋体"/>
          <w:bCs/>
          <w:szCs w:val="21"/>
        </w:rPr>
      </w:pPr>
      <w:r>
        <w:rPr>
          <w:rFonts w:hint="eastAsia" w:ascii="宋体" w:hAnsi="宋体"/>
          <w:bCs/>
          <w:szCs w:val="21"/>
        </w:rPr>
        <w:t>综合评分法，是指投标文件满足招标文件全部实质性要求，且按照评审因素的量化指标评审得分最高的投标人为中标候选人的评标方法。</w:t>
      </w:r>
    </w:p>
    <w:p>
      <w:pPr>
        <w:ind w:firstLine="413" w:firstLineChars="196"/>
        <w:rPr>
          <w:rFonts w:ascii="宋体" w:hAnsi="宋体"/>
          <w:b/>
          <w:bCs/>
          <w:szCs w:val="21"/>
        </w:rPr>
      </w:pPr>
      <w:r>
        <w:rPr>
          <w:rFonts w:hint="eastAsia" w:ascii="宋体" w:hAnsi="宋体"/>
          <w:b/>
          <w:bCs/>
          <w:szCs w:val="21"/>
        </w:rPr>
        <w:t>37.3定性评审法</w:t>
      </w:r>
    </w:p>
    <w:p>
      <w:pPr>
        <w:ind w:firstLine="411" w:firstLineChars="196"/>
        <w:rPr>
          <w:rFonts w:ascii="宋体" w:hAnsi="宋体"/>
          <w:bCs/>
          <w:szCs w:val="21"/>
        </w:rPr>
      </w:pPr>
      <w:r>
        <w:rPr>
          <w:rFonts w:hint="eastAsia" w:ascii="宋体" w:hAnsi="宋体"/>
          <w:bCs/>
          <w:szCs w:val="21"/>
        </w:rPr>
        <w:t>定性评审法，是指按照招标文件规定的各项因素进行技术商务定性评审，对各投标文件是否满足招标文件实质性要求提出意见，指出投标文件的优点、缺陷、问题以及签订合同前应注意和澄清的事项，并形成评审报告。所有递交的投标文件不被判定为投标无效的投标人，均推荐为候选中标供应商。</w:t>
      </w:r>
    </w:p>
    <w:p>
      <w:pPr>
        <w:ind w:firstLine="413" w:firstLineChars="196"/>
        <w:rPr>
          <w:rFonts w:ascii="宋体" w:hAnsi="宋体"/>
          <w:b/>
          <w:bCs/>
          <w:szCs w:val="21"/>
        </w:rPr>
      </w:pPr>
      <w:r>
        <w:rPr>
          <w:rFonts w:hint="eastAsia" w:ascii="宋体" w:hAnsi="宋体"/>
          <w:b/>
          <w:bCs/>
          <w:szCs w:val="21"/>
        </w:rPr>
        <w:t>37.4 本项目采用的评标方法见本项目招标文件第一册“专用条款”的相关内容。</w:t>
      </w:r>
    </w:p>
    <w:p>
      <w:pPr>
        <w:ind w:firstLine="413" w:firstLineChars="196"/>
        <w:rPr>
          <w:rFonts w:ascii="宋体" w:hAnsi="宋体"/>
          <w:b/>
          <w:bCs/>
          <w:szCs w:val="21"/>
        </w:rPr>
      </w:pPr>
      <w:r>
        <w:rPr>
          <w:rFonts w:hint="eastAsia" w:ascii="宋体" w:hAnsi="宋体"/>
          <w:b/>
          <w:bCs/>
          <w:szCs w:val="21"/>
        </w:rPr>
        <w:t>37.5重新评审的情形</w:t>
      </w:r>
    </w:p>
    <w:p>
      <w:pPr>
        <w:ind w:firstLine="411" w:firstLineChars="196"/>
        <w:rPr>
          <w:rFonts w:ascii="宋体" w:hAnsi="宋体"/>
          <w:bCs/>
          <w:szCs w:val="21"/>
        </w:rPr>
      </w:pPr>
      <w:r>
        <w:rPr>
          <w:rFonts w:hint="eastAsia" w:ascii="宋体" w:hAnsi="宋体"/>
          <w:bCs/>
          <w:szCs w:val="21"/>
        </w:rPr>
        <w:t>评标结果汇总完成后，除下列情形外，任何人不得修改评标结果：</w:t>
      </w:r>
    </w:p>
    <w:p>
      <w:pPr>
        <w:ind w:firstLine="411" w:firstLineChars="196"/>
        <w:rPr>
          <w:rFonts w:ascii="宋体" w:hAnsi="宋体"/>
          <w:bCs/>
          <w:szCs w:val="21"/>
        </w:rPr>
      </w:pPr>
      <w:r>
        <w:rPr>
          <w:rFonts w:hint="eastAsia" w:ascii="宋体" w:hAnsi="宋体"/>
          <w:bCs/>
          <w:szCs w:val="21"/>
        </w:rPr>
        <w:t>（1）分值汇总计算错误的；</w:t>
      </w:r>
    </w:p>
    <w:p>
      <w:pPr>
        <w:ind w:firstLine="411" w:firstLineChars="196"/>
        <w:rPr>
          <w:rFonts w:ascii="宋体" w:hAnsi="宋体"/>
          <w:bCs/>
          <w:szCs w:val="21"/>
        </w:rPr>
      </w:pPr>
      <w:r>
        <w:rPr>
          <w:rFonts w:hint="eastAsia" w:ascii="宋体" w:hAnsi="宋体"/>
          <w:bCs/>
          <w:szCs w:val="21"/>
        </w:rPr>
        <w:t>（2）分项评分超出评分标准范围的；</w:t>
      </w:r>
    </w:p>
    <w:p>
      <w:pPr>
        <w:ind w:firstLine="411" w:firstLineChars="196"/>
        <w:rPr>
          <w:rFonts w:ascii="宋体" w:hAnsi="宋体"/>
          <w:bCs/>
          <w:szCs w:val="21"/>
        </w:rPr>
      </w:pPr>
      <w:r>
        <w:rPr>
          <w:rFonts w:hint="eastAsia" w:ascii="宋体" w:hAnsi="宋体"/>
          <w:bCs/>
          <w:szCs w:val="21"/>
        </w:rPr>
        <w:t>（3）评审委员会成员对客观评审因素评分不一致的；</w:t>
      </w:r>
    </w:p>
    <w:p>
      <w:pPr>
        <w:ind w:firstLine="411" w:firstLineChars="196"/>
        <w:rPr>
          <w:rFonts w:ascii="宋体" w:hAnsi="宋体"/>
          <w:bCs/>
          <w:szCs w:val="21"/>
        </w:rPr>
      </w:pPr>
      <w:r>
        <w:rPr>
          <w:rFonts w:hint="eastAsia" w:ascii="宋体" w:hAnsi="宋体"/>
          <w:bCs/>
          <w:szCs w:val="21"/>
        </w:rPr>
        <w:t>（4）经评审委员会认定评分畸高、畸低的。</w:t>
      </w:r>
    </w:p>
    <w:p>
      <w:pPr>
        <w:ind w:firstLine="411" w:firstLineChars="196"/>
        <w:rPr>
          <w:rFonts w:ascii="宋体" w:hAnsi="宋体"/>
          <w:bCs/>
          <w:szCs w:val="21"/>
        </w:rPr>
      </w:pPr>
      <w:r>
        <w:rPr>
          <w:rFonts w:hint="eastAsia" w:ascii="宋体" w:hAnsi="宋体"/>
          <w:bCs/>
          <w:szCs w:val="21"/>
        </w:rPr>
        <w:t>评标报告签署前，经复核发现存在以上情形之一的，评审委员会应当当场修改评标结果，并在评标报告中记载；评标报告签署后，采购人或者学校采购机构发现存在以上情形之一的，应当组织原评审委员会进行重新评审。</w:t>
      </w:r>
    </w:p>
    <w:p>
      <w:pPr>
        <w:ind w:firstLine="411" w:firstLineChars="196"/>
        <w:rPr>
          <w:rFonts w:ascii="宋体" w:hAnsi="宋体"/>
          <w:b/>
          <w:bCs/>
          <w:szCs w:val="21"/>
        </w:rPr>
      </w:pPr>
      <w:r>
        <w:rPr>
          <w:rFonts w:hint="eastAsia" w:ascii="宋体" w:hAnsi="宋体"/>
          <w:bCs/>
          <w:szCs w:val="21"/>
        </w:rPr>
        <w:t>投标人对本条第一款情形提出质疑的，采购人或者学校采购机构可以组织原评审委员会进行重新评审。</w:t>
      </w:r>
    </w:p>
    <w:p>
      <w:pPr>
        <w:ind w:firstLine="413" w:firstLineChars="196"/>
        <w:rPr>
          <w:rFonts w:ascii="宋体" w:hAnsi="宋体"/>
          <w:b/>
          <w:bCs/>
          <w:szCs w:val="21"/>
        </w:rPr>
      </w:pPr>
      <w:r>
        <w:rPr>
          <w:rFonts w:hint="eastAsia" w:ascii="宋体" w:hAnsi="宋体"/>
          <w:b/>
          <w:bCs/>
          <w:szCs w:val="21"/>
        </w:rPr>
        <w:t xml:space="preserve"> 37.6重新组建评审委员会的情形</w:t>
      </w:r>
    </w:p>
    <w:p>
      <w:pPr>
        <w:ind w:firstLine="411" w:firstLineChars="196"/>
        <w:rPr>
          <w:rFonts w:ascii="宋体" w:hAnsi="宋体"/>
          <w:bCs/>
          <w:szCs w:val="21"/>
        </w:rPr>
      </w:pPr>
      <w:r>
        <w:rPr>
          <w:rFonts w:hint="eastAsia" w:ascii="宋体" w:hAnsi="宋体"/>
          <w:bCs/>
          <w:szCs w:val="21"/>
        </w:rPr>
        <w:t>评审委员会或者其成员存在下列情形导致评标结果无效的，重新组建评审委员会进行评标：</w:t>
      </w:r>
    </w:p>
    <w:p>
      <w:pPr>
        <w:ind w:firstLine="411" w:firstLineChars="196"/>
        <w:rPr>
          <w:rFonts w:ascii="宋体" w:hAnsi="宋体"/>
          <w:bCs/>
          <w:szCs w:val="21"/>
        </w:rPr>
      </w:pPr>
      <w:r>
        <w:rPr>
          <w:rFonts w:hint="eastAsia" w:ascii="宋体" w:hAnsi="宋体"/>
          <w:bCs/>
          <w:szCs w:val="21"/>
        </w:rPr>
        <w:t>（1）评审委员会组成不符合相关规定的；</w:t>
      </w:r>
    </w:p>
    <w:p>
      <w:pPr>
        <w:ind w:firstLine="411" w:firstLineChars="196"/>
        <w:rPr>
          <w:rFonts w:ascii="宋体" w:hAnsi="宋体"/>
          <w:bCs/>
          <w:szCs w:val="21"/>
        </w:rPr>
      </w:pPr>
      <w:r>
        <w:rPr>
          <w:rFonts w:hint="eastAsia" w:ascii="宋体" w:hAnsi="宋体"/>
          <w:bCs/>
          <w:szCs w:val="21"/>
        </w:rPr>
        <w:t>（2）有《政府采购货物和服务招标投标管理办法》第六十二条第一至五项情形的；</w:t>
      </w:r>
    </w:p>
    <w:p>
      <w:pPr>
        <w:ind w:firstLine="411" w:firstLineChars="196"/>
        <w:rPr>
          <w:rFonts w:ascii="宋体" w:hAnsi="宋体"/>
          <w:bCs/>
          <w:szCs w:val="21"/>
        </w:rPr>
      </w:pPr>
      <w:r>
        <w:rPr>
          <w:rFonts w:hint="eastAsia" w:ascii="宋体" w:hAnsi="宋体"/>
          <w:bCs/>
          <w:szCs w:val="21"/>
        </w:rPr>
        <w:t>（3）评审委员会及其成员独立评标受到非法干预的；</w:t>
      </w:r>
    </w:p>
    <w:p>
      <w:pPr>
        <w:ind w:firstLine="411" w:firstLineChars="196"/>
        <w:rPr>
          <w:rFonts w:ascii="宋体" w:hAnsi="宋体"/>
          <w:bCs/>
          <w:szCs w:val="21"/>
        </w:rPr>
      </w:pPr>
      <w:r>
        <w:rPr>
          <w:rFonts w:hint="eastAsia" w:ascii="宋体" w:hAnsi="宋体"/>
          <w:bCs/>
          <w:szCs w:val="21"/>
        </w:rPr>
        <w:t>（4）有政府采购法实施条例第七十五条规定的违法行为的。</w:t>
      </w:r>
    </w:p>
    <w:p>
      <w:pPr>
        <w:ind w:firstLine="411" w:firstLineChars="196"/>
        <w:rPr>
          <w:rFonts w:ascii="宋体" w:hAnsi="宋体"/>
          <w:bCs/>
          <w:szCs w:val="21"/>
        </w:rPr>
      </w:pPr>
      <w:r>
        <w:rPr>
          <w:rFonts w:hint="eastAsia" w:ascii="宋体" w:hAnsi="宋体"/>
          <w:bCs/>
          <w:szCs w:val="21"/>
        </w:rPr>
        <w:t>有违法违规行为的原评审委员会成员不得参加重新组建的评审委员会。</w:t>
      </w:r>
    </w:p>
    <w:p>
      <w:pPr>
        <w:keepNext/>
        <w:keepLines/>
        <w:numPr>
          <w:ilvl w:val="0"/>
          <w:numId w:val="12"/>
        </w:numPr>
        <w:adjustRightInd w:val="0"/>
        <w:spacing w:before="120" w:beforeLines="50" w:after="120" w:afterLines="50"/>
        <w:ind w:left="562" w:hanging="562"/>
        <w:jc w:val="center"/>
        <w:textAlignment w:val="baseline"/>
        <w:outlineLvl w:val="1"/>
        <w:rPr>
          <w:rFonts w:ascii="Arial" w:hAnsi="Arial" w:eastAsia="黑体"/>
          <w:b/>
          <w:bCs/>
          <w:sz w:val="28"/>
          <w:szCs w:val="28"/>
        </w:rPr>
      </w:pPr>
      <w:r>
        <w:rPr>
          <w:rFonts w:hint="eastAsia" w:ascii="Arial" w:hAnsi="Arial" w:eastAsia="黑体"/>
          <w:b/>
          <w:bCs/>
          <w:sz w:val="28"/>
          <w:szCs w:val="28"/>
        </w:rPr>
        <w:t>定标及公示</w:t>
      </w:r>
    </w:p>
    <w:p>
      <w:pPr>
        <w:spacing w:line="360" w:lineRule="auto"/>
        <w:rPr>
          <w:rFonts w:ascii="黑体" w:hAnsi="宋体" w:eastAsia="黑体"/>
          <w:sz w:val="24"/>
        </w:rPr>
      </w:pPr>
      <w:r>
        <w:rPr>
          <w:rFonts w:hint="eastAsia" w:ascii="黑体" w:hAnsi="宋体" w:eastAsia="黑体"/>
          <w:sz w:val="24"/>
        </w:rPr>
        <w:t>38．定标方法</w:t>
      </w:r>
    </w:p>
    <w:p>
      <w:pPr>
        <w:ind w:firstLine="411" w:firstLineChars="196"/>
        <w:rPr>
          <w:rFonts w:ascii="宋体" w:hAnsi="宋体"/>
          <w:szCs w:val="21"/>
        </w:rPr>
      </w:pPr>
      <w:r>
        <w:rPr>
          <w:rFonts w:hint="eastAsia" w:ascii="宋体" w:hAnsi="宋体"/>
          <w:szCs w:val="21"/>
        </w:rPr>
        <w:t>38.1评审委员会依据本项目招标文件所约定的评标方法进行评审和比较，向学校采购机构提交书面评标报告，并根据评标方法比较评价结果从优到劣进行排序，并推荐中标候选人或确定中标供应商。</w:t>
      </w:r>
    </w:p>
    <w:p>
      <w:pPr>
        <w:ind w:firstLine="411" w:firstLineChars="196"/>
        <w:rPr>
          <w:rFonts w:ascii="宋体" w:hAnsi="宋体"/>
          <w:szCs w:val="21"/>
        </w:rPr>
      </w:pPr>
      <w:r>
        <w:rPr>
          <w:rFonts w:hint="eastAsia" w:ascii="宋体" w:hAnsi="宋体"/>
          <w:szCs w:val="21"/>
        </w:rPr>
        <w:t>38.2采用最低价法的，评标结果按投标报价由低到高顺序排列。投标报价相同的并列。投标文件满足招标文件全部实质性要求且投标报价最低的投标人为排名第一的中标候选人。</w:t>
      </w:r>
    </w:p>
    <w:p>
      <w:pPr>
        <w:ind w:firstLine="411" w:firstLineChars="196"/>
        <w:rPr>
          <w:rFonts w:ascii="宋体" w:hAnsi="宋体"/>
          <w:szCs w:val="21"/>
        </w:rPr>
      </w:pPr>
      <w:r>
        <w:rPr>
          <w:rFonts w:hint="eastAsia" w:ascii="宋体" w:hAnsi="宋体"/>
          <w:szCs w:val="21"/>
        </w:rPr>
        <w:t>38.3采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ind w:firstLine="411" w:firstLineChars="196"/>
        <w:rPr>
          <w:rFonts w:ascii="宋体" w:hAnsi="宋体"/>
          <w:szCs w:val="21"/>
        </w:rPr>
      </w:pPr>
      <w:r>
        <w:rPr>
          <w:rFonts w:hint="eastAsia" w:ascii="宋体" w:hAnsi="宋体"/>
          <w:szCs w:val="21"/>
        </w:rPr>
        <w:t>38.4出现并列的情况时，采取随机抽取的方式确定并列的投标人的排序，具体操作办法及流程由评审委员会确定。</w:t>
      </w:r>
    </w:p>
    <w:p>
      <w:pPr>
        <w:ind w:firstLine="411" w:firstLineChars="196"/>
        <w:rPr>
          <w:rFonts w:ascii="宋体" w:hAnsi="宋体"/>
          <w:szCs w:val="21"/>
        </w:rPr>
      </w:pPr>
      <w:r>
        <w:rPr>
          <w:rFonts w:hint="eastAsia" w:ascii="宋体" w:hAnsi="宋体"/>
          <w:szCs w:val="21"/>
        </w:rPr>
        <w:t>38.5专用条款另有规定的，按专用条款相关要求定标。</w:t>
      </w:r>
    </w:p>
    <w:p>
      <w:pPr>
        <w:spacing w:line="360" w:lineRule="auto"/>
        <w:rPr>
          <w:rFonts w:ascii="黑体" w:hAnsi="宋体" w:eastAsia="黑体"/>
          <w:sz w:val="24"/>
        </w:rPr>
      </w:pPr>
      <w:r>
        <w:rPr>
          <w:rFonts w:hint="eastAsia" w:ascii="黑体" w:hAnsi="宋体" w:eastAsia="黑体"/>
          <w:sz w:val="24"/>
        </w:rPr>
        <w:t>39．编写评标报告</w:t>
      </w:r>
    </w:p>
    <w:p>
      <w:pPr>
        <w:ind w:firstLine="411" w:firstLineChars="196"/>
        <w:rPr>
          <w:rFonts w:ascii="宋体" w:hAnsi="宋体"/>
          <w:szCs w:val="21"/>
        </w:rPr>
      </w:pPr>
      <w:r>
        <w:rPr>
          <w:rFonts w:hint="eastAsia" w:ascii="宋体" w:hAnsi="宋体"/>
          <w:szCs w:val="21"/>
        </w:rPr>
        <w:t>评标报告是评审委员会根据全体评标成员签字的原始评标记录和评标结果编写的报告，评标报告由评审委员会全体成员签字。对评标结论持有异议的评审委员会成员可以书面方式阐述其不同意见和理由。评审委员会成员拒绝在评标报告上签字且不陈述其不同意见和理由的，视为同意评标结论。评审委员会应当对此作出书面说明并记录存档。</w:t>
      </w:r>
    </w:p>
    <w:p>
      <w:pPr>
        <w:spacing w:line="360" w:lineRule="auto"/>
        <w:rPr>
          <w:rFonts w:ascii="黑体" w:hAnsi="宋体" w:eastAsia="黑体"/>
          <w:sz w:val="24"/>
        </w:rPr>
      </w:pPr>
      <w:r>
        <w:rPr>
          <w:rFonts w:hint="eastAsia" w:ascii="黑体" w:hAnsi="宋体" w:eastAsia="黑体"/>
          <w:sz w:val="24"/>
        </w:rPr>
        <w:t>40．中标公告</w:t>
      </w:r>
    </w:p>
    <w:p>
      <w:pPr>
        <w:ind w:firstLine="411" w:firstLineChars="196"/>
        <w:rPr>
          <w:rFonts w:ascii="宋体" w:hAnsi="宋体"/>
          <w:szCs w:val="21"/>
        </w:rPr>
      </w:pPr>
      <w:r>
        <w:rPr>
          <w:rFonts w:hint="eastAsia" w:ascii="宋体" w:hAnsi="宋体"/>
          <w:szCs w:val="21"/>
        </w:rPr>
        <w:t>40.1为体现“公开、公平、公正”的原则，评标结束后，学校采购机构将在“深圳大学招投标管理中心网站”（</w:t>
      </w:r>
      <w:r>
        <w:fldChar w:fldCharType="begin"/>
      </w:r>
      <w:r>
        <w:instrText xml:space="preserve"> HYPERLINK "http://bidding.szu.edu.cn/" </w:instrText>
      </w:r>
      <w:r>
        <w:fldChar w:fldCharType="separate"/>
      </w:r>
      <w:r>
        <w:rPr>
          <w:rStyle w:val="63"/>
          <w:rFonts w:hint="eastAsia" w:ascii="宋体" w:hAnsi="宋体"/>
          <w:szCs w:val="21"/>
        </w:rPr>
        <w:t>http://bidding.szu.edu.cn/</w:t>
      </w:r>
      <w:r>
        <w:rPr>
          <w:rStyle w:val="63"/>
          <w:rFonts w:hint="eastAsia" w:ascii="宋体" w:hAnsi="宋体"/>
          <w:szCs w:val="21"/>
        </w:rPr>
        <w:fldChar w:fldCharType="end"/>
      </w:r>
      <w:r>
        <w:rPr>
          <w:rFonts w:hint="eastAsia" w:ascii="宋体" w:hAnsi="宋体"/>
          <w:szCs w:val="21"/>
        </w:rPr>
        <w:t>）上发布中标结果公告。供应商如对评标结果有异议，可在发布公示日期起七个工作日内向学校采购机构提出。若在规定期限内未提出质疑，则视为认同该评标结果。</w:t>
      </w:r>
    </w:p>
    <w:p>
      <w:pPr>
        <w:ind w:firstLine="411" w:firstLineChars="196"/>
        <w:rPr>
          <w:rFonts w:ascii="宋体" w:hAnsi="宋体"/>
          <w:szCs w:val="21"/>
        </w:rPr>
      </w:pPr>
      <w:r>
        <w:rPr>
          <w:rFonts w:hint="eastAsia" w:ascii="宋体" w:hAnsi="宋体"/>
          <w:szCs w:val="21"/>
        </w:rPr>
        <w:t>40.2质疑投诉人应保证质疑投诉内容的真实性和可靠性，并承担相应的法律责任。</w:t>
      </w:r>
    </w:p>
    <w:p>
      <w:pPr>
        <w:spacing w:line="360" w:lineRule="auto"/>
        <w:rPr>
          <w:rFonts w:ascii="黑体" w:hAnsi="宋体" w:eastAsia="黑体"/>
          <w:sz w:val="24"/>
        </w:rPr>
      </w:pPr>
      <w:r>
        <w:rPr>
          <w:rFonts w:hint="eastAsia" w:ascii="黑体" w:hAnsi="宋体" w:eastAsia="黑体"/>
          <w:sz w:val="24"/>
        </w:rPr>
        <w:t>41．中标通知书</w:t>
      </w:r>
    </w:p>
    <w:p>
      <w:pPr>
        <w:ind w:firstLine="411" w:firstLineChars="196"/>
        <w:rPr>
          <w:rFonts w:ascii="宋体" w:hAnsi="宋体"/>
          <w:szCs w:val="21"/>
        </w:rPr>
      </w:pPr>
      <w:r>
        <w:rPr>
          <w:rFonts w:hint="eastAsia" w:ascii="宋体" w:hAnsi="宋体"/>
          <w:szCs w:val="21"/>
        </w:rPr>
        <w:t>41.1中标公告公布以后,在公示期内无有效质疑投诉,中标供应商和采购人可到学校采购机构领取《中标通知书》（咨询电话：0755—26531025，地点：深圳大学粤海校区汇元楼238室）。</w:t>
      </w:r>
    </w:p>
    <w:p>
      <w:pPr>
        <w:ind w:firstLine="411" w:firstLineChars="196"/>
        <w:rPr>
          <w:rFonts w:ascii="宋体" w:hAnsi="宋体"/>
          <w:szCs w:val="21"/>
        </w:rPr>
      </w:pPr>
      <w:r>
        <w:rPr>
          <w:rFonts w:hint="eastAsia" w:ascii="宋体" w:hAnsi="宋体"/>
          <w:szCs w:val="21"/>
        </w:rPr>
        <w:t>41.2中标通知书是合同的重要组成部分。</w:t>
      </w:r>
    </w:p>
    <w:p>
      <w:pPr>
        <w:ind w:firstLine="411" w:firstLineChars="196"/>
        <w:rPr>
          <w:rFonts w:ascii="宋体" w:hAnsi="宋体"/>
          <w:szCs w:val="21"/>
        </w:rPr>
      </w:pPr>
      <w:r>
        <w:rPr>
          <w:rFonts w:hint="eastAsia" w:ascii="宋体" w:hAnsi="宋体"/>
          <w:szCs w:val="21"/>
        </w:rPr>
        <w:t>41.3因质疑投诉或其它原因导致项目结果变更或采购终止的，学校采购机构有权吊销中标通知书或终止采购合同。</w:t>
      </w:r>
    </w:p>
    <w:p>
      <w:pPr>
        <w:keepNext/>
        <w:keepLines/>
        <w:numPr>
          <w:ilvl w:val="0"/>
          <w:numId w:val="12"/>
        </w:numPr>
        <w:adjustRightInd w:val="0"/>
        <w:spacing w:before="120" w:beforeLines="50" w:after="120" w:afterLines="50"/>
        <w:ind w:left="562" w:hanging="562"/>
        <w:jc w:val="center"/>
        <w:textAlignment w:val="baseline"/>
        <w:outlineLvl w:val="1"/>
        <w:rPr>
          <w:rFonts w:ascii="Arial" w:hAnsi="Arial" w:eastAsia="黑体"/>
          <w:b/>
          <w:bCs/>
          <w:sz w:val="28"/>
          <w:szCs w:val="28"/>
        </w:rPr>
      </w:pPr>
      <w:r>
        <w:rPr>
          <w:rFonts w:hint="eastAsia" w:ascii="Arial" w:hAnsi="Arial" w:eastAsia="黑体"/>
          <w:b/>
          <w:bCs/>
          <w:sz w:val="28"/>
          <w:szCs w:val="28"/>
        </w:rPr>
        <w:t>公开招标失败的后续处理</w:t>
      </w:r>
    </w:p>
    <w:p>
      <w:pPr>
        <w:spacing w:line="360" w:lineRule="auto"/>
        <w:rPr>
          <w:rFonts w:ascii="黑体" w:hAnsi="宋体" w:eastAsia="黑体"/>
          <w:sz w:val="24"/>
        </w:rPr>
      </w:pPr>
      <w:r>
        <w:rPr>
          <w:rFonts w:hint="eastAsia" w:ascii="黑体" w:hAnsi="宋体" w:eastAsia="黑体"/>
          <w:sz w:val="24"/>
        </w:rPr>
        <w:t>42．公开招标失败的处理</w:t>
      </w:r>
    </w:p>
    <w:p>
      <w:pPr>
        <w:ind w:firstLine="411" w:firstLineChars="196"/>
        <w:rPr>
          <w:rFonts w:ascii="宋体" w:hAnsi="宋体"/>
        </w:rPr>
      </w:pPr>
      <w:r>
        <w:rPr>
          <w:rFonts w:hint="eastAsia" w:ascii="宋体" w:hAnsi="宋体"/>
          <w:szCs w:val="21"/>
        </w:rPr>
        <w:t>42.1本项目公开招标过程中若由于投标截止后</w:t>
      </w:r>
      <w:r>
        <w:rPr>
          <w:rFonts w:hint="eastAsia" w:ascii="宋体" w:hAnsi="宋体"/>
        </w:rPr>
        <w:t>实际递交投标文件的供应商数量不足、经评审委员会评审对招标文件作实质响应的供应商不足等原因造成公开招标失败，可由学校</w:t>
      </w:r>
      <w:r>
        <w:rPr>
          <w:rFonts w:hint="eastAsia" w:ascii="宋体" w:hAnsi="宋体" w:cs="宋体"/>
        </w:rPr>
        <w:t>采购机构</w:t>
      </w:r>
      <w:r>
        <w:rPr>
          <w:rFonts w:hint="eastAsia" w:ascii="宋体" w:hAnsi="宋体"/>
        </w:rPr>
        <w:t>重新组织采购。</w:t>
      </w:r>
    </w:p>
    <w:p>
      <w:pPr>
        <w:ind w:firstLine="411" w:firstLineChars="196"/>
        <w:rPr>
          <w:rFonts w:ascii="宋体" w:hAnsi="宋体"/>
          <w:szCs w:val="21"/>
        </w:rPr>
      </w:pPr>
      <w:r>
        <w:rPr>
          <w:rFonts w:hint="eastAsia" w:ascii="宋体" w:hAnsi="宋体"/>
          <w:szCs w:val="21"/>
        </w:rPr>
        <w:t>42.2对公开招标失败的项目，评审委员会在出具该项目招标失败结论的同时，提出重新采购组织形式的建议，以及进一步完善招标文件的资格、技术、商务要求的修改建议。</w:t>
      </w:r>
    </w:p>
    <w:p>
      <w:pPr>
        <w:ind w:firstLine="411" w:firstLineChars="196"/>
        <w:rPr>
          <w:rFonts w:ascii="宋体" w:hAnsi="宋体"/>
          <w:szCs w:val="21"/>
        </w:rPr>
      </w:pPr>
      <w:r>
        <w:rPr>
          <w:rFonts w:hint="eastAsia" w:ascii="宋体" w:hAnsi="宋体"/>
          <w:szCs w:val="21"/>
        </w:rPr>
        <w:t>42.3重新组织采购有以下两种组织形式：</w:t>
      </w:r>
    </w:p>
    <w:p>
      <w:pPr>
        <w:ind w:firstLine="411" w:firstLineChars="196"/>
        <w:rPr>
          <w:rFonts w:ascii="宋体" w:hAnsi="宋体"/>
        </w:rPr>
      </w:pPr>
      <w:r>
        <w:rPr>
          <w:rFonts w:hint="eastAsia" w:ascii="宋体" w:hAnsi="宋体"/>
        </w:rPr>
        <w:t>（1）由学校采购机构重新组织公开招标；</w:t>
      </w:r>
    </w:p>
    <w:p>
      <w:pPr>
        <w:ind w:firstLine="411" w:firstLineChars="196"/>
        <w:rPr>
          <w:rFonts w:ascii="宋体" w:hAnsi="宋体"/>
        </w:rPr>
      </w:pPr>
      <w:r>
        <w:rPr>
          <w:rFonts w:hint="eastAsia" w:ascii="宋体" w:hAnsi="宋体"/>
        </w:rPr>
        <w:t>（2）根据实际情况，依照学校的有关规定申请将招标失败的采购项目转为竞争性谈判或单一来源谈判方式采购。</w:t>
      </w:r>
    </w:p>
    <w:p>
      <w:pPr>
        <w:ind w:firstLine="411" w:firstLineChars="196"/>
        <w:rPr>
          <w:rFonts w:ascii="宋体" w:hAnsi="宋体"/>
        </w:rPr>
      </w:pPr>
      <w:r>
        <w:rPr>
          <w:rFonts w:hint="eastAsia" w:ascii="宋体" w:hAnsi="宋体"/>
        </w:rPr>
        <w:t>42.4公开招标失败的采购项目重新组织公开招标，学校采购机构重新按公开招标流程组织采购活动。</w:t>
      </w:r>
    </w:p>
    <w:p>
      <w:pPr>
        <w:ind w:firstLine="411" w:firstLineChars="196"/>
        <w:rPr>
          <w:rFonts w:ascii="宋体" w:hAnsi="宋体"/>
        </w:rPr>
      </w:pPr>
      <w:r>
        <w:rPr>
          <w:rFonts w:hint="eastAsia" w:ascii="宋体" w:hAnsi="宋体"/>
        </w:rPr>
        <w:t>42.5公开招标失败的采购项目按照《深圳大学采购管理办法》及相关规定的程序批准转为竞争性谈判或单一来源谈判方式采购的，按规定要求组织采购活动。</w:t>
      </w:r>
    </w:p>
    <w:p>
      <w:pPr>
        <w:keepNext/>
        <w:keepLines/>
        <w:numPr>
          <w:ilvl w:val="0"/>
          <w:numId w:val="12"/>
        </w:numPr>
        <w:adjustRightInd w:val="0"/>
        <w:spacing w:before="120" w:beforeLines="50" w:after="120" w:afterLines="50"/>
        <w:ind w:left="643" w:hanging="643"/>
        <w:jc w:val="center"/>
        <w:textAlignment w:val="baseline"/>
        <w:outlineLvl w:val="1"/>
        <w:rPr>
          <w:rFonts w:ascii="Arial" w:hAnsi="Arial" w:eastAsia="黑体"/>
          <w:b/>
          <w:bCs/>
          <w:sz w:val="28"/>
          <w:szCs w:val="28"/>
        </w:rPr>
      </w:pPr>
      <w:r>
        <w:rPr>
          <w:rFonts w:hint="eastAsia" w:ascii="Arial" w:hAnsi="Arial" w:eastAsia="黑体"/>
          <w:b/>
          <w:bCs/>
          <w:sz w:val="32"/>
          <w:szCs w:val="32"/>
        </w:rPr>
        <w:t>合同的授予与备案</w:t>
      </w:r>
    </w:p>
    <w:p>
      <w:pPr>
        <w:spacing w:line="360" w:lineRule="auto"/>
        <w:rPr>
          <w:rFonts w:ascii="黑体" w:hAnsi="宋体" w:eastAsia="黑体"/>
          <w:sz w:val="24"/>
        </w:rPr>
      </w:pPr>
      <w:r>
        <w:rPr>
          <w:rFonts w:hint="eastAsia" w:ascii="黑体" w:hAnsi="宋体" w:eastAsia="黑体"/>
          <w:sz w:val="24"/>
        </w:rPr>
        <w:t>43．合同授予标准</w:t>
      </w:r>
    </w:p>
    <w:p>
      <w:pPr>
        <w:ind w:firstLine="411" w:firstLineChars="196"/>
        <w:rPr>
          <w:rFonts w:ascii="宋体" w:hAnsi="宋体"/>
          <w:szCs w:val="21"/>
        </w:rPr>
      </w:pPr>
      <w:r>
        <w:rPr>
          <w:rFonts w:hint="eastAsia" w:ascii="宋体" w:hAnsi="宋体"/>
          <w:szCs w:val="21"/>
        </w:rPr>
        <w:t>本项目的合同将授予按本招标文件规定评审确定的中标人。</w:t>
      </w:r>
    </w:p>
    <w:p>
      <w:pPr>
        <w:spacing w:line="360" w:lineRule="auto"/>
        <w:rPr>
          <w:rFonts w:ascii="黑体" w:hAnsi="宋体" w:eastAsia="黑体"/>
          <w:sz w:val="24"/>
        </w:rPr>
      </w:pPr>
      <w:r>
        <w:rPr>
          <w:rFonts w:hint="eastAsia" w:ascii="黑体" w:hAnsi="宋体" w:eastAsia="黑体"/>
          <w:sz w:val="24"/>
        </w:rPr>
        <w:t>44．接受和拒绝任何或所有投标的权力</w:t>
      </w:r>
    </w:p>
    <w:p>
      <w:pPr>
        <w:ind w:firstLine="411" w:firstLineChars="196"/>
        <w:rPr>
          <w:rFonts w:ascii="宋体" w:hAnsi="宋体"/>
          <w:szCs w:val="21"/>
        </w:rPr>
      </w:pPr>
      <w:r>
        <w:rPr>
          <w:rFonts w:hint="eastAsia" w:ascii="宋体" w:hAnsi="宋体"/>
          <w:szCs w:val="21"/>
        </w:rPr>
        <w:t>学校采购机构和采购人保留在签订合同之前任何时候接受或拒绝任何投标或所有投标，以及宣布招标无效的权力，对受影响的投标人不承担任何责任，也无义务向受影响的投标人解释采取这一行动的理由。</w:t>
      </w:r>
    </w:p>
    <w:p>
      <w:pPr>
        <w:spacing w:line="360" w:lineRule="auto"/>
        <w:rPr>
          <w:rFonts w:ascii="黑体" w:hAnsi="宋体" w:eastAsia="黑体"/>
          <w:sz w:val="24"/>
        </w:rPr>
      </w:pPr>
      <w:r>
        <w:rPr>
          <w:rFonts w:hint="eastAsia" w:ascii="黑体" w:hAnsi="宋体" w:eastAsia="黑体"/>
          <w:sz w:val="24"/>
        </w:rPr>
        <w:t>45．合同协议书的签订</w:t>
      </w:r>
    </w:p>
    <w:p>
      <w:pPr>
        <w:ind w:firstLine="411" w:firstLineChars="196"/>
        <w:rPr>
          <w:rFonts w:ascii="宋体" w:hAnsi="宋体"/>
          <w:szCs w:val="21"/>
        </w:rPr>
      </w:pPr>
      <w:r>
        <w:rPr>
          <w:rFonts w:hint="eastAsia" w:ascii="宋体" w:hAnsi="宋体"/>
          <w:szCs w:val="21"/>
        </w:rPr>
        <w:t>45.1中标人将于中标通知书发出之日起10个工作日内，按照采购文件（招标文件和投标文件等）内容与采购人签订政府采购合同；合同的实质性内容应当符合招标文件的规定。</w:t>
      </w:r>
    </w:p>
    <w:p>
      <w:pPr>
        <w:spacing w:line="0" w:lineRule="atLeast"/>
        <w:ind w:firstLine="411" w:firstLineChars="196"/>
        <w:rPr>
          <w:rFonts w:ascii="宋体" w:hAnsi="宋体"/>
          <w:szCs w:val="21"/>
        </w:rPr>
      </w:pPr>
      <w:r>
        <w:rPr>
          <w:rFonts w:hint="eastAsia" w:ascii="宋体" w:hAnsi="宋体"/>
          <w:szCs w:val="21"/>
        </w:rPr>
        <w:t>45.2中标人如不按本通用条款第45.1款的规定与采购人签订合同，学校采购机构将有充分的理由取消中标人的中标，并计入供应商诚信档案。</w:t>
      </w:r>
    </w:p>
    <w:p>
      <w:pPr>
        <w:spacing w:line="0" w:lineRule="atLeast"/>
        <w:ind w:firstLine="411" w:firstLineChars="196"/>
        <w:rPr>
          <w:rFonts w:ascii="宋体" w:hAnsi="宋体"/>
          <w:szCs w:val="21"/>
        </w:rPr>
      </w:pPr>
      <w:r>
        <w:rPr>
          <w:rFonts w:hint="eastAsia" w:ascii="宋体" w:hAnsi="宋体"/>
          <w:szCs w:val="21"/>
        </w:rPr>
        <w:t>45.3中标人应当按照合同约定履行义务，完成中标项目，不得将中标项目转让（转包）给他人。</w:t>
      </w:r>
    </w:p>
    <w:p>
      <w:pPr>
        <w:spacing w:line="360" w:lineRule="auto"/>
        <w:rPr>
          <w:rFonts w:ascii="黑体" w:hAnsi="宋体" w:eastAsia="黑体"/>
          <w:sz w:val="24"/>
        </w:rPr>
      </w:pPr>
      <w:r>
        <w:rPr>
          <w:rFonts w:hint="eastAsia" w:ascii="黑体" w:hAnsi="宋体" w:eastAsia="黑体"/>
          <w:sz w:val="24"/>
        </w:rPr>
        <w:t>46．履约担保</w:t>
      </w:r>
    </w:p>
    <w:p>
      <w:pPr>
        <w:spacing w:line="0" w:lineRule="atLeast"/>
        <w:ind w:firstLine="411" w:firstLineChars="196"/>
        <w:rPr>
          <w:rFonts w:ascii="宋体" w:hAnsi="宋体"/>
          <w:szCs w:val="21"/>
        </w:rPr>
      </w:pPr>
      <w:r>
        <w:rPr>
          <w:rFonts w:hint="eastAsia" w:ascii="宋体" w:hAnsi="宋体"/>
          <w:szCs w:val="21"/>
        </w:rPr>
        <w:t>46.1在签订项目合同的同时，中标人应按“对通用条款的补充内容”中规定的金额向采购人提交履约保证金。</w:t>
      </w:r>
    </w:p>
    <w:p>
      <w:pPr>
        <w:spacing w:line="0" w:lineRule="atLeast"/>
        <w:ind w:firstLine="411" w:firstLineChars="196"/>
        <w:rPr>
          <w:rFonts w:ascii="宋体" w:hAnsi="宋体"/>
          <w:szCs w:val="21"/>
        </w:rPr>
      </w:pPr>
      <w:r>
        <w:rPr>
          <w:rFonts w:hint="eastAsia" w:ascii="宋体" w:hAnsi="宋体"/>
          <w:szCs w:val="21"/>
        </w:rPr>
        <w:t>46.2如果中标人不能按“对通用条款的补充内容”中规</w:t>
      </w:r>
      <w:r>
        <w:rPr>
          <w:rFonts w:hint="eastAsia"/>
        </w:rPr>
        <w:t>定的金额向采购人提交履约保证金，采购人将有充分的理由通过学校采购机构取消其中标，给采购人造成</w:t>
      </w:r>
      <w:r>
        <w:rPr>
          <w:rFonts w:hint="eastAsia" w:ascii="宋体" w:hAnsi="宋体"/>
          <w:szCs w:val="21"/>
        </w:rPr>
        <w:t>的损失，中标人还应当予以赔偿。</w:t>
      </w:r>
    </w:p>
    <w:p>
      <w:pPr>
        <w:spacing w:line="360" w:lineRule="auto"/>
        <w:rPr>
          <w:rFonts w:ascii="黑体" w:hAnsi="宋体" w:eastAsia="黑体"/>
          <w:sz w:val="24"/>
        </w:rPr>
      </w:pPr>
      <w:r>
        <w:rPr>
          <w:rFonts w:hint="eastAsia" w:ascii="黑体" w:hAnsi="宋体" w:eastAsia="黑体"/>
          <w:sz w:val="24"/>
        </w:rPr>
        <w:t>47.合同的备案</w:t>
      </w:r>
    </w:p>
    <w:p>
      <w:pPr>
        <w:spacing w:line="0" w:lineRule="atLeast"/>
        <w:ind w:firstLine="411" w:firstLineChars="196"/>
        <w:rPr>
          <w:rFonts w:ascii="宋体" w:hAnsi="宋体"/>
          <w:szCs w:val="21"/>
        </w:rPr>
      </w:pPr>
      <w:r>
        <w:rPr>
          <w:rFonts w:hint="eastAsia" w:ascii="宋体" w:hAnsi="宋体"/>
          <w:szCs w:val="21"/>
        </w:rPr>
        <w:t>采购人与中标人应于合同签订之日起10日内，由采购人或委托中标人将采购合同副本抄送学校采购机构备案。</w:t>
      </w:r>
    </w:p>
    <w:p>
      <w:pPr>
        <w:spacing w:line="360" w:lineRule="auto"/>
        <w:rPr>
          <w:rFonts w:ascii="黑体" w:hAnsi="宋体" w:eastAsia="黑体"/>
          <w:sz w:val="24"/>
        </w:rPr>
      </w:pPr>
      <w:r>
        <w:rPr>
          <w:rFonts w:hint="eastAsia" w:ascii="黑体" w:hAnsi="宋体" w:eastAsia="黑体"/>
          <w:sz w:val="24"/>
        </w:rPr>
        <w:t>48.履约情况的反馈</w:t>
      </w:r>
    </w:p>
    <w:p>
      <w:pPr>
        <w:spacing w:line="0" w:lineRule="atLeast"/>
        <w:ind w:firstLine="411" w:firstLineChars="196"/>
        <w:rPr>
          <w:rFonts w:ascii="宋体" w:hAnsi="宋体"/>
          <w:szCs w:val="21"/>
        </w:rPr>
      </w:pPr>
      <w:r>
        <w:rPr>
          <w:rFonts w:hint="eastAsia" w:ascii="宋体" w:hAnsi="宋体"/>
          <w:szCs w:val="21"/>
        </w:rPr>
        <w:t>采购人应及时向学校采购机构反馈中标人的履约情况（填写《深圳大学</w:t>
      </w:r>
      <w:r>
        <w:rPr>
          <w:rFonts w:hint="eastAsia"/>
        </w:rPr>
        <w:t>采购履约情况反馈表》</w:t>
      </w:r>
      <w:r>
        <w:rPr>
          <w:rFonts w:hint="eastAsia" w:ascii="宋体" w:hAnsi="宋体"/>
          <w:szCs w:val="21"/>
        </w:rPr>
        <w:t>），中标人的履约情况将作为供应商考核的重要依据，并将成为日后深圳大学采购活动中的项目评标依据。</w:t>
      </w:r>
    </w:p>
    <w:p>
      <w:pPr>
        <w:spacing w:line="360" w:lineRule="auto"/>
        <w:rPr>
          <w:rFonts w:ascii="黑体" w:hAnsi="宋体" w:eastAsia="黑体"/>
          <w:sz w:val="24"/>
        </w:rPr>
      </w:pPr>
      <w:r>
        <w:rPr>
          <w:rFonts w:hint="eastAsia" w:ascii="黑体" w:hAnsi="宋体" w:eastAsia="黑体"/>
          <w:sz w:val="24"/>
        </w:rPr>
        <w:t>49．腐败和欺诈行为</w:t>
      </w:r>
    </w:p>
    <w:p>
      <w:pPr>
        <w:spacing w:line="0" w:lineRule="atLeast"/>
        <w:ind w:firstLine="411" w:firstLineChars="196"/>
        <w:rPr>
          <w:rFonts w:ascii="宋体" w:hAnsi="宋体"/>
          <w:szCs w:val="21"/>
        </w:rPr>
      </w:pPr>
      <w:r>
        <w:rPr>
          <w:rFonts w:hint="eastAsia" w:ascii="宋体" w:hAnsi="宋体"/>
          <w:szCs w:val="21"/>
        </w:rPr>
        <w:t>49.1 “腐败行为”是指提供、给予、接受或索取任何有价值的东西来影响招标方或采购人在采购过程或合同实施过程中的行为；</w:t>
      </w:r>
    </w:p>
    <w:p>
      <w:pPr>
        <w:spacing w:line="0" w:lineRule="atLeast"/>
        <w:ind w:firstLine="411" w:firstLineChars="196"/>
        <w:rPr>
          <w:rFonts w:ascii="宋体" w:hAnsi="宋体"/>
          <w:szCs w:val="21"/>
        </w:rPr>
      </w:pPr>
      <w:r>
        <w:rPr>
          <w:rFonts w:hint="eastAsia" w:ascii="宋体" w:hAnsi="宋体"/>
          <w:szCs w:val="21"/>
        </w:rPr>
        <w:t>49.2 “欺诈行为”是指为了影响采购过程或合同实施过程而谎报事实，损害招标方或采购人的利益，包括投标人之间串通投标（递交投标书之前和之后），人为地使投标丧失竞争性，剥夺招标方或采购人从自由公开竞争所能获得的权益。</w:t>
      </w:r>
    </w:p>
    <w:p>
      <w:pPr>
        <w:spacing w:line="0" w:lineRule="atLeast"/>
        <w:ind w:firstLine="411" w:firstLineChars="196"/>
        <w:rPr>
          <w:rFonts w:ascii="宋体" w:hAnsi="宋体"/>
          <w:szCs w:val="21"/>
        </w:rPr>
      </w:pPr>
      <w:r>
        <w:rPr>
          <w:rFonts w:hint="eastAsia" w:ascii="宋体" w:hAnsi="宋体"/>
          <w:szCs w:val="21"/>
        </w:rPr>
        <w:t>49.3如果评审委员会认为投标人在本合同的竞争中有腐败和欺诈行为，则拒绝接受该投标。</w:t>
      </w:r>
    </w:p>
    <w:p>
      <w:pPr>
        <w:spacing w:line="0" w:lineRule="atLeast"/>
        <w:ind w:firstLine="411" w:firstLineChars="196"/>
        <w:rPr>
          <w:rFonts w:ascii="宋体" w:hAnsi="宋体"/>
          <w:szCs w:val="21"/>
        </w:rPr>
      </w:pPr>
      <w:r>
        <w:rPr>
          <w:rFonts w:hint="eastAsia" w:ascii="宋体" w:hAnsi="宋体"/>
          <w:szCs w:val="21"/>
        </w:rPr>
        <w:t>49.4如果投标人或中标人在采购合同的竞争和实施过程中有腐败和欺诈行为，深圳大学将依据《中华人民共和国合同法》、《深圳经济特区政府采购条例》有关法律法规追究其责任。</w:t>
      </w:r>
    </w:p>
    <w:p>
      <w:pPr>
        <w:keepNext/>
        <w:keepLines/>
        <w:numPr>
          <w:ilvl w:val="0"/>
          <w:numId w:val="12"/>
        </w:numPr>
        <w:adjustRightInd w:val="0"/>
        <w:spacing w:before="120" w:beforeLines="50" w:after="120" w:afterLines="50"/>
        <w:ind w:left="643" w:hanging="643"/>
        <w:jc w:val="center"/>
        <w:textAlignment w:val="baseline"/>
        <w:outlineLvl w:val="1"/>
        <w:rPr>
          <w:rFonts w:ascii="Arial" w:hAnsi="Arial" w:eastAsia="黑体"/>
          <w:b/>
          <w:bCs/>
          <w:sz w:val="32"/>
          <w:szCs w:val="32"/>
        </w:rPr>
      </w:pPr>
      <w:r>
        <w:rPr>
          <w:rFonts w:hint="eastAsia" w:ascii="Arial" w:hAnsi="Arial" w:eastAsia="黑体"/>
          <w:b/>
          <w:bCs/>
          <w:sz w:val="32"/>
          <w:szCs w:val="32"/>
        </w:rPr>
        <w:t>质疑处理</w:t>
      </w:r>
    </w:p>
    <w:p>
      <w:pPr>
        <w:spacing w:line="360" w:lineRule="auto"/>
        <w:rPr>
          <w:rFonts w:ascii="黑体" w:hAnsi="宋体" w:eastAsia="黑体"/>
          <w:sz w:val="24"/>
        </w:rPr>
      </w:pPr>
      <w:r>
        <w:rPr>
          <w:rFonts w:hint="eastAsia" w:ascii="黑体" w:hAnsi="宋体" w:eastAsia="黑体"/>
          <w:sz w:val="24"/>
        </w:rPr>
        <w:t>50.质疑处理原则</w:t>
      </w:r>
    </w:p>
    <w:p>
      <w:pPr>
        <w:ind w:firstLine="411" w:firstLineChars="196"/>
        <w:rPr>
          <w:rFonts w:ascii="宋体" w:hAnsi="宋体"/>
          <w:szCs w:val="21"/>
        </w:rPr>
      </w:pPr>
      <w:r>
        <w:rPr>
          <w:rFonts w:hint="eastAsia" w:ascii="宋体" w:hAnsi="宋体"/>
          <w:szCs w:val="21"/>
        </w:rPr>
        <w:t>50.1质疑处理遵循公平、公正、规范、高效的原则。</w:t>
      </w:r>
    </w:p>
    <w:p>
      <w:pPr>
        <w:ind w:firstLine="411" w:firstLineChars="196"/>
        <w:rPr>
          <w:rFonts w:ascii="宋体" w:hAnsi="宋体"/>
          <w:szCs w:val="21"/>
        </w:rPr>
      </w:pPr>
      <w:r>
        <w:rPr>
          <w:rFonts w:hint="eastAsia" w:ascii="宋体" w:hAnsi="宋体"/>
          <w:szCs w:val="21"/>
        </w:rPr>
        <w:t>50.2供应商质疑实行实名制和“谁质疑，谁举证”的原则，质疑应有具体的事项及事实根据。</w:t>
      </w:r>
    </w:p>
    <w:p>
      <w:pPr>
        <w:spacing w:line="360" w:lineRule="auto"/>
        <w:rPr>
          <w:rFonts w:ascii="黑体" w:hAnsi="宋体" w:eastAsia="黑体"/>
          <w:sz w:val="24"/>
        </w:rPr>
      </w:pPr>
      <w:r>
        <w:rPr>
          <w:rFonts w:hint="eastAsia" w:ascii="黑体" w:hAnsi="宋体" w:eastAsia="黑体"/>
          <w:sz w:val="24"/>
        </w:rPr>
        <w:t>51.质疑的提出与答复</w:t>
      </w:r>
    </w:p>
    <w:p>
      <w:pPr>
        <w:ind w:firstLine="411" w:firstLineChars="196"/>
        <w:rPr>
          <w:rFonts w:ascii="宋体" w:hAnsi="宋体"/>
          <w:szCs w:val="21"/>
        </w:rPr>
      </w:pPr>
      <w:r>
        <w:rPr>
          <w:rFonts w:hint="eastAsia" w:ascii="宋体" w:hAnsi="宋体"/>
          <w:szCs w:val="21"/>
        </w:rPr>
        <w:t>51.1提出质疑</w:t>
      </w:r>
    </w:p>
    <w:p>
      <w:pPr>
        <w:ind w:firstLine="411" w:firstLineChars="196"/>
        <w:rPr>
          <w:rFonts w:ascii="宋体" w:hAnsi="宋体"/>
          <w:szCs w:val="21"/>
        </w:rPr>
      </w:pPr>
      <w:r>
        <w:rPr>
          <w:rFonts w:hint="eastAsia" w:ascii="宋体" w:hAnsi="宋体"/>
          <w:szCs w:val="21"/>
        </w:rPr>
        <w:t>参与采购活动的供应商认为自己权益在采购活动中受到损害的，应当自知道或者应当知道其权益受到损害之日起七个工作日内向学校采购机构以书面形式提出质疑。</w:t>
      </w:r>
    </w:p>
    <w:p>
      <w:pPr>
        <w:ind w:firstLine="411" w:firstLineChars="196"/>
        <w:rPr>
          <w:rFonts w:ascii="宋体" w:hAnsi="宋体"/>
          <w:szCs w:val="21"/>
        </w:rPr>
      </w:pPr>
      <w:r>
        <w:rPr>
          <w:rFonts w:hint="eastAsia" w:ascii="宋体" w:hAnsi="宋体"/>
          <w:szCs w:val="21"/>
        </w:rPr>
        <w:t>51.2法律依据</w:t>
      </w:r>
    </w:p>
    <w:p>
      <w:pPr>
        <w:ind w:firstLine="411" w:firstLineChars="196"/>
        <w:rPr>
          <w:rFonts w:ascii="宋体" w:hAnsi="宋体"/>
          <w:szCs w:val="21"/>
        </w:rPr>
      </w:pPr>
      <w:r>
        <w:rPr>
          <w:rFonts w:hint="eastAsia" w:ascii="宋体" w:hAnsi="宋体"/>
          <w:szCs w:val="21"/>
        </w:rPr>
        <w:t>《中华人民共和国政府采购法》、《中华人民共和国政府采购法实施条例》、《深圳经济特区政府采购条例》、《深圳经济特区政府采购条例实施细则》、《政府采购质疑和投诉办法》（财政部令第94号）和其他有关法律法规规定。</w:t>
      </w:r>
    </w:p>
    <w:p>
      <w:pPr>
        <w:ind w:firstLine="411" w:firstLineChars="196"/>
        <w:rPr>
          <w:rFonts w:ascii="宋体" w:hAnsi="宋体"/>
          <w:szCs w:val="21"/>
        </w:rPr>
      </w:pPr>
      <w:r>
        <w:rPr>
          <w:rFonts w:hint="eastAsia" w:ascii="宋体" w:hAnsi="宋体"/>
          <w:szCs w:val="21"/>
        </w:rPr>
        <w:t>51.3质疑条件</w:t>
      </w:r>
    </w:p>
    <w:p>
      <w:pPr>
        <w:ind w:firstLine="411" w:firstLineChars="196"/>
        <w:rPr>
          <w:rFonts w:ascii="宋体" w:hAnsi="宋体"/>
          <w:szCs w:val="21"/>
        </w:rPr>
      </w:pPr>
      <w:r>
        <w:rPr>
          <w:rFonts w:hint="eastAsia" w:ascii="宋体" w:hAnsi="宋体"/>
          <w:szCs w:val="21"/>
        </w:rPr>
        <w:t>51.3.1提出质疑的供应商应当是参与所质疑项目采购活动的供应商；</w:t>
      </w:r>
    </w:p>
    <w:p>
      <w:pPr>
        <w:ind w:firstLine="411" w:firstLineChars="196"/>
        <w:rPr>
          <w:rFonts w:ascii="宋体" w:hAnsi="宋体"/>
          <w:szCs w:val="21"/>
        </w:rPr>
      </w:pPr>
      <w:r>
        <w:rPr>
          <w:rFonts w:hint="eastAsia" w:ascii="宋体" w:hAnsi="宋体"/>
          <w:szCs w:val="21"/>
        </w:rPr>
        <w:t>51.3.2应当在法定质疑期内一次性提出针对同一采购程序环节的质疑，法定质疑期为自知道或应当知道权益受到损害之日起7个工作日内。应当知道其权益受到损害之日是指：对采购文件的质疑，为采购文件公布之日；对采购过程的质疑，为各采购程序环节结束之日；对中标或者成交结果以及评审委员会、谈判小组、竞价小组组成人员的质疑，为中标或者成交结果公示之日；</w:t>
      </w:r>
    </w:p>
    <w:p>
      <w:pPr>
        <w:ind w:firstLine="411" w:firstLineChars="196"/>
        <w:rPr>
          <w:rFonts w:ascii="宋体" w:hAnsi="宋体"/>
          <w:szCs w:val="21"/>
        </w:rPr>
      </w:pPr>
      <w:r>
        <w:rPr>
          <w:rFonts w:hint="eastAsia" w:ascii="宋体" w:hAnsi="宋体"/>
          <w:szCs w:val="21"/>
        </w:rPr>
        <w:t>51.3.3应提交书面质疑函，质疑函应当包括以下内容：（1）具体、明确的质疑事项和与质疑事项相关的请求；（2）合理的事实和依据；（3）必要的证明材料和法律依据。</w:t>
      </w:r>
    </w:p>
    <w:p>
      <w:pPr>
        <w:ind w:firstLine="420"/>
        <w:rPr>
          <w:rFonts w:ascii="宋体" w:hAnsi="宋体"/>
          <w:szCs w:val="21"/>
        </w:rPr>
      </w:pPr>
      <w:r>
        <w:rPr>
          <w:rFonts w:hint="eastAsia" w:ascii="宋体" w:hAnsi="宋体"/>
          <w:szCs w:val="21"/>
        </w:rPr>
        <w:t>51.4提交材料</w:t>
      </w:r>
    </w:p>
    <w:p>
      <w:pPr>
        <w:ind w:firstLine="420"/>
        <w:rPr>
          <w:rFonts w:ascii="宋体" w:hAnsi="宋体"/>
          <w:szCs w:val="21"/>
        </w:rPr>
      </w:pPr>
      <w:r>
        <w:rPr>
          <w:rFonts w:hint="eastAsia" w:ascii="宋体" w:hAnsi="宋体"/>
          <w:szCs w:val="21"/>
        </w:rPr>
        <w:t>质疑函、营业执照复印件、法定代表人证明。如委托代理人提交的，还需提交授权委托书及代理人身份证明。</w:t>
      </w:r>
    </w:p>
    <w:p>
      <w:pPr>
        <w:ind w:firstLine="420"/>
        <w:rPr>
          <w:rFonts w:ascii="宋体" w:hAnsi="宋体"/>
          <w:szCs w:val="21"/>
        </w:rPr>
      </w:pPr>
      <w:r>
        <w:rPr>
          <w:rFonts w:hint="eastAsia" w:ascii="宋体" w:hAnsi="宋体"/>
          <w:szCs w:val="21"/>
        </w:rPr>
        <w:t>51.5 收文部门</w:t>
      </w:r>
    </w:p>
    <w:p>
      <w:pPr>
        <w:ind w:firstLine="420"/>
        <w:rPr>
          <w:rFonts w:ascii="宋体" w:hAnsi="宋体"/>
          <w:szCs w:val="21"/>
        </w:rPr>
      </w:pPr>
      <w:r>
        <w:rPr>
          <w:rFonts w:hint="eastAsia" w:ascii="宋体" w:hAnsi="宋体"/>
          <w:szCs w:val="21"/>
        </w:rPr>
        <w:t>深圳大学招投标管理中心综合办公室，地址：深圳市南山区南海大道3688号深圳大学粤海校区汇元楼246室，质疑咨询电话：0755-26057039。</w:t>
      </w:r>
    </w:p>
    <w:p>
      <w:pPr>
        <w:ind w:firstLine="420"/>
        <w:rPr>
          <w:rFonts w:ascii="宋体" w:hAnsi="宋体"/>
          <w:szCs w:val="21"/>
        </w:rPr>
      </w:pPr>
      <w:r>
        <w:rPr>
          <w:rFonts w:hint="eastAsia" w:ascii="宋体" w:hAnsi="宋体"/>
          <w:szCs w:val="21"/>
        </w:rPr>
        <w:t>51.6收文办理程序</w:t>
      </w:r>
    </w:p>
    <w:p>
      <w:pPr>
        <w:ind w:firstLine="420"/>
        <w:rPr>
          <w:rFonts w:ascii="宋体" w:hAnsi="宋体"/>
          <w:szCs w:val="21"/>
        </w:rPr>
      </w:pPr>
      <w:r>
        <w:rPr>
          <w:rFonts w:hint="eastAsia" w:ascii="宋体" w:hAnsi="宋体"/>
          <w:szCs w:val="21"/>
        </w:rPr>
        <w:t>51.6.1供应商提交的质疑材料符合质疑条件的办理收文，出具收文回执；</w:t>
      </w:r>
    </w:p>
    <w:p>
      <w:pPr>
        <w:ind w:firstLine="420"/>
        <w:rPr>
          <w:rFonts w:ascii="宋体" w:hAnsi="宋体"/>
          <w:szCs w:val="21"/>
        </w:rPr>
      </w:pPr>
      <w:r>
        <w:rPr>
          <w:rFonts w:hint="eastAsia" w:ascii="宋体" w:hAnsi="宋体"/>
          <w:szCs w:val="21"/>
        </w:rPr>
        <w:t>51.6.2供应商提交的质疑材料不符合质疑条件的，视情况处理：（1）质疑主体、时限不符合的，不予收文；（2）质疑函内容、提交人身份证明不符合的，开具补正告知书，供应商可在质疑期内补正后重新提交。</w:t>
      </w:r>
    </w:p>
    <w:p>
      <w:pPr>
        <w:ind w:firstLine="420"/>
        <w:rPr>
          <w:rFonts w:ascii="宋体" w:hAnsi="宋体"/>
          <w:szCs w:val="21"/>
        </w:rPr>
      </w:pPr>
      <w:r>
        <w:rPr>
          <w:rFonts w:hint="eastAsia" w:ascii="宋体" w:hAnsi="宋体"/>
          <w:szCs w:val="21"/>
        </w:rPr>
        <w:t>51.7质疑答复时限</w:t>
      </w:r>
    </w:p>
    <w:p>
      <w:pPr>
        <w:ind w:firstLine="420"/>
        <w:rPr>
          <w:rFonts w:ascii="宋体" w:hAnsi="宋体"/>
          <w:szCs w:val="21"/>
        </w:rPr>
      </w:pPr>
      <w:r>
        <w:rPr>
          <w:rFonts w:hint="eastAsia" w:ascii="宋体" w:hAnsi="宋体"/>
          <w:szCs w:val="21"/>
        </w:rPr>
        <w:t>自收文之日起七个工作日内。</w:t>
      </w:r>
    </w:p>
    <w:p>
      <w:pPr>
        <w:ind w:firstLine="420"/>
        <w:rPr>
          <w:rFonts w:ascii="宋体" w:hAnsi="宋体"/>
          <w:szCs w:val="21"/>
        </w:rPr>
      </w:pPr>
      <w:r>
        <w:rPr>
          <w:rFonts w:hint="eastAsia" w:ascii="宋体" w:hAnsi="宋体"/>
          <w:szCs w:val="21"/>
        </w:rPr>
        <w:t>51.8投诉</w:t>
      </w:r>
    </w:p>
    <w:p>
      <w:pPr>
        <w:ind w:firstLine="420"/>
        <w:rPr>
          <w:rFonts w:ascii="宋体" w:hAnsi="宋体"/>
          <w:szCs w:val="21"/>
        </w:rPr>
      </w:pPr>
      <w:r>
        <w:rPr>
          <w:rFonts w:hint="eastAsia" w:ascii="宋体" w:hAnsi="宋体"/>
          <w:szCs w:val="21"/>
        </w:rPr>
        <w:t>对质疑答复不满意或者未在规定时间内答复的，提出质疑的供应商可以在答复期满后15个工作日内向深圳大学纪检、监察部门投诉。</w:t>
      </w:r>
    </w:p>
    <w:p>
      <w:pPr>
        <w:spacing w:line="360" w:lineRule="auto"/>
        <w:rPr>
          <w:rFonts w:ascii="黑体" w:hAnsi="宋体" w:eastAsia="黑体"/>
          <w:sz w:val="24"/>
        </w:rPr>
      </w:pPr>
      <w:r>
        <w:rPr>
          <w:rFonts w:hint="eastAsia" w:ascii="黑体" w:hAnsi="宋体" w:eastAsia="黑体"/>
          <w:sz w:val="24"/>
        </w:rPr>
        <w:t>52.质疑后续处理</w:t>
      </w:r>
    </w:p>
    <w:p>
      <w:pPr>
        <w:ind w:firstLine="411" w:firstLineChars="196"/>
        <w:rPr>
          <w:rFonts w:ascii="宋体" w:hAnsi="宋体"/>
          <w:szCs w:val="21"/>
        </w:rPr>
      </w:pPr>
      <w:r>
        <w:rPr>
          <w:rFonts w:hint="eastAsia" w:ascii="宋体" w:hAnsi="宋体"/>
          <w:szCs w:val="21"/>
        </w:rPr>
        <w:t>52.1供应商质疑不成立，或者成立但未对中标、成交结果构成影响的，继续开展采购活动。</w:t>
      </w:r>
    </w:p>
    <w:p>
      <w:pPr>
        <w:ind w:firstLine="411" w:firstLineChars="196"/>
        <w:rPr>
          <w:rFonts w:ascii="宋体" w:hAnsi="宋体"/>
          <w:szCs w:val="21"/>
        </w:rPr>
      </w:pPr>
      <w:r>
        <w:rPr>
          <w:rFonts w:hint="eastAsia" w:ascii="宋体" w:hAnsi="宋体"/>
          <w:szCs w:val="21"/>
        </w:rPr>
        <w:t>52.2供应商质疑成立且影响或者可能影响中标、成交结果的，按照下列情况处理：（1）对采购文件提出的质疑，依法通过澄清或者修改可以继续开展采购活动的，澄清或者修改采购文件后继续开展采购活动；否则应当修改采购文件后重新开展采购活动。（2）对采购过程、中标或者成交结果提出的质疑，如果合格供应商符合法定数量，依法从合格的中标或者成交候选人中另行确定中标、成交供应商；如果合格供应商不符合法定数量，应当重新开展采购活动。</w:t>
      </w:r>
    </w:p>
    <w:p>
      <w:pPr>
        <w:spacing w:line="240" w:lineRule="atLeast"/>
        <w:rPr>
          <w:rFonts w:ascii="宋体" w:hAnsi="宋体"/>
          <w:szCs w:val="21"/>
        </w:rPr>
      </w:pPr>
    </w:p>
    <w:p>
      <w:pPr>
        <w:jc w:val="center"/>
        <w:rPr>
          <w:rFonts w:ascii="宋体" w:hAnsi="宋体"/>
          <w:color w:val="FF0000"/>
          <w:szCs w:val="21"/>
        </w:rPr>
      </w:pPr>
    </w:p>
    <w:p>
      <w:pPr>
        <w:pStyle w:val="2"/>
      </w:pPr>
    </w:p>
    <w:sectPr>
      <w:headerReference r:id="rId4" w:type="first"/>
      <w:headerReference r:id="rId3" w:type="default"/>
      <w:footerReference r:id="rId5" w:type="default"/>
      <w:footerReference r:id="rId6" w:type="even"/>
      <w:pgSz w:w="11907" w:h="16840"/>
      <w:pgMar w:top="1440" w:right="1797" w:bottom="1440" w:left="1797" w:header="851" w:footer="992" w:gutter="0"/>
      <w:cols w:space="425" w:num="1"/>
      <w:titlePg/>
      <w:docGrid w:linePitch="46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Arial Unicode MS">
    <w:altName w:val="Arial"/>
    <w:panose1 w:val="020B0604020202020204"/>
    <w:charset w:val="00"/>
    <w:family w:val="roman"/>
    <w:pitch w:val="default"/>
    <w:sig w:usb0="00000000" w:usb1="00000000" w:usb2="00000000" w:usb3="00000000" w:csb0="00000001" w:csb1="00000000"/>
  </w:font>
  <w:font w:name="隶书">
    <w:panose1 w:val="02010509060101010101"/>
    <w:charset w:val="86"/>
    <w:family w:val="modern"/>
    <w:pitch w:val="default"/>
    <w:sig w:usb0="00000001" w:usb1="080E0000" w:usb2="00000000" w:usb3="00000000" w:csb0="00040000" w:csb1="00000000"/>
  </w:font>
  <w:font w:name="Verdana">
    <w:panose1 w:val="020B0604030504040204"/>
    <w:charset w:val="00"/>
    <w:family w:val="swiss"/>
    <w:pitch w:val="default"/>
    <w:sig w:usb0="A00006FF" w:usb1="4000205B" w:usb2="00000010"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长城仿宋">
    <w:altName w:val="微软雅黑"/>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文鼎粗黑">
    <w:altName w:val="黑体"/>
    <w:panose1 w:val="00000000000000000000"/>
    <w:charset w:val="86"/>
    <w:family w:val="modern"/>
    <w:pitch w:val="default"/>
    <w:sig w:usb0="00000000" w:usb1="00000000" w:usb2="00000010" w:usb3="00000000" w:csb0="00040000" w:csb1="00000000"/>
  </w:font>
  <w:font w:name="文鼎CS书宋二">
    <w:altName w:val="宋体"/>
    <w:panose1 w:val="00000000000000000000"/>
    <w:charset w:val="86"/>
    <w:family w:val="modern"/>
    <w:pitch w:val="default"/>
    <w:sig w:usb0="00000000" w:usb1="00000000" w:usb2="00000010" w:usb3="00000000" w:csb0="00040000" w:csb1="00000000"/>
  </w:font>
  <w:font w:name="创艺简黑体">
    <w:altName w:val="黑体"/>
    <w:panose1 w:val="00000000000000000000"/>
    <w:charset w:val="86"/>
    <w:family w:val="auto"/>
    <w:pitch w:val="default"/>
    <w:sig w:usb0="00000000" w:usb1="00000000" w:usb2="00000010" w:usb3="00000000" w:csb0="00040000" w:csb1="00000000"/>
  </w:font>
  <w:font w:name="文鼎CS大宋">
    <w:altName w:val="宋体"/>
    <w:panose1 w:val="00000000000000000000"/>
    <w:charset w:val="86"/>
    <w:family w:val="modern"/>
    <w:pitch w:val="default"/>
    <w:sig w:usb0="00000000" w:usb1="00000000" w:usb2="00000010" w:usb3="00000000" w:csb0="00040000" w:csb1="00000000"/>
  </w:font>
  <w:font w:name="文鼎CS长美黑">
    <w:altName w:val="宋体"/>
    <w:panose1 w:val="00000000000000000000"/>
    <w:charset w:val="86"/>
    <w:family w:val="modern"/>
    <w:pitch w:val="default"/>
    <w:sig w:usb0="00000000" w:usb1="00000000" w:usb2="00000010" w:usb3="00000000" w:csb0="00040000" w:csb1="00000000"/>
  </w:font>
  <w:font w:name="文鼎中楷">
    <w:altName w:val="仿宋"/>
    <w:panose1 w:val="00000000000000000000"/>
    <w:charset w:val="86"/>
    <w:family w:val="modern"/>
    <w:pitch w:val="default"/>
    <w:sig w:usb0="00000000" w:usb1="00000000" w:usb2="00000010" w:usb3="00000000" w:csb0="00040000" w:csb1="00000000"/>
  </w:font>
  <w:font w:name="Tunga">
    <w:altName w:val="Segoe Print"/>
    <w:panose1 w:val="00000400000000000000"/>
    <w:charset w:val="01"/>
    <w:family w:val="roman"/>
    <w:pitch w:val="default"/>
    <w:sig w:usb0="00000000" w:usb1="00000000" w:usb2="00000000" w:usb3="00000000" w:csb0="00000000" w:csb1="00000000"/>
  </w:font>
  <w:font w:name="Cambria">
    <w:panose1 w:val="02040503050406030204"/>
    <w:charset w:val="00"/>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华文新魏">
    <w:panose1 w:val="02010800040101010101"/>
    <w:charset w:val="86"/>
    <w:family w:val="auto"/>
    <w:pitch w:val="default"/>
    <w:sig w:usb0="00000001" w:usb1="080F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MS Sans Serif">
    <w:altName w:val="Arial"/>
    <w:panose1 w:val="020B0500000000000000"/>
    <w:charset w:val="00"/>
    <w:family w:val="swiss"/>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6"/>
      <w:jc w:val="center"/>
    </w:pPr>
    <w:r>
      <w:fldChar w:fldCharType="begin"/>
    </w:r>
    <w:r>
      <w:instrText xml:space="preserve">PAGE   \* MERGEFORMAT</w:instrText>
    </w:r>
    <w:r>
      <w:fldChar w:fldCharType="separate"/>
    </w:r>
    <w:r>
      <w:rPr>
        <w:lang w:val="zh-CN"/>
      </w:rPr>
      <w:t>23</w:t>
    </w:r>
    <w:r>
      <w:fldChar w:fldCharType="end"/>
    </w:r>
  </w:p>
  <w:p>
    <w:pPr>
      <w:pStyle w:val="3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6"/>
      <w:framePr w:wrap="around" w:vAnchor="text" w:hAnchor="margin" w:xAlign="center" w:y="1"/>
      <w:rPr>
        <w:rStyle w:val="60"/>
      </w:rPr>
    </w:pPr>
    <w:r>
      <w:rPr>
        <w:rStyle w:val="60"/>
      </w:rPr>
      <w:fldChar w:fldCharType="begin"/>
    </w:r>
    <w:r>
      <w:rPr>
        <w:rStyle w:val="60"/>
      </w:rPr>
      <w:instrText xml:space="preserve">PAGE  </w:instrText>
    </w:r>
    <w:r>
      <w:rPr>
        <w:rStyle w:val="60"/>
      </w:rPr>
      <w:fldChar w:fldCharType="end"/>
    </w:r>
  </w:p>
  <w:p>
    <w:pPr>
      <w:pStyle w:val="3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7"/>
    </w:pPr>
    <w:r>
      <w:rPr>
        <w:rFonts w:hint="eastAsia"/>
      </w:rPr>
      <w:t>深圳大学招投标管理中心                                                    SZU</w:t>
    </w:r>
    <w:r>
      <w:t>CG20200330</w:t>
    </w:r>
    <w:r>
      <w:rPr>
        <w:rFonts w:hint="eastAsia"/>
      </w:rPr>
      <w:t>GC</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7"/>
    </w:pPr>
    <w:r>
      <w:rPr>
        <w:rFonts w:hint="eastAsia"/>
      </w:rPr>
      <w:t>深圳大学招投标管理中心                                                    SZU</w:t>
    </w:r>
    <w:r>
      <w:t>CG20200330GC</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2501065"/>
    <w:multiLevelType w:val="singleLevel"/>
    <w:tmpl w:val="D2501065"/>
    <w:lvl w:ilvl="0" w:tentative="0">
      <w:start w:val="1"/>
      <w:numFmt w:val="decimal"/>
      <w:suff w:val="nothing"/>
      <w:lvlText w:val="（%1）"/>
      <w:lvlJc w:val="left"/>
    </w:lvl>
  </w:abstractNum>
  <w:abstractNum w:abstractNumId="1">
    <w:nsid w:val="D8950A98"/>
    <w:multiLevelType w:val="singleLevel"/>
    <w:tmpl w:val="D8950A98"/>
    <w:lvl w:ilvl="0" w:tentative="0">
      <w:start w:val="1"/>
      <w:numFmt w:val="decimal"/>
      <w:suff w:val="space"/>
      <w:lvlText w:val="%1、"/>
      <w:lvlJc w:val="left"/>
    </w:lvl>
  </w:abstractNum>
  <w:abstractNum w:abstractNumId="2">
    <w:nsid w:val="DB187222"/>
    <w:multiLevelType w:val="singleLevel"/>
    <w:tmpl w:val="DB187222"/>
    <w:lvl w:ilvl="0" w:tentative="0">
      <w:start w:val="1"/>
      <w:numFmt w:val="chineseCounting"/>
      <w:suff w:val="space"/>
      <w:lvlText w:val="%1、"/>
      <w:lvlJc w:val="left"/>
      <w:rPr>
        <w:rFonts w:hint="eastAsia"/>
      </w:rPr>
    </w:lvl>
  </w:abstractNum>
  <w:abstractNum w:abstractNumId="3">
    <w:nsid w:val="FFFFFF7C"/>
    <w:multiLevelType w:val="singleLevel"/>
    <w:tmpl w:val="FFFFFF7C"/>
    <w:lvl w:ilvl="0" w:tentative="0">
      <w:start w:val="1"/>
      <w:numFmt w:val="decimal"/>
      <w:pStyle w:val="71"/>
      <w:lvlText w:val="%1."/>
      <w:lvlJc w:val="left"/>
      <w:pPr>
        <w:tabs>
          <w:tab w:val="left" w:pos="2040"/>
        </w:tabs>
        <w:ind w:left="2040" w:leftChars="800" w:hanging="360" w:hangingChars="200"/>
      </w:pPr>
    </w:lvl>
  </w:abstractNum>
  <w:abstractNum w:abstractNumId="4">
    <w:nsid w:val="FFFFFF89"/>
    <w:multiLevelType w:val="singleLevel"/>
    <w:tmpl w:val="FFFFFF89"/>
    <w:lvl w:ilvl="0" w:tentative="0">
      <w:start w:val="1"/>
      <w:numFmt w:val="bullet"/>
      <w:pStyle w:val="16"/>
      <w:lvlText w:val=""/>
      <w:lvlJc w:val="left"/>
      <w:pPr>
        <w:tabs>
          <w:tab w:val="left" w:pos="360"/>
        </w:tabs>
        <w:ind w:left="360" w:hanging="360" w:hangingChars="200"/>
      </w:pPr>
      <w:rPr>
        <w:rFonts w:hint="default" w:ascii="Wingdings" w:hAnsi="Wingdings"/>
      </w:rPr>
    </w:lvl>
  </w:abstractNum>
  <w:abstractNum w:abstractNumId="5">
    <w:nsid w:val="09F81FD3"/>
    <w:multiLevelType w:val="multilevel"/>
    <w:tmpl w:val="09F81FD3"/>
    <w:lvl w:ilvl="0" w:tentative="0">
      <w:start w:val="1"/>
      <w:numFmt w:val="japaneseCounting"/>
      <w:lvlText w:val="第%1章"/>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C414A1F"/>
    <w:multiLevelType w:val="multilevel"/>
    <w:tmpl w:val="0C414A1F"/>
    <w:lvl w:ilvl="0" w:tentative="0">
      <w:start w:val="1"/>
      <w:numFmt w:val="decimal"/>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
    <w:nsid w:val="2E925CF2"/>
    <w:multiLevelType w:val="multilevel"/>
    <w:tmpl w:val="2E925CF2"/>
    <w:lvl w:ilvl="0" w:tentative="0">
      <w:start w:val="1"/>
      <w:numFmt w:val="decimal"/>
      <w:lvlText w:val="%1、"/>
      <w:lvlJc w:val="left"/>
      <w:pPr>
        <w:tabs>
          <w:tab w:val="left" w:pos="720"/>
        </w:tabs>
        <w:ind w:left="720" w:hanging="720"/>
      </w:pPr>
      <w:rPr>
        <w:rFonts w:ascii="Times New Roman" w:hAnsi="Times New Roman" w:eastAsia="Times New Roman" w:cs="Times New Roman"/>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3AE1101E"/>
    <w:multiLevelType w:val="multilevel"/>
    <w:tmpl w:val="3AE1101E"/>
    <w:lvl w:ilvl="0" w:tentative="0">
      <w:start w:val="1"/>
      <w:numFmt w:val="decimal"/>
      <w:lvlText w:val="%1."/>
      <w:lvlJc w:val="left"/>
      <w:pPr>
        <w:tabs>
          <w:tab w:val="left" w:pos="567"/>
        </w:tabs>
        <w:ind w:left="567" w:hanging="113"/>
      </w:pPr>
      <w:rPr>
        <w:rFonts w:hint="eastAsia"/>
      </w:rPr>
    </w:lvl>
    <w:lvl w:ilvl="1" w:tentative="0">
      <w:start w:val="1"/>
      <w:numFmt w:val="decimal"/>
      <w:suff w:val="space"/>
      <w:lvlText w:val="%1.%2"/>
      <w:lvlJc w:val="left"/>
      <w:pPr>
        <w:ind w:left="0" w:firstLine="454"/>
      </w:pPr>
      <w:rPr>
        <w:rFonts w:hint="eastAsia"/>
      </w:rPr>
    </w:lvl>
    <w:lvl w:ilvl="2" w:tentative="0">
      <w:start w:val="1"/>
      <w:numFmt w:val="lowerLetter"/>
      <w:suff w:val="space"/>
      <w:lvlText w:val="(%3) "/>
      <w:lvlJc w:val="left"/>
      <w:pPr>
        <w:ind w:left="851" w:hanging="397"/>
      </w:pPr>
      <w:rPr>
        <w:rFonts w:hint="eastAsia"/>
      </w:rPr>
    </w:lvl>
    <w:lvl w:ilvl="3" w:tentative="0">
      <w:start w:val="1"/>
      <w:numFmt w:val="decimal"/>
      <w:suff w:val="space"/>
      <w:lvlText w:val="(%4) "/>
      <w:lvlJc w:val="left"/>
      <w:pPr>
        <w:ind w:left="851" w:hanging="397"/>
      </w:pPr>
      <w:rPr>
        <w:rFonts w:hint="eastAsia"/>
      </w:rPr>
    </w:lvl>
    <w:lvl w:ilvl="4" w:tentative="0">
      <w:start w:val="1"/>
      <w:numFmt w:val="decimal"/>
      <w:lvlText w:val="%1.%2.%3.%4.%5"/>
      <w:lvlJc w:val="left"/>
      <w:pPr>
        <w:tabs>
          <w:tab w:val="left" w:pos="2781"/>
        </w:tabs>
        <w:ind w:left="2551" w:hanging="850"/>
      </w:pPr>
      <w:rPr>
        <w:rFonts w:hint="eastAsia"/>
      </w:rPr>
    </w:lvl>
    <w:lvl w:ilvl="5" w:tentative="0">
      <w:start w:val="1"/>
      <w:numFmt w:val="decimal"/>
      <w:lvlText w:val="%1.%2.%3.%4.%5.%6"/>
      <w:lvlJc w:val="left"/>
      <w:pPr>
        <w:tabs>
          <w:tab w:val="left" w:pos="3566"/>
        </w:tabs>
        <w:ind w:left="3260" w:hanging="1134"/>
      </w:pPr>
      <w:rPr>
        <w:rFonts w:hint="eastAsia"/>
      </w:rPr>
    </w:lvl>
    <w:lvl w:ilvl="6" w:tentative="0">
      <w:start w:val="1"/>
      <w:numFmt w:val="decimal"/>
      <w:lvlText w:val="%1.%2.%3.%4.%5.%6.%7"/>
      <w:lvlJc w:val="left"/>
      <w:pPr>
        <w:tabs>
          <w:tab w:val="left" w:pos="4351"/>
        </w:tabs>
        <w:ind w:left="3827" w:hanging="1276"/>
      </w:pPr>
      <w:rPr>
        <w:rFonts w:hint="eastAsia"/>
      </w:rPr>
    </w:lvl>
    <w:lvl w:ilvl="7" w:tentative="0">
      <w:start w:val="1"/>
      <w:numFmt w:val="decimal"/>
      <w:lvlText w:val="%1.%2.%3.%4.%5.%6.%7.%8"/>
      <w:lvlJc w:val="left"/>
      <w:pPr>
        <w:tabs>
          <w:tab w:val="left" w:pos="4776"/>
        </w:tabs>
        <w:ind w:left="4394" w:hanging="1418"/>
      </w:pPr>
      <w:rPr>
        <w:rFonts w:hint="eastAsia"/>
      </w:rPr>
    </w:lvl>
    <w:lvl w:ilvl="8" w:tentative="0">
      <w:start w:val="1"/>
      <w:numFmt w:val="decimal"/>
      <w:lvlText w:val="%1.%2.%3.%4.%5.%6.%7.%8.%9"/>
      <w:lvlJc w:val="left"/>
      <w:pPr>
        <w:tabs>
          <w:tab w:val="left" w:pos="5562"/>
        </w:tabs>
        <w:ind w:left="5102" w:hanging="1700"/>
      </w:pPr>
      <w:rPr>
        <w:rFonts w:hint="eastAsia"/>
      </w:rPr>
    </w:lvl>
  </w:abstractNum>
  <w:abstractNum w:abstractNumId="9">
    <w:nsid w:val="478E4B9E"/>
    <w:multiLevelType w:val="multilevel"/>
    <w:tmpl w:val="478E4B9E"/>
    <w:lvl w:ilvl="0" w:tentative="0">
      <w:start w:val="1"/>
      <w:numFmt w:val="japaneseCounting"/>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0">
    <w:nsid w:val="47FCDB09"/>
    <w:multiLevelType w:val="singleLevel"/>
    <w:tmpl w:val="47FCDB09"/>
    <w:lvl w:ilvl="0" w:tentative="0">
      <w:start w:val="4"/>
      <w:numFmt w:val="chineseCounting"/>
      <w:suff w:val="nothing"/>
      <w:lvlText w:val="%1、"/>
      <w:lvlJc w:val="left"/>
      <w:rPr>
        <w:rFonts w:hint="eastAsia"/>
      </w:rPr>
    </w:lvl>
  </w:abstractNum>
  <w:abstractNum w:abstractNumId="11">
    <w:nsid w:val="53F1B2D1"/>
    <w:multiLevelType w:val="singleLevel"/>
    <w:tmpl w:val="53F1B2D1"/>
    <w:lvl w:ilvl="0" w:tentative="0">
      <w:start w:val="4"/>
      <w:numFmt w:val="chineseCounting"/>
      <w:suff w:val="space"/>
      <w:lvlText w:val="%1、"/>
      <w:lvlJc w:val="left"/>
    </w:lvl>
  </w:abstractNum>
  <w:num w:numId="1">
    <w:abstractNumId w:val="4"/>
  </w:num>
  <w:num w:numId="2">
    <w:abstractNumId w:val="3"/>
  </w:num>
  <w:num w:numId="3">
    <w:abstractNumId w:val="8"/>
    <w:lvlOverride w:ilvl="0">
      <w:lvl w:ilvl="0" w:tentative="1">
        <w:start w:val="1"/>
        <w:numFmt w:val="decimal"/>
        <w:pStyle w:val="131"/>
        <w:suff w:val="space"/>
        <w:lvlText w:val="%1."/>
        <w:lvlJc w:val="left"/>
        <w:pPr>
          <w:ind w:left="833" w:hanging="113"/>
        </w:pPr>
        <w:rPr>
          <w:rFonts w:hint="eastAsia" w:ascii="Times New Roman" w:hAnsi="Times New Roman" w:eastAsia="宋体"/>
          <w:b/>
          <w:bCs/>
          <w:i w:val="0"/>
          <w:iCs w:val="0"/>
          <w:caps w:val="0"/>
          <w:smallCaps w:val="0"/>
          <w:strike w:val="0"/>
          <w:dstrike w:val="0"/>
          <w:outline w:val="0"/>
          <w:shadow w:val="0"/>
          <w:emboss w:val="0"/>
          <w:imprint w:val="0"/>
          <w:color w:val="auto"/>
          <w:spacing w:val="0"/>
          <w:w w:val="100"/>
          <w:kern w:val="2"/>
          <w:position w:val="0"/>
          <w:sz w:val="24"/>
          <w:u w:val="none"/>
        </w:rPr>
      </w:lvl>
    </w:lvlOverride>
    <w:lvlOverride w:ilvl="1">
      <w:lvl w:ilvl="1" w:tentative="1">
        <w:start w:val="1"/>
        <w:numFmt w:val="decimal"/>
        <w:pStyle w:val="132"/>
        <w:suff w:val="space"/>
        <w:lvlText w:val="%1.%2"/>
        <w:lvlJc w:val="left"/>
        <w:pPr>
          <w:ind w:left="653" w:hanging="113"/>
        </w:pPr>
        <w:rPr>
          <w:rFonts w:hint="default" w:ascii="Times New Roman" w:hAnsi="Times New Roman" w:cs="Times New Roman"/>
          <w:b w:val="0"/>
        </w:rPr>
      </w:lvl>
    </w:lvlOverride>
    <w:lvlOverride w:ilvl="2">
      <w:lvl w:ilvl="2" w:tentative="1">
        <w:start w:val="1"/>
        <w:numFmt w:val="lowerLetter"/>
        <w:pStyle w:val="133"/>
        <w:suff w:val="space"/>
        <w:lvlText w:val="(%3) "/>
        <w:lvlJc w:val="left"/>
        <w:pPr>
          <w:ind w:left="679" w:hanging="225"/>
        </w:pPr>
        <w:rPr>
          <w:rFonts w:hint="eastAsia"/>
        </w:rPr>
      </w:lvl>
    </w:lvlOverride>
    <w:lvlOverride w:ilvl="3">
      <w:lvl w:ilvl="3" w:tentative="1">
        <w:start w:val="1"/>
        <w:numFmt w:val="decimal"/>
        <w:pStyle w:val="134"/>
        <w:suff w:val="space"/>
        <w:lvlText w:val="(%4) "/>
        <w:lvlJc w:val="left"/>
        <w:pPr>
          <w:ind w:left="765" w:hanging="397"/>
        </w:pPr>
        <w:rPr>
          <w:rFonts w:hint="eastAsia" w:ascii="Times New Roman" w:hAnsi="Times New Roman" w:cs="Times New Roman"/>
          <w:b w:val="0"/>
          <w:bCs w:val="0"/>
          <w:i w:val="0"/>
          <w:iCs w:val="0"/>
          <w:caps w:val="0"/>
          <w:smallCaps w:val="0"/>
          <w:strike w:val="0"/>
          <w:dstrike w:val="0"/>
          <w:outline w:val="0"/>
          <w:shadow w:val="0"/>
          <w:emboss w:val="0"/>
          <w:imprint w:val="0"/>
          <w:vanish w:val="0"/>
          <w:spacing w:val="0"/>
          <w:position w:val="0"/>
          <w:u w:val="none"/>
          <w:vertAlign w:val="baseline"/>
        </w:rPr>
      </w:lvl>
    </w:lvlOverride>
    <w:lvlOverride w:ilvl="4">
      <w:lvl w:ilvl="4" w:tentative="1">
        <w:start w:val="1"/>
        <w:numFmt w:val="decimal"/>
        <w:lvlText w:val="%1.%2.%3.%4.%5"/>
        <w:lvlJc w:val="left"/>
        <w:pPr>
          <w:tabs>
            <w:tab w:val="left" w:pos="2609"/>
          </w:tabs>
          <w:ind w:left="2379" w:hanging="850"/>
        </w:pPr>
        <w:rPr>
          <w:rFonts w:hint="eastAsia"/>
        </w:rPr>
      </w:lvl>
    </w:lvlOverride>
    <w:lvlOverride w:ilvl="5">
      <w:lvl w:ilvl="5" w:tentative="1">
        <w:start w:val="1"/>
        <w:numFmt w:val="decimal"/>
        <w:lvlText w:val="%1.%2.%3.%4.%5.%6"/>
        <w:lvlJc w:val="left"/>
        <w:pPr>
          <w:tabs>
            <w:tab w:val="left" w:pos="3394"/>
          </w:tabs>
          <w:ind w:left="3088" w:hanging="1134"/>
        </w:pPr>
        <w:rPr>
          <w:rFonts w:hint="eastAsia"/>
        </w:rPr>
      </w:lvl>
    </w:lvlOverride>
    <w:lvlOverride w:ilvl="6">
      <w:lvl w:ilvl="6" w:tentative="1">
        <w:start w:val="1"/>
        <w:numFmt w:val="decimal"/>
        <w:lvlText w:val="%1.%2.%3.%4.%5.%6.%7"/>
        <w:lvlJc w:val="left"/>
        <w:pPr>
          <w:tabs>
            <w:tab w:val="left" w:pos="4179"/>
          </w:tabs>
          <w:ind w:left="3655" w:hanging="1276"/>
        </w:pPr>
        <w:rPr>
          <w:rFonts w:hint="eastAsia"/>
        </w:rPr>
      </w:lvl>
    </w:lvlOverride>
    <w:lvlOverride w:ilvl="7">
      <w:lvl w:ilvl="7" w:tentative="1">
        <w:start w:val="1"/>
        <w:numFmt w:val="decimal"/>
        <w:lvlText w:val="%1.%2.%3.%4.%5.%6.%7.%8"/>
        <w:lvlJc w:val="left"/>
        <w:pPr>
          <w:tabs>
            <w:tab w:val="left" w:pos="4604"/>
          </w:tabs>
          <w:ind w:left="4222" w:hanging="1418"/>
        </w:pPr>
        <w:rPr>
          <w:rFonts w:hint="eastAsia"/>
        </w:rPr>
      </w:lvl>
    </w:lvlOverride>
    <w:lvlOverride w:ilvl="8">
      <w:lvl w:ilvl="8" w:tentative="1">
        <w:start w:val="1"/>
        <w:numFmt w:val="decimal"/>
        <w:lvlText w:val="%1.%2.%3.%4.%5.%6.%7.%8.%9"/>
        <w:lvlJc w:val="left"/>
        <w:pPr>
          <w:tabs>
            <w:tab w:val="left" w:pos="5390"/>
          </w:tabs>
          <w:ind w:left="4930" w:hanging="1700"/>
        </w:pPr>
        <w:rPr>
          <w:rFonts w:hint="eastAsia"/>
        </w:rPr>
      </w:lvl>
    </w:lvlOverride>
  </w:num>
  <w:num w:numId="4">
    <w:abstractNumId w:val="0"/>
  </w:num>
  <w:num w:numId="5">
    <w:abstractNumId w:val="10"/>
  </w:num>
  <w:num w:numId="6">
    <w:abstractNumId w:val="9"/>
  </w:num>
  <w:num w:numId="7">
    <w:abstractNumId w:val="2"/>
  </w:num>
  <w:num w:numId="8">
    <w:abstractNumId w:val="6"/>
  </w:num>
  <w:num w:numId="9">
    <w:abstractNumId w:val="7"/>
  </w:num>
  <w:num w:numId="10">
    <w:abstractNumId w:val="11"/>
  </w:num>
  <w:num w:numId="11">
    <w:abstractNumId w:val="1"/>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hideSpellingError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6C5683"/>
    <w:rsid w:val="00001B0D"/>
    <w:rsid w:val="00005215"/>
    <w:rsid w:val="00005A10"/>
    <w:rsid w:val="000073E4"/>
    <w:rsid w:val="00007C62"/>
    <w:rsid w:val="00010102"/>
    <w:rsid w:val="00011049"/>
    <w:rsid w:val="00012D63"/>
    <w:rsid w:val="00012E8E"/>
    <w:rsid w:val="00013A28"/>
    <w:rsid w:val="00015A86"/>
    <w:rsid w:val="000164AF"/>
    <w:rsid w:val="00016C1B"/>
    <w:rsid w:val="00016F99"/>
    <w:rsid w:val="0001716B"/>
    <w:rsid w:val="000211EA"/>
    <w:rsid w:val="0002323A"/>
    <w:rsid w:val="000234B2"/>
    <w:rsid w:val="000236B8"/>
    <w:rsid w:val="00030DEE"/>
    <w:rsid w:val="00031700"/>
    <w:rsid w:val="00031F6E"/>
    <w:rsid w:val="00032D1B"/>
    <w:rsid w:val="00037D22"/>
    <w:rsid w:val="00040D3C"/>
    <w:rsid w:val="0004380D"/>
    <w:rsid w:val="00043A89"/>
    <w:rsid w:val="00045693"/>
    <w:rsid w:val="00045739"/>
    <w:rsid w:val="00046CEE"/>
    <w:rsid w:val="0005077A"/>
    <w:rsid w:val="000510B6"/>
    <w:rsid w:val="00051F3F"/>
    <w:rsid w:val="00051F77"/>
    <w:rsid w:val="00052BC1"/>
    <w:rsid w:val="00052ED3"/>
    <w:rsid w:val="0005364F"/>
    <w:rsid w:val="00053B66"/>
    <w:rsid w:val="0005582B"/>
    <w:rsid w:val="00056A22"/>
    <w:rsid w:val="00057332"/>
    <w:rsid w:val="00061771"/>
    <w:rsid w:val="0006267A"/>
    <w:rsid w:val="00062D88"/>
    <w:rsid w:val="0006335B"/>
    <w:rsid w:val="000646AF"/>
    <w:rsid w:val="0006670C"/>
    <w:rsid w:val="00067D92"/>
    <w:rsid w:val="00073C5E"/>
    <w:rsid w:val="000750DC"/>
    <w:rsid w:val="000802D8"/>
    <w:rsid w:val="0008046A"/>
    <w:rsid w:val="00082493"/>
    <w:rsid w:val="00082667"/>
    <w:rsid w:val="00083DC6"/>
    <w:rsid w:val="000869D8"/>
    <w:rsid w:val="00092FC7"/>
    <w:rsid w:val="0009376D"/>
    <w:rsid w:val="00093CC0"/>
    <w:rsid w:val="000954D5"/>
    <w:rsid w:val="0009618D"/>
    <w:rsid w:val="00096FF6"/>
    <w:rsid w:val="0009709B"/>
    <w:rsid w:val="000A207D"/>
    <w:rsid w:val="000A2A3D"/>
    <w:rsid w:val="000A6FAC"/>
    <w:rsid w:val="000B05E2"/>
    <w:rsid w:val="000B09AA"/>
    <w:rsid w:val="000B2568"/>
    <w:rsid w:val="000B3C10"/>
    <w:rsid w:val="000B4287"/>
    <w:rsid w:val="000C1EE4"/>
    <w:rsid w:val="000C4425"/>
    <w:rsid w:val="000C60F0"/>
    <w:rsid w:val="000C611D"/>
    <w:rsid w:val="000C6956"/>
    <w:rsid w:val="000C7CC8"/>
    <w:rsid w:val="000D1063"/>
    <w:rsid w:val="000D1A7D"/>
    <w:rsid w:val="000D2309"/>
    <w:rsid w:val="000D38F9"/>
    <w:rsid w:val="000D5510"/>
    <w:rsid w:val="000E0092"/>
    <w:rsid w:val="000E4DE8"/>
    <w:rsid w:val="000E5421"/>
    <w:rsid w:val="000F2065"/>
    <w:rsid w:val="000F2A88"/>
    <w:rsid w:val="000F2C23"/>
    <w:rsid w:val="000F2D1B"/>
    <w:rsid w:val="000F330D"/>
    <w:rsid w:val="000F3403"/>
    <w:rsid w:val="000F565B"/>
    <w:rsid w:val="000F5F3F"/>
    <w:rsid w:val="000F65AC"/>
    <w:rsid w:val="00101486"/>
    <w:rsid w:val="00101DD0"/>
    <w:rsid w:val="00102037"/>
    <w:rsid w:val="00102555"/>
    <w:rsid w:val="00103B5D"/>
    <w:rsid w:val="001047F0"/>
    <w:rsid w:val="00104CBB"/>
    <w:rsid w:val="00107D54"/>
    <w:rsid w:val="00111C39"/>
    <w:rsid w:val="0011485A"/>
    <w:rsid w:val="0011501D"/>
    <w:rsid w:val="001153D0"/>
    <w:rsid w:val="00115623"/>
    <w:rsid w:val="00115A55"/>
    <w:rsid w:val="001212EF"/>
    <w:rsid w:val="0012144B"/>
    <w:rsid w:val="001217DC"/>
    <w:rsid w:val="0012203F"/>
    <w:rsid w:val="00123CC6"/>
    <w:rsid w:val="0012413E"/>
    <w:rsid w:val="00125C8A"/>
    <w:rsid w:val="001262BD"/>
    <w:rsid w:val="00130827"/>
    <w:rsid w:val="001308A2"/>
    <w:rsid w:val="00132D9C"/>
    <w:rsid w:val="001360C0"/>
    <w:rsid w:val="00143653"/>
    <w:rsid w:val="00143B3A"/>
    <w:rsid w:val="00146978"/>
    <w:rsid w:val="0014765D"/>
    <w:rsid w:val="001503A4"/>
    <w:rsid w:val="00156E3B"/>
    <w:rsid w:val="00157E23"/>
    <w:rsid w:val="00157FC3"/>
    <w:rsid w:val="00161C84"/>
    <w:rsid w:val="001626BD"/>
    <w:rsid w:val="00163120"/>
    <w:rsid w:val="00164E23"/>
    <w:rsid w:val="0016595F"/>
    <w:rsid w:val="00165A0B"/>
    <w:rsid w:val="00166A2C"/>
    <w:rsid w:val="00166F95"/>
    <w:rsid w:val="001701B5"/>
    <w:rsid w:val="001712D1"/>
    <w:rsid w:val="00171CAB"/>
    <w:rsid w:val="0017228F"/>
    <w:rsid w:val="001744AB"/>
    <w:rsid w:val="00174D6D"/>
    <w:rsid w:val="00175466"/>
    <w:rsid w:val="00175D9D"/>
    <w:rsid w:val="00177167"/>
    <w:rsid w:val="001815EB"/>
    <w:rsid w:val="0018160E"/>
    <w:rsid w:val="00181B0A"/>
    <w:rsid w:val="00183264"/>
    <w:rsid w:val="00183C79"/>
    <w:rsid w:val="00183C8B"/>
    <w:rsid w:val="00183E75"/>
    <w:rsid w:val="001845CF"/>
    <w:rsid w:val="001862DA"/>
    <w:rsid w:val="001865BB"/>
    <w:rsid w:val="00187518"/>
    <w:rsid w:val="00195110"/>
    <w:rsid w:val="00196B4E"/>
    <w:rsid w:val="001A027A"/>
    <w:rsid w:val="001A0D2C"/>
    <w:rsid w:val="001A422B"/>
    <w:rsid w:val="001A440A"/>
    <w:rsid w:val="001A4A55"/>
    <w:rsid w:val="001A6A4F"/>
    <w:rsid w:val="001A7098"/>
    <w:rsid w:val="001A76B7"/>
    <w:rsid w:val="001B08E1"/>
    <w:rsid w:val="001B1339"/>
    <w:rsid w:val="001B270A"/>
    <w:rsid w:val="001B2E6C"/>
    <w:rsid w:val="001B47E4"/>
    <w:rsid w:val="001B6FAD"/>
    <w:rsid w:val="001B7CFC"/>
    <w:rsid w:val="001C04B2"/>
    <w:rsid w:val="001C1FDE"/>
    <w:rsid w:val="001C371D"/>
    <w:rsid w:val="001C3B85"/>
    <w:rsid w:val="001C5839"/>
    <w:rsid w:val="001C77E1"/>
    <w:rsid w:val="001C7ADA"/>
    <w:rsid w:val="001D3543"/>
    <w:rsid w:val="001D58E5"/>
    <w:rsid w:val="001D5D08"/>
    <w:rsid w:val="001E085F"/>
    <w:rsid w:val="001E2502"/>
    <w:rsid w:val="001E292F"/>
    <w:rsid w:val="001E3C03"/>
    <w:rsid w:val="001E474D"/>
    <w:rsid w:val="001E48A2"/>
    <w:rsid w:val="001E5A81"/>
    <w:rsid w:val="001F0349"/>
    <w:rsid w:val="001F0B74"/>
    <w:rsid w:val="001F0F96"/>
    <w:rsid w:val="001F268F"/>
    <w:rsid w:val="001F4EB8"/>
    <w:rsid w:val="001F5D38"/>
    <w:rsid w:val="001F602F"/>
    <w:rsid w:val="001F6F6A"/>
    <w:rsid w:val="001F7595"/>
    <w:rsid w:val="00200B4C"/>
    <w:rsid w:val="00203267"/>
    <w:rsid w:val="0020391D"/>
    <w:rsid w:val="00205F9C"/>
    <w:rsid w:val="00210771"/>
    <w:rsid w:val="00211885"/>
    <w:rsid w:val="00212198"/>
    <w:rsid w:val="002122B8"/>
    <w:rsid w:val="00215699"/>
    <w:rsid w:val="002159DE"/>
    <w:rsid w:val="00215E99"/>
    <w:rsid w:val="0021645F"/>
    <w:rsid w:val="002166A6"/>
    <w:rsid w:val="00216BB6"/>
    <w:rsid w:val="00216C18"/>
    <w:rsid w:val="0022048B"/>
    <w:rsid w:val="00221A9C"/>
    <w:rsid w:val="00222261"/>
    <w:rsid w:val="00225AE2"/>
    <w:rsid w:val="002260CB"/>
    <w:rsid w:val="0022634D"/>
    <w:rsid w:val="00227D49"/>
    <w:rsid w:val="00227FC7"/>
    <w:rsid w:val="002336B7"/>
    <w:rsid w:val="00236A81"/>
    <w:rsid w:val="00236E72"/>
    <w:rsid w:val="00250F42"/>
    <w:rsid w:val="00254518"/>
    <w:rsid w:val="00254B44"/>
    <w:rsid w:val="00254E99"/>
    <w:rsid w:val="0025721C"/>
    <w:rsid w:val="0026027A"/>
    <w:rsid w:val="00260533"/>
    <w:rsid w:val="00261367"/>
    <w:rsid w:val="00261A54"/>
    <w:rsid w:val="00261D37"/>
    <w:rsid w:val="00263607"/>
    <w:rsid w:val="0026456B"/>
    <w:rsid w:val="00264D4D"/>
    <w:rsid w:val="002656E1"/>
    <w:rsid w:val="00265CFF"/>
    <w:rsid w:val="00266C24"/>
    <w:rsid w:val="00266C56"/>
    <w:rsid w:val="00273A26"/>
    <w:rsid w:val="00275641"/>
    <w:rsid w:val="002821E9"/>
    <w:rsid w:val="0028302D"/>
    <w:rsid w:val="002842BE"/>
    <w:rsid w:val="00286F0F"/>
    <w:rsid w:val="0028720B"/>
    <w:rsid w:val="0028787B"/>
    <w:rsid w:val="002908A7"/>
    <w:rsid w:val="00290A86"/>
    <w:rsid w:val="00291796"/>
    <w:rsid w:val="00292F66"/>
    <w:rsid w:val="0029315D"/>
    <w:rsid w:val="00293CA5"/>
    <w:rsid w:val="00294309"/>
    <w:rsid w:val="0029449E"/>
    <w:rsid w:val="00295866"/>
    <w:rsid w:val="002969C6"/>
    <w:rsid w:val="00296F46"/>
    <w:rsid w:val="00296F8A"/>
    <w:rsid w:val="002A180F"/>
    <w:rsid w:val="002A3617"/>
    <w:rsid w:val="002A4D34"/>
    <w:rsid w:val="002B22D4"/>
    <w:rsid w:val="002B2490"/>
    <w:rsid w:val="002B2C0A"/>
    <w:rsid w:val="002B37BD"/>
    <w:rsid w:val="002B404C"/>
    <w:rsid w:val="002B555B"/>
    <w:rsid w:val="002B7684"/>
    <w:rsid w:val="002B7969"/>
    <w:rsid w:val="002C257A"/>
    <w:rsid w:val="002C3550"/>
    <w:rsid w:val="002C7DAA"/>
    <w:rsid w:val="002D0356"/>
    <w:rsid w:val="002D07C0"/>
    <w:rsid w:val="002D1DFB"/>
    <w:rsid w:val="002D2FE0"/>
    <w:rsid w:val="002D45BF"/>
    <w:rsid w:val="002D4A85"/>
    <w:rsid w:val="002D4E8A"/>
    <w:rsid w:val="002D64DF"/>
    <w:rsid w:val="002E38DB"/>
    <w:rsid w:val="002E455D"/>
    <w:rsid w:val="002E4BAF"/>
    <w:rsid w:val="002E72F1"/>
    <w:rsid w:val="002E7510"/>
    <w:rsid w:val="002F027E"/>
    <w:rsid w:val="002F1DB6"/>
    <w:rsid w:val="002F2B7A"/>
    <w:rsid w:val="002F3105"/>
    <w:rsid w:val="002F3248"/>
    <w:rsid w:val="002F41A5"/>
    <w:rsid w:val="002F4C44"/>
    <w:rsid w:val="002F72FF"/>
    <w:rsid w:val="00301BCD"/>
    <w:rsid w:val="0030463E"/>
    <w:rsid w:val="00304ED6"/>
    <w:rsid w:val="00306FF4"/>
    <w:rsid w:val="003126EA"/>
    <w:rsid w:val="0031399D"/>
    <w:rsid w:val="00314B50"/>
    <w:rsid w:val="00315A06"/>
    <w:rsid w:val="00317D36"/>
    <w:rsid w:val="00317E3F"/>
    <w:rsid w:val="00320740"/>
    <w:rsid w:val="003219B7"/>
    <w:rsid w:val="003221D3"/>
    <w:rsid w:val="003225FB"/>
    <w:rsid w:val="00322F68"/>
    <w:rsid w:val="003238CB"/>
    <w:rsid w:val="00323A7C"/>
    <w:rsid w:val="00323BE9"/>
    <w:rsid w:val="00323C32"/>
    <w:rsid w:val="003243F6"/>
    <w:rsid w:val="00324A1D"/>
    <w:rsid w:val="00325742"/>
    <w:rsid w:val="00327948"/>
    <w:rsid w:val="00327AB3"/>
    <w:rsid w:val="0033739F"/>
    <w:rsid w:val="00342DC1"/>
    <w:rsid w:val="00343F41"/>
    <w:rsid w:val="00345EA7"/>
    <w:rsid w:val="00346129"/>
    <w:rsid w:val="0034652C"/>
    <w:rsid w:val="00346A53"/>
    <w:rsid w:val="00347264"/>
    <w:rsid w:val="00347724"/>
    <w:rsid w:val="0035067B"/>
    <w:rsid w:val="00351A4A"/>
    <w:rsid w:val="00351FB4"/>
    <w:rsid w:val="00354F9B"/>
    <w:rsid w:val="00356ECB"/>
    <w:rsid w:val="003603EA"/>
    <w:rsid w:val="00360494"/>
    <w:rsid w:val="003621BA"/>
    <w:rsid w:val="00364C7C"/>
    <w:rsid w:val="0036508D"/>
    <w:rsid w:val="003651C8"/>
    <w:rsid w:val="003664F5"/>
    <w:rsid w:val="003666DE"/>
    <w:rsid w:val="003669F1"/>
    <w:rsid w:val="003700A3"/>
    <w:rsid w:val="00370B40"/>
    <w:rsid w:val="003729FB"/>
    <w:rsid w:val="00373411"/>
    <w:rsid w:val="00373D40"/>
    <w:rsid w:val="0037472F"/>
    <w:rsid w:val="00380094"/>
    <w:rsid w:val="00380FB1"/>
    <w:rsid w:val="0038165D"/>
    <w:rsid w:val="00383071"/>
    <w:rsid w:val="00385F39"/>
    <w:rsid w:val="003868EF"/>
    <w:rsid w:val="00391FAB"/>
    <w:rsid w:val="00392539"/>
    <w:rsid w:val="00392677"/>
    <w:rsid w:val="00394981"/>
    <w:rsid w:val="003953A8"/>
    <w:rsid w:val="003955C9"/>
    <w:rsid w:val="003977EC"/>
    <w:rsid w:val="0039788E"/>
    <w:rsid w:val="003A12D0"/>
    <w:rsid w:val="003A21D7"/>
    <w:rsid w:val="003A33B5"/>
    <w:rsid w:val="003A34B2"/>
    <w:rsid w:val="003A3551"/>
    <w:rsid w:val="003A38F0"/>
    <w:rsid w:val="003A3B5D"/>
    <w:rsid w:val="003A443D"/>
    <w:rsid w:val="003A5154"/>
    <w:rsid w:val="003A6877"/>
    <w:rsid w:val="003A6A5A"/>
    <w:rsid w:val="003A72E9"/>
    <w:rsid w:val="003B0D27"/>
    <w:rsid w:val="003B3629"/>
    <w:rsid w:val="003B390F"/>
    <w:rsid w:val="003B51CE"/>
    <w:rsid w:val="003B5A08"/>
    <w:rsid w:val="003B5EF3"/>
    <w:rsid w:val="003C0177"/>
    <w:rsid w:val="003C274D"/>
    <w:rsid w:val="003C3AF3"/>
    <w:rsid w:val="003C77EA"/>
    <w:rsid w:val="003D03BB"/>
    <w:rsid w:val="003D2333"/>
    <w:rsid w:val="003D5413"/>
    <w:rsid w:val="003D7460"/>
    <w:rsid w:val="003E37AA"/>
    <w:rsid w:val="003E3C43"/>
    <w:rsid w:val="003E47DE"/>
    <w:rsid w:val="003E7F84"/>
    <w:rsid w:val="003F0B5E"/>
    <w:rsid w:val="003F10D3"/>
    <w:rsid w:val="003F1548"/>
    <w:rsid w:val="003F2B3D"/>
    <w:rsid w:val="003F3105"/>
    <w:rsid w:val="003F4172"/>
    <w:rsid w:val="003F4249"/>
    <w:rsid w:val="003F5086"/>
    <w:rsid w:val="00400346"/>
    <w:rsid w:val="00402C2C"/>
    <w:rsid w:val="00403364"/>
    <w:rsid w:val="0040415C"/>
    <w:rsid w:val="0041450E"/>
    <w:rsid w:val="00415370"/>
    <w:rsid w:val="00415781"/>
    <w:rsid w:val="00416F40"/>
    <w:rsid w:val="00417769"/>
    <w:rsid w:val="00421EF2"/>
    <w:rsid w:val="00422668"/>
    <w:rsid w:val="0042602D"/>
    <w:rsid w:val="00430054"/>
    <w:rsid w:val="00431AC1"/>
    <w:rsid w:val="004329C9"/>
    <w:rsid w:val="00432A55"/>
    <w:rsid w:val="00432CD5"/>
    <w:rsid w:val="004363FA"/>
    <w:rsid w:val="004364CC"/>
    <w:rsid w:val="0044020B"/>
    <w:rsid w:val="004405B0"/>
    <w:rsid w:val="00441C9A"/>
    <w:rsid w:val="00441FF9"/>
    <w:rsid w:val="004433D8"/>
    <w:rsid w:val="0044382F"/>
    <w:rsid w:val="004442EB"/>
    <w:rsid w:val="0045106C"/>
    <w:rsid w:val="0045135E"/>
    <w:rsid w:val="0045257D"/>
    <w:rsid w:val="00452C53"/>
    <w:rsid w:val="00454597"/>
    <w:rsid w:val="004548E6"/>
    <w:rsid w:val="0045543A"/>
    <w:rsid w:val="004561F9"/>
    <w:rsid w:val="0045637C"/>
    <w:rsid w:val="004578F0"/>
    <w:rsid w:val="00457AE7"/>
    <w:rsid w:val="00457AF7"/>
    <w:rsid w:val="004603D6"/>
    <w:rsid w:val="00462097"/>
    <w:rsid w:val="00463F8B"/>
    <w:rsid w:val="0046687B"/>
    <w:rsid w:val="00470418"/>
    <w:rsid w:val="004727C4"/>
    <w:rsid w:val="00473579"/>
    <w:rsid w:val="004768AE"/>
    <w:rsid w:val="00480F8B"/>
    <w:rsid w:val="004822BF"/>
    <w:rsid w:val="0048231B"/>
    <w:rsid w:val="0048233B"/>
    <w:rsid w:val="004838D4"/>
    <w:rsid w:val="004845AC"/>
    <w:rsid w:val="00485E3C"/>
    <w:rsid w:val="004915C1"/>
    <w:rsid w:val="00492735"/>
    <w:rsid w:val="00494FC9"/>
    <w:rsid w:val="00495A2D"/>
    <w:rsid w:val="004A1BC0"/>
    <w:rsid w:val="004A201B"/>
    <w:rsid w:val="004A204A"/>
    <w:rsid w:val="004A3423"/>
    <w:rsid w:val="004A3717"/>
    <w:rsid w:val="004A4377"/>
    <w:rsid w:val="004A4B32"/>
    <w:rsid w:val="004A57EB"/>
    <w:rsid w:val="004A5824"/>
    <w:rsid w:val="004A6717"/>
    <w:rsid w:val="004A788D"/>
    <w:rsid w:val="004B1018"/>
    <w:rsid w:val="004B1CAB"/>
    <w:rsid w:val="004B2F18"/>
    <w:rsid w:val="004B36ED"/>
    <w:rsid w:val="004B3F3B"/>
    <w:rsid w:val="004B612E"/>
    <w:rsid w:val="004B623B"/>
    <w:rsid w:val="004B63D5"/>
    <w:rsid w:val="004C010E"/>
    <w:rsid w:val="004C343E"/>
    <w:rsid w:val="004C3E02"/>
    <w:rsid w:val="004C422D"/>
    <w:rsid w:val="004C4CEB"/>
    <w:rsid w:val="004C600A"/>
    <w:rsid w:val="004C76D6"/>
    <w:rsid w:val="004D000F"/>
    <w:rsid w:val="004D26F0"/>
    <w:rsid w:val="004D4AE0"/>
    <w:rsid w:val="004D6CDD"/>
    <w:rsid w:val="004D7A6D"/>
    <w:rsid w:val="004D7BF4"/>
    <w:rsid w:val="004D7C92"/>
    <w:rsid w:val="004E0B6C"/>
    <w:rsid w:val="004E0F36"/>
    <w:rsid w:val="004E1A92"/>
    <w:rsid w:val="004E1F11"/>
    <w:rsid w:val="004E210E"/>
    <w:rsid w:val="004E38B2"/>
    <w:rsid w:val="004E3936"/>
    <w:rsid w:val="004E57F7"/>
    <w:rsid w:val="004E5D9C"/>
    <w:rsid w:val="004E6B8E"/>
    <w:rsid w:val="004F0543"/>
    <w:rsid w:val="00500389"/>
    <w:rsid w:val="00500F7A"/>
    <w:rsid w:val="005012AD"/>
    <w:rsid w:val="005027BB"/>
    <w:rsid w:val="00502BCE"/>
    <w:rsid w:val="005037E1"/>
    <w:rsid w:val="00503B5C"/>
    <w:rsid w:val="0050456A"/>
    <w:rsid w:val="005068E1"/>
    <w:rsid w:val="005077C5"/>
    <w:rsid w:val="005109C3"/>
    <w:rsid w:val="0051168A"/>
    <w:rsid w:val="005122F4"/>
    <w:rsid w:val="005156A6"/>
    <w:rsid w:val="00516393"/>
    <w:rsid w:val="0052007F"/>
    <w:rsid w:val="00520B4F"/>
    <w:rsid w:val="00522D01"/>
    <w:rsid w:val="005233A4"/>
    <w:rsid w:val="00524AD7"/>
    <w:rsid w:val="00524C32"/>
    <w:rsid w:val="0052720F"/>
    <w:rsid w:val="00527D36"/>
    <w:rsid w:val="0053016F"/>
    <w:rsid w:val="005328A8"/>
    <w:rsid w:val="00532ED1"/>
    <w:rsid w:val="00533920"/>
    <w:rsid w:val="00535324"/>
    <w:rsid w:val="00540DDD"/>
    <w:rsid w:val="0054216F"/>
    <w:rsid w:val="0054217F"/>
    <w:rsid w:val="00542F18"/>
    <w:rsid w:val="005432A0"/>
    <w:rsid w:val="00544853"/>
    <w:rsid w:val="005450E2"/>
    <w:rsid w:val="00546741"/>
    <w:rsid w:val="00546BC1"/>
    <w:rsid w:val="00547F86"/>
    <w:rsid w:val="0055232C"/>
    <w:rsid w:val="00556058"/>
    <w:rsid w:val="00556A44"/>
    <w:rsid w:val="00556A77"/>
    <w:rsid w:val="0055764E"/>
    <w:rsid w:val="00560528"/>
    <w:rsid w:val="005608A8"/>
    <w:rsid w:val="00561923"/>
    <w:rsid w:val="0056310A"/>
    <w:rsid w:val="0056336F"/>
    <w:rsid w:val="00563C7C"/>
    <w:rsid w:val="0056404F"/>
    <w:rsid w:val="0056537E"/>
    <w:rsid w:val="00567598"/>
    <w:rsid w:val="00571319"/>
    <w:rsid w:val="00571D59"/>
    <w:rsid w:val="00572093"/>
    <w:rsid w:val="005725B4"/>
    <w:rsid w:val="00572E3E"/>
    <w:rsid w:val="00573496"/>
    <w:rsid w:val="0057420B"/>
    <w:rsid w:val="005749AF"/>
    <w:rsid w:val="00580280"/>
    <w:rsid w:val="0058135A"/>
    <w:rsid w:val="00584058"/>
    <w:rsid w:val="005851E0"/>
    <w:rsid w:val="00585571"/>
    <w:rsid w:val="00585B91"/>
    <w:rsid w:val="0058698A"/>
    <w:rsid w:val="00586995"/>
    <w:rsid w:val="00586BF1"/>
    <w:rsid w:val="005903E4"/>
    <w:rsid w:val="0059059E"/>
    <w:rsid w:val="005909BC"/>
    <w:rsid w:val="00590C1C"/>
    <w:rsid w:val="005917A6"/>
    <w:rsid w:val="00591DC9"/>
    <w:rsid w:val="005950D6"/>
    <w:rsid w:val="00595A4F"/>
    <w:rsid w:val="00595F05"/>
    <w:rsid w:val="0059751C"/>
    <w:rsid w:val="00597919"/>
    <w:rsid w:val="005A0B9F"/>
    <w:rsid w:val="005A2C02"/>
    <w:rsid w:val="005A3508"/>
    <w:rsid w:val="005A63D8"/>
    <w:rsid w:val="005A7DBE"/>
    <w:rsid w:val="005B1F19"/>
    <w:rsid w:val="005B213F"/>
    <w:rsid w:val="005B3606"/>
    <w:rsid w:val="005B3CE8"/>
    <w:rsid w:val="005B49B6"/>
    <w:rsid w:val="005B4A04"/>
    <w:rsid w:val="005B7733"/>
    <w:rsid w:val="005B7A22"/>
    <w:rsid w:val="005C0602"/>
    <w:rsid w:val="005C1BC0"/>
    <w:rsid w:val="005C40C7"/>
    <w:rsid w:val="005C5285"/>
    <w:rsid w:val="005D4CF7"/>
    <w:rsid w:val="005D5347"/>
    <w:rsid w:val="005D5CC5"/>
    <w:rsid w:val="005D61EA"/>
    <w:rsid w:val="005D787B"/>
    <w:rsid w:val="005D7B2B"/>
    <w:rsid w:val="005E04B5"/>
    <w:rsid w:val="005E12BE"/>
    <w:rsid w:val="005E3FDD"/>
    <w:rsid w:val="005E7A42"/>
    <w:rsid w:val="005E7ECB"/>
    <w:rsid w:val="005F06D6"/>
    <w:rsid w:val="005F2D5A"/>
    <w:rsid w:val="005F2EA8"/>
    <w:rsid w:val="005F64C6"/>
    <w:rsid w:val="005F784E"/>
    <w:rsid w:val="005F78C2"/>
    <w:rsid w:val="006008F1"/>
    <w:rsid w:val="00601735"/>
    <w:rsid w:val="00602761"/>
    <w:rsid w:val="00602BD2"/>
    <w:rsid w:val="00605C53"/>
    <w:rsid w:val="00606AC5"/>
    <w:rsid w:val="006101EC"/>
    <w:rsid w:val="006105FE"/>
    <w:rsid w:val="0061104C"/>
    <w:rsid w:val="00613C47"/>
    <w:rsid w:val="00614582"/>
    <w:rsid w:val="00615021"/>
    <w:rsid w:val="00616201"/>
    <w:rsid w:val="00616225"/>
    <w:rsid w:val="00617A8B"/>
    <w:rsid w:val="00620445"/>
    <w:rsid w:val="00620F9D"/>
    <w:rsid w:val="00621904"/>
    <w:rsid w:val="00622FEA"/>
    <w:rsid w:val="00623CDF"/>
    <w:rsid w:val="00623DB1"/>
    <w:rsid w:val="00623E83"/>
    <w:rsid w:val="006245F3"/>
    <w:rsid w:val="00626576"/>
    <w:rsid w:val="006304F9"/>
    <w:rsid w:val="006319CA"/>
    <w:rsid w:val="00632820"/>
    <w:rsid w:val="00632BAB"/>
    <w:rsid w:val="00633AB0"/>
    <w:rsid w:val="00634D39"/>
    <w:rsid w:val="00634EC0"/>
    <w:rsid w:val="0063627F"/>
    <w:rsid w:val="00636AD2"/>
    <w:rsid w:val="006425D2"/>
    <w:rsid w:val="00642D72"/>
    <w:rsid w:val="006430E6"/>
    <w:rsid w:val="006440DC"/>
    <w:rsid w:val="006443CB"/>
    <w:rsid w:val="00644726"/>
    <w:rsid w:val="00644F80"/>
    <w:rsid w:val="00645874"/>
    <w:rsid w:val="00650000"/>
    <w:rsid w:val="00650271"/>
    <w:rsid w:val="006508BE"/>
    <w:rsid w:val="00650AEC"/>
    <w:rsid w:val="0065106B"/>
    <w:rsid w:val="00651ADF"/>
    <w:rsid w:val="00652569"/>
    <w:rsid w:val="00652859"/>
    <w:rsid w:val="006569DD"/>
    <w:rsid w:val="00661918"/>
    <w:rsid w:val="00662A5A"/>
    <w:rsid w:val="00662FB7"/>
    <w:rsid w:val="006636D0"/>
    <w:rsid w:val="00664796"/>
    <w:rsid w:val="006653D7"/>
    <w:rsid w:val="00665D16"/>
    <w:rsid w:val="0066625D"/>
    <w:rsid w:val="006663B6"/>
    <w:rsid w:val="006665BA"/>
    <w:rsid w:val="0066684D"/>
    <w:rsid w:val="00666A4F"/>
    <w:rsid w:val="00666C95"/>
    <w:rsid w:val="00667D28"/>
    <w:rsid w:val="006703D9"/>
    <w:rsid w:val="00671D78"/>
    <w:rsid w:val="00676572"/>
    <w:rsid w:val="0068018D"/>
    <w:rsid w:val="00680936"/>
    <w:rsid w:val="00680D8C"/>
    <w:rsid w:val="00680F89"/>
    <w:rsid w:val="006818BA"/>
    <w:rsid w:val="00682725"/>
    <w:rsid w:val="00682ED3"/>
    <w:rsid w:val="00686AD3"/>
    <w:rsid w:val="00690A31"/>
    <w:rsid w:val="00692582"/>
    <w:rsid w:val="00692C9B"/>
    <w:rsid w:val="00693652"/>
    <w:rsid w:val="006939E7"/>
    <w:rsid w:val="00693A33"/>
    <w:rsid w:val="00693D3E"/>
    <w:rsid w:val="006942F7"/>
    <w:rsid w:val="006959FD"/>
    <w:rsid w:val="00696195"/>
    <w:rsid w:val="00696ADB"/>
    <w:rsid w:val="00696B0E"/>
    <w:rsid w:val="00697FD8"/>
    <w:rsid w:val="00697FE8"/>
    <w:rsid w:val="006A2150"/>
    <w:rsid w:val="006A241D"/>
    <w:rsid w:val="006A3288"/>
    <w:rsid w:val="006A43E6"/>
    <w:rsid w:val="006A452D"/>
    <w:rsid w:val="006A70BE"/>
    <w:rsid w:val="006B059F"/>
    <w:rsid w:val="006B6F32"/>
    <w:rsid w:val="006B7130"/>
    <w:rsid w:val="006B74B5"/>
    <w:rsid w:val="006C16B0"/>
    <w:rsid w:val="006C1941"/>
    <w:rsid w:val="006C1A41"/>
    <w:rsid w:val="006C4150"/>
    <w:rsid w:val="006C5683"/>
    <w:rsid w:val="006C56C2"/>
    <w:rsid w:val="006C5E33"/>
    <w:rsid w:val="006C5E48"/>
    <w:rsid w:val="006C6434"/>
    <w:rsid w:val="006C6CD8"/>
    <w:rsid w:val="006D013F"/>
    <w:rsid w:val="006D017F"/>
    <w:rsid w:val="006D1D3F"/>
    <w:rsid w:val="006D253B"/>
    <w:rsid w:val="006D262F"/>
    <w:rsid w:val="006D4C8F"/>
    <w:rsid w:val="006D57CB"/>
    <w:rsid w:val="006D5AA9"/>
    <w:rsid w:val="006D6CDD"/>
    <w:rsid w:val="006E367F"/>
    <w:rsid w:val="006E4238"/>
    <w:rsid w:val="006E7404"/>
    <w:rsid w:val="006E7B97"/>
    <w:rsid w:val="006F19B0"/>
    <w:rsid w:val="006F2627"/>
    <w:rsid w:val="006F4D10"/>
    <w:rsid w:val="006F5031"/>
    <w:rsid w:val="006F5197"/>
    <w:rsid w:val="006F6D4C"/>
    <w:rsid w:val="006F6E67"/>
    <w:rsid w:val="006F7157"/>
    <w:rsid w:val="006F78E0"/>
    <w:rsid w:val="006F7E41"/>
    <w:rsid w:val="00702B1B"/>
    <w:rsid w:val="00704164"/>
    <w:rsid w:val="0070619F"/>
    <w:rsid w:val="00706282"/>
    <w:rsid w:val="00706A58"/>
    <w:rsid w:val="007110E1"/>
    <w:rsid w:val="0071111E"/>
    <w:rsid w:val="00714394"/>
    <w:rsid w:val="00715107"/>
    <w:rsid w:val="0072145B"/>
    <w:rsid w:val="00721C26"/>
    <w:rsid w:val="00721F7E"/>
    <w:rsid w:val="007221FA"/>
    <w:rsid w:val="00722E29"/>
    <w:rsid w:val="007238B5"/>
    <w:rsid w:val="00724606"/>
    <w:rsid w:val="00724E85"/>
    <w:rsid w:val="00725595"/>
    <w:rsid w:val="00727533"/>
    <w:rsid w:val="00731391"/>
    <w:rsid w:val="00734887"/>
    <w:rsid w:val="007365B6"/>
    <w:rsid w:val="007401E2"/>
    <w:rsid w:val="00740C05"/>
    <w:rsid w:val="007411E5"/>
    <w:rsid w:val="00742A7E"/>
    <w:rsid w:val="007463F8"/>
    <w:rsid w:val="00746951"/>
    <w:rsid w:val="0074791E"/>
    <w:rsid w:val="007504AC"/>
    <w:rsid w:val="0075115D"/>
    <w:rsid w:val="00751A33"/>
    <w:rsid w:val="00752609"/>
    <w:rsid w:val="00753890"/>
    <w:rsid w:val="007555DF"/>
    <w:rsid w:val="007567E2"/>
    <w:rsid w:val="007574AA"/>
    <w:rsid w:val="00761434"/>
    <w:rsid w:val="00761FD5"/>
    <w:rsid w:val="00765DD8"/>
    <w:rsid w:val="00766D36"/>
    <w:rsid w:val="00767607"/>
    <w:rsid w:val="00773874"/>
    <w:rsid w:val="007806A0"/>
    <w:rsid w:val="00780F0B"/>
    <w:rsid w:val="0078243A"/>
    <w:rsid w:val="00782662"/>
    <w:rsid w:val="007840F3"/>
    <w:rsid w:val="0078510E"/>
    <w:rsid w:val="00785491"/>
    <w:rsid w:val="007858C0"/>
    <w:rsid w:val="007861D5"/>
    <w:rsid w:val="0078679A"/>
    <w:rsid w:val="00786CBC"/>
    <w:rsid w:val="00792447"/>
    <w:rsid w:val="00794C93"/>
    <w:rsid w:val="0079694C"/>
    <w:rsid w:val="007A4A53"/>
    <w:rsid w:val="007A4E17"/>
    <w:rsid w:val="007A74A5"/>
    <w:rsid w:val="007A7F6D"/>
    <w:rsid w:val="007B0FBD"/>
    <w:rsid w:val="007B17F5"/>
    <w:rsid w:val="007B1BAF"/>
    <w:rsid w:val="007B2F76"/>
    <w:rsid w:val="007B35F7"/>
    <w:rsid w:val="007B382E"/>
    <w:rsid w:val="007B4F72"/>
    <w:rsid w:val="007C0E04"/>
    <w:rsid w:val="007C18CA"/>
    <w:rsid w:val="007C2827"/>
    <w:rsid w:val="007C33E9"/>
    <w:rsid w:val="007C3A26"/>
    <w:rsid w:val="007C3B0A"/>
    <w:rsid w:val="007C4A36"/>
    <w:rsid w:val="007C4CE1"/>
    <w:rsid w:val="007C597D"/>
    <w:rsid w:val="007C6F74"/>
    <w:rsid w:val="007C74E5"/>
    <w:rsid w:val="007C75EE"/>
    <w:rsid w:val="007C7F57"/>
    <w:rsid w:val="007D0E43"/>
    <w:rsid w:val="007D13E7"/>
    <w:rsid w:val="007D1E37"/>
    <w:rsid w:val="007D37AF"/>
    <w:rsid w:val="007D563E"/>
    <w:rsid w:val="007D5FC1"/>
    <w:rsid w:val="007D715A"/>
    <w:rsid w:val="007E0956"/>
    <w:rsid w:val="007E0E9E"/>
    <w:rsid w:val="007E1760"/>
    <w:rsid w:val="007E21FB"/>
    <w:rsid w:val="007E237E"/>
    <w:rsid w:val="007E420B"/>
    <w:rsid w:val="007E4932"/>
    <w:rsid w:val="007E502C"/>
    <w:rsid w:val="007E5BD7"/>
    <w:rsid w:val="007E75F0"/>
    <w:rsid w:val="007E7968"/>
    <w:rsid w:val="007F013A"/>
    <w:rsid w:val="007F19F9"/>
    <w:rsid w:val="007F2D90"/>
    <w:rsid w:val="007F2E3A"/>
    <w:rsid w:val="007F4F82"/>
    <w:rsid w:val="007F5E16"/>
    <w:rsid w:val="007F7963"/>
    <w:rsid w:val="008011DC"/>
    <w:rsid w:val="00802FF0"/>
    <w:rsid w:val="00803B66"/>
    <w:rsid w:val="00804653"/>
    <w:rsid w:val="00804BF6"/>
    <w:rsid w:val="00806041"/>
    <w:rsid w:val="00806A84"/>
    <w:rsid w:val="00807C6C"/>
    <w:rsid w:val="00807EAC"/>
    <w:rsid w:val="00810B5A"/>
    <w:rsid w:val="0081340B"/>
    <w:rsid w:val="00817BB4"/>
    <w:rsid w:val="00821021"/>
    <w:rsid w:val="0082103F"/>
    <w:rsid w:val="008214BB"/>
    <w:rsid w:val="00821B58"/>
    <w:rsid w:val="00822D4E"/>
    <w:rsid w:val="00823222"/>
    <w:rsid w:val="008233A6"/>
    <w:rsid w:val="00826F4C"/>
    <w:rsid w:val="00834991"/>
    <w:rsid w:val="008377DA"/>
    <w:rsid w:val="008401A7"/>
    <w:rsid w:val="00843766"/>
    <w:rsid w:val="00845A15"/>
    <w:rsid w:val="0084632F"/>
    <w:rsid w:val="00846713"/>
    <w:rsid w:val="008473C3"/>
    <w:rsid w:val="00853025"/>
    <w:rsid w:val="00855B06"/>
    <w:rsid w:val="00855EF0"/>
    <w:rsid w:val="00857D29"/>
    <w:rsid w:val="008600A5"/>
    <w:rsid w:val="008623BC"/>
    <w:rsid w:val="008629A8"/>
    <w:rsid w:val="008660F7"/>
    <w:rsid w:val="00870CB6"/>
    <w:rsid w:val="008710E8"/>
    <w:rsid w:val="00871311"/>
    <w:rsid w:val="00873514"/>
    <w:rsid w:val="00873730"/>
    <w:rsid w:val="008738A4"/>
    <w:rsid w:val="00873FEA"/>
    <w:rsid w:val="0087419B"/>
    <w:rsid w:val="00874592"/>
    <w:rsid w:val="0087749A"/>
    <w:rsid w:val="00877936"/>
    <w:rsid w:val="008818F6"/>
    <w:rsid w:val="0088398E"/>
    <w:rsid w:val="008839A9"/>
    <w:rsid w:val="00885182"/>
    <w:rsid w:val="00885979"/>
    <w:rsid w:val="00887E02"/>
    <w:rsid w:val="00891106"/>
    <w:rsid w:val="00893479"/>
    <w:rsid w:val="00897A5D"/>
    <w:rsid w:val="008A0BB1"/>
    <w:rsid w:val="008A0D86"/>
    <w:rsid w:val="008A1C47"/>
    <w:rsid w:val="008A37A4"/>
    <w:rsid w:val="008A5290"/>
    <w:rsid w:val="008A593A"/>
    <w:rsid w:val="008A6C5A"/>
    <w:rsid w:val="008B2032"/>
    <w:rsid w:val="008B28C8"/>
    <w:rsid w:val="008B2DF3"/>
    <w:rsid w:val="008B376A"/>
    <w:rsid w:val="008B7220"/>
    <w:rsid w:val="008B72EB"/>
    <w:rsid w:val="008C08A5"/>
    <w:rsid w:val="008C1DD7"/>
    <w:rsid w:val="008C2582"/>
    <w:rsid w:val="008C5770"/>
    <w:rsid w:val="008C64E3"/>
    <w:rsid w:val="008D0CB3"/>
    <w:rsid w:val="008D0D1E"/>
    <w:rsid w:val="008E14EA"/>
    <w:rsid w:val="008E1E54"/>
    <w:rsid w:val="008E221C"/>
    <w:rsid w:val="008E3C88"/>
    <w:rsid w:val="008E3F00"/>
    <w:rsid w:val="008E406F"/>
    <w:rsid w:val="008E4F22"/>
    <w:rsid w:val="008E78F2"/>
    <w:rsid w:val="008F022C"/>
    <w:rsid w:val="008F0D6A"/>
    <w:rsid w:val="008F1645"/>
    <w:rsid w:val="008F3B22"/>
    <w:rsid w:val="008F5181"/>
    <w:rsid w:val="008F724C"/>
    <w:rsid w:val="009012A3"/>
    <w:rsid w:val="00901DE1"/>
    <w:rsid w:val="009054E0"/>
    <w:rsid w:val="009076CC"/>
    <w:rsid w:val="009112BB"/>
    <w:rsid w:val="00914C1B"/>
    <w:rsid w:val="0091746C"/>
    <w:rsid w:val="009207DB"/>
    <w:rsid w:val="00922024"/>
    <w:rsid w:val="00922823"/>
    <w:rsid w:val="00923D4B"/>
    <w:rsid w:val="00925501"/>
    <w:rsid w:val="00926982"/>
    <w:rsid w:val="00926FAC"/>
    <w:rsid w:val="009270C4"/>
    <w:rsid w:val="009316C4"/>
    <w:rsid w:val="009328BB"/>
    <w:rsid w:val="00933DFB"/>
    <w:rsid w:val="00934401"/>
    <w:rsid w:val="00934621"/>
    <w:rsid w:val="00935C0B"/>
    <w:rsid w:val="0093740F"/>
    <w:rsid w:val="00937B4A"/>
    <w:rsid w:val="00937C1D"/>
    <w:rsid w:val="00940FC3"/>
    <w:rsid w:val="0094131D"/>
    <w:rsid w:val="00942120"/>
    <w:rsid w:val="009425F7"/>
    <w:rsid w:val="00942DEC"/>
    <w:rsid w:val="0094317C"/>
    <w:rsid w:val="00944BF0"/>
    <w:rsid w:val="009453CC"/>
    <w:rsid w:val="00946136"/>
    <w:rsid w:val="00947046"/>
    <w:rsid w:val="00947EFF"/>
    <w:rsid w:val="0095031F"/>
    <w:rsid w:val="00952842"/>
    <w:rsid w:val="00954282"/>
    <w:rsid w:val="00954427"/>
    <w:rsid w:val="0095521A"/>
    <w:rsid w:val="00956683"/>
    <w:rsid w:val="00962562"/>
    <w:rsid w:val="00964EC8"/>
    <w:rsid w:val="00965047"/>
    <w:rsid w:val="009660A0"/>
    <w:rsid w:val="00966B25"/>
    <w:rsid w:val="0096797D"/>
    <w:rsid w:val="00974307"/>
    <w:rsid w:val="00975C75"/>
    <w:rsid w:val="0098177A"/>
    <w:rsid w:val="009820D6"/>
    <w:rsid w:val="00983EFD"/>
    <w:rsid w:val="00986257"/>
    <w:rsid w:val="00986861"/>
    <w:rsid w:val="00987CBC"/>
    <w:rsid w:val="00990028"/>
    <w:rsid w:val="009921CF"/>
    <w:rsid w:val="00993A2E"/>
    <w:rsid w:val="00995768"/>
    <w:rsid w:val="00996326"/>
    <w:rsid w:val="00997D43"/>
    <w:rsid w:val="009A07D5"/>
    <w:rsid w:val="009A1106"/>
    <w:rsid w:val="009A3970"/>
    <w:rsid w:val="009A44E8"/>
    <w:rsid w:val="009A7CE0"/>
    <w:rsid w:val="009B1DA5"/>
    <w:rsid w:val="009B28FD"/>
    <w:rsid w:val="009B2AD6"/>
    <w:rsid w:val="009B5594"/>
    <w:rsid w:val="009B6AF2"/>
    <w:rsid w:val="009B729E"/>
    <w:rsid w:val="009B7498"/>
    <w:rsid w:val="009C14AD"/>
    <w:rsid w:val="009C3D84"/>
    <w:rsid w:val="009C5B08"/>
    <w:rsid w:val="009C5FDE"/>
    <w:rsid w:val="009C6099"/>
    <w:rsid w:val="009C7B1D"/>
    <w:rsid w:val="009D03F1"/>
    <w:rsid w:val="009D14D6"/>
    <w:rsid w:val="009D1CF4"/>
    <w:rsid w:val="009D234F"/>
    <w:rsid w:val="009D380F"/>
    <w:rsid w:val="009D3919"/>
    <w:rsid w:val="009D496C"/>
    <w:rsid w:val="009D57A7"/>
    <w:rsid w:val="009D6D94"/>
    <w:rsid w:val="009E16FB"/>
    <w:rsid w:val="009E5690"/>
    <w:rsid w:val="009E6DD0"/>
    <w:rsid w:val="009E75BF"/>
    <w:rsid w:val="009E7B67"/>
    <w:rsid w:val="009E7C0E"/>
    <w:rsid w:val="009F0BD9"/>
    <w:rsid w:val="009F10ED"/>
    <w:rsid w:val="009F2035"/>
    <w:rsid w:val="009F33FA"/>
    <w:rsid w:val="009F5324"/>
    <w:rsid w:val="00A01115"/>
    <w:rsid w:val="00A01C1F"/>
    <w:rsid w:val="00A01C98"/>
    <w:rsid w:val="00A06A54"/>
    <w:rsid w:val="00A10423"/>
    <w:rsid w:val="00A14073"/>
    <w:rsid w:val="00A15A52"/>
    <w:rsid w:val="00A22A18"/>
    <w:rsid w:val="00A2486B"/>
    <w:rsid w:val="00A25D45"/>
    <w:rsid w:val="00A261F6"/>
    <w:rsid w:val="00A276FF"/>
    <w:rsid w:val="00A27761"/>
    <w:rsid w:val="00A27EE1"/>
    <w:rsid w:val="00A31ECA"/>
    <w:rsid w:val="00A32211"/>
    <w:rsid w:val="00A324EA"/>
    <w:rsid w:val="00A33395"/>
    <w:rsid w:val="00A338A8"/>
    <w:rsid w:val="00A34114"/>
    <w:rsid w:val="00A3484B"/>
    <w:rsid w:val="00A34C81"/>
    <w:rsid w:val="00A34E19"/>
    <w:rsid w:val="00A40D0C"/>
    <w:rsid w:val="00A41302"/>
    <w:rsid w:val="00A419FF"/>
    <w:rsid w:val="00A41C59"/>
    <w:rsid w:val="00A430AF"/>
    <w:rsid w:val="00A4316F"/>
    <w:rsid w:val="00A47029"/>
    <w:rsid w:val="00A50299"/>
    <w:rsid w:val="00A52DC5"/>
    <w:rsid w:val="00A54DEA"/>
    <w:rsid w:val="00A5510E"/>
    <w:rsid w:val="00A559F4"/>
    <w:rsid w:val="00A56547"/>
    <w:rsid w:val="00A570E0"/>
    <w:rsid w:val="00A606A0"/>
    <w:rsid w:val="00A61263"/>
    <w:rsid w:val="00A614AD"/>
    <w:rsid w:val="00A61607"/>
    <w:rsid w:val="00A61886"/>
    <w:rsid w:val="00A63D89"/>
    <w:rsid w:val="00A65127"/>
    <w:rsid w:val="00A66E04"/>
    <w:rsid w:val="00A671B3"/>
    <w:rsid w:val="00A70320"/>
    <w:rsid w:val="00A750C1"/>
    <w:rsid w:val="00A76063"/>
    <w:rsid w:val="00A76BCE"/>
    <w:rsid w:val="00A77139"/>
    <w:rsid w:val="00A771BF"/>
    <w:rsid w:val="00A8052C"/>
    <w:rsid w:val="00A80C37"/>
    <w:rsid w:val="00A81953"/>
    <w:rsid w:val="00A81D72"/>
    <w:rsid w:val="00A83DEB"/>
    <w:rsid w:val="00A85CF2"/>
    <w:rsid w:val="00A861F3"/>
    <w:rsid w:val="00A87FB1"/>
    <w:rsid w:val="00A9021F"/>
    <w:rsid w:val="00A90DB1"/>
    <w:rsid w:val="00A9147B"/>
    <w:rsid w:val="00A91BA8"/>
    <w:rsid w:val="00A91EF1"/>
    <w:rsid w:val="00A91EF2"/>
    <w:rsid w:val="00A92943"/>
    <w:rsid w:val="00A9325C"/>
    <w:rsid w:val="00A9509A"/>
    <w:rsid w:val="00A96FC6"/>
    <w:rsid w:val="00A97B61"/>
    <w:rsid w:val="00A97F51"/>
    <w:rsid w:val="00AA01DA"/>
    <w:rsid w:val="00AA3077"/>
    <w:rsid w:val="00AA38AF"/>
    <w:rsid w:val="00AA450C"/>
    <w:rsid w:val="00AA562E"/>
    <w:rsid w:val="00AA60C6"/>
    <w:rsid w:val="00AA6D7D"/>
    <w:rsid w:val="00AB1287"/>
    <w:rsid w:val="00AB1CE8"/>
    <w:rsid w:val="00AB5996"/>
    <w:rsid w:val="00AB6DFC"/>
    <w:rsid w:val="00AC3DB7"/>
    <w:rsid w:val="00AC7260"/>
    <w:rsid w:val="00AC7899"/>
    <w:rsid w:val="00AD2035"/>
    <w:rsid w:val="00AD2CDD"/>
    <w:rsid w:val="00AD54F4"/>
    <w:rsid w:val="00AD57D5"/>
    <w:rsid w:val="00AD752F"/>
    <w:rsid w:val="00AD7ECC"/>
    <w:rsid w:val="00AD7EE5"/>
    <w:rsid w:val="00AE41F2"/>
    <w:rsid w:val="00AE55BC"/>
    <w:rsid w:val="00AE686D"/>
    <w:rsid w:val="00AE6B27"/>
    <w:rsid w:val="00AE6F87"/>
    <w:rsid w:val="00AE7114"/>
    <w:rsid w:val="00AF013A"/>
    <w:rsid w:val="00AF0B9B"/>
    <w:rsid w:val="00AF0F96"/>
    <w:rsid w:val="00AF21D7"/>
    <w:rsid w:val="00AF28EB"/>
    <w:rsid w:val="00AF36B6"/>
    <w:rsid w:val="00AF4715"/>
    <w:rsid w:val="00AF4803"/>
    <w:rsid w:val="00AF62ED"/>
    <w:rsid w:val="00AF6A12"/>
    <w:rsid w:val="00B0091F"/>
    <w:rsid w:val="00B00ED5"/>
    <w:rsid w:val="00B01ED2"/>
    <w:rsid w:val="00B02BF0"/>
    <w:rsid w:val="00B03AB4"/>
    <w:rsid w:val="00B05B91"/>
    <w:rsid w:val="00B069CE"/>
    <w:rsid w:val="00B077CC"/>
    <w:rsid w:val="00B07DCF"/>
    <w:rsid w:val="00B15731"/>
    <w:rsid w:val="00B15BB2"/>
    <w:rsid w:val="00B21726"/>
    <w:rsid w:val="00B21740"/>
    <w:rsid w:val="00B21824"/>
    <w:rsid w:val="00B27A6D"/>
    <w:rsid w:val="00B322AB"/>
    <w:rsid w:val="00B34AE5"/>
    <w:rsid w:val="00B34F22"/>
    <w:rsid w:val="00B371F8"/>
    <w:rsid w:val="00B372C4"/>
    <w:rsid w:val="00B42644"/>
    <w:rsid w:val="00B42825"/>
    <w:rsid w:val="00B42C20"/>
    <w:rsid w:val="00B43938"/>
    <w:rsid w:val="00B46400"/>
    <w:rsid w:val="00B4731E"/>
    <w:rsid w:val="00B510F9"/>
    <w:rsid w:val="00B53440"/>
    <w:rsid w:val="00B539EB"/>
    <w:rsid w:val="00B542F2"/>
    <w:rsid w:val="00B544D9"/>
    <w:rsid w:val="00B576E1"/>
    <w:rsid w:val="00B608F1"/>
    <w:rsid w:val="00B60F79"/>
    <w:rsid w:val="00B63B4A"/>
    <w:rsid w:val="00B63DD3"/>
    <w:rsid w:val="00B673CA"/>
    <w:rsid w:val="00B7117A"/>
    <w:rsid w:val="00B72053"/>
    <w:rsid w:val="00B723D4"/>
    <w:rsid w:val="00B73DAD"/>
    <w:rsid w:val="00B73F7E"/>
    <w:rsid w:val="00B75D3F"/>
    <w:rsid w:val="00B77723"/>
    <w:rsid w:val="00B80FB4"/>
    <w:rsid w:val="00B815D3"/>
    <w:rsid w:val="00B843A1"/>
    <w:rsid w:val="00B8502F"/>
    <w:rsid w:val="00B868D6"/>
    <w:rsid w:val="00B8748B"/>
    <w:rsid w:val="00B87B55"/>
    <w:rsid w:val="00B9065F"/>
    <w:rsid w:val="00B9082C"/>
    <w:rsid w:val="00B91818"/>
    <w:rsid w:val="00B94BE5"/>
    <w:rsid w:val="00B95AB4"/>
    <w:rsid w:val="00B97E47"/>
    <w:rsid w:val="00BA05B0"/>
    <w:rsid w:val="00BA0A76"/>
    <w:rsid w:val="00BA20C2"/>
    <w:rsid w:val="00BA30FE"/>
    <w:rsid w:val="00BA351D"/>
    <w:rsid w:val="00BA42EA"/>
    <w:rsid w:val="00BA6F0B"/>
    <w:rsid w:val="00BB0423"/>
    <w:rsid w:val="00BB4DCF"/>
    <w:rsid w:val="00BB6E4F"/>
    <w:rsid w:val="00BB6ECF"/>
    <w:rsid w:val="00BB725F"/>
    <w:rsid w:val="00BB74B3"/>
    <w:rsid w:val="00BB777A"/>
    <w:rsid w:val="00BC1765"/>
    <w:rsid w:val="00BC263E"/>
    <w:rsid w:val="00BC4741"/>
    <w:rsid w:val="00BC50C9"/>
    <w:rsid w:val="00BC5454"/>
    <w:rsid w:val="00BD219A"/>
    <w:rsid w:val="00BD2C42"/>
    <w:rsid w:val="00BD6EF9"/>
    <w:rsid w:val="00BD754C"/>
    <w:rsid w:val="00BD7B4F"/>
    <w:rsid w:val="00BE0762"/>
    <w:rsid w:val="00BE20F5"/>
    <w:rsid w:val="00BE2683"/>
    <w:rsid w:val="00BE40DE"/>
    <w:rsid w:val="00BE6EA3"/>
    <w:rsid w:val="00BE72FD"/>
    <w:rsid w:val="00BF1952"/>
    <w:rsid w:val="00BF1EF8"/>
    <w:rsid w:val="00BF2DE5"/>
    <w:rsid w:val="00BF4C49"/>
    <w:rsid w:val="00BF6338"/>
    <w:rsid w:val="00BF6A08"/>
    <w:rsid w:val="00BF6D56"/>
    <w:rsid w:val="00C00416"/>
    <w:rsid w:val="00C0074C"/>
    <w:rsid w:val="00C00D03"/>
    <w:rsid w:val="00C01DFC"/>
    <w:rsid w:val="00C0282B"/>
    <w:rsid w:val="00C05CE6"/>
    <w:rsid w:val="00C05E7B"/>
    <w:rsid w:val="00C0621A"/>
    <w:rsid w:val="00C067E0"/>
    <w:rsid w:val="00C07605"/>
    <w:rsid w:val="00C1025D"/>
    <w:rsid w:val="00C12D93"/>
    <w:rsid w:val="00C12EE2"/>
    <w:rsid w:val="00C1336A"/>
    <w:rsid w:val="00C139DE"/>
    <w:rsid w:val="00C13B55"/>
    <w:rsid w:val="00C17CFB"/>
    <w:rsid w:val="00C20D44"/>
    <w:rsid w:val="00C22B54"/>
    <w:rsid w:val="00C23520"/>
    <w:rsid w:val="00C238CA"/>
    <w:rsid w:val="00C24E0D"/>
    <w:rsid w:val="00C25082"/>
    <w:rsid w:val="00C265D4"/>
    <w:rsid w:val="00C275FC"/>
    <w:rsid w:val="00C30D84"/>
    <w:rsid w:val="00C317A7"/>
    <w:rsid w:val="00C32E69"/>
    <w:rsid w:val="00C33AEC"/>
    <w:rsid w:val="00C3742C"/>
    <w:rsid w:val="00C410D2"/>
    <w:rsid w:val="00C42A78"/>
    <w:rsid w:val="00C437D6"/>
    <w:rsid w:val="00C4601D"/>
    <w:rsid w:val="00C51927"/>
    <w:rsid w:val="00C51CCA"/>
    <w:rsid w:val="00C524F4"/>
    <w:rsid w:val="00C533F6"/>
    <w:rsid w:val="00C54473"/>
    <w:rsid w:val="00C545E9"/>
    <w:rsid w:val="00C55D94"/>
    <w:rsid w:val="00C55FC2"/>
    <w:rsid w:val="00C57582"/>
    <w:rsid w:val="00C57C81"/>
    <w:rsid w:val="00C608EF"/>
    <w:rsid w:val="00C612BB"/>
    <w:rsid w:val="00C612BF"/>
    <w:rsid w:val="00C61302"/>
    <w:rsid w:val="00C6207E"/>
    <w:rsid w:val="00C62BF2"/>
    <w:rsid w:val="00C637EF"/>
    <w:rsid w:val="00C64FAE"/>
    <w:rsid w:val="00C66344"/>
    <w:rsid w:val="00C674F7"/>
    <w:rsid w:val="00C706C4"/>
    <w:rsid w:val="00C731E1"/>
    <w:rsid w:val="00C73686"/>
    <w:rsid w:val="00C73C32"/>
    <w:rsid w:val="00C745D7"/>
    <w:rsid w:val="00C75CB5"/>
    <w:rsid w:val="00C7702A"/>
    <w:rsid w:val="00C773C8"/>
    <w:rsid w:val="00C80A25"/>
    <w:rsid w:val="00C82930"/>
    <w:rsid w:val="00C8531E"/>
    <w:rsid w:val="00C85B6C"/>
    <w:rsid w:val="00C85BEA"/>
    <w:rsid w:val="00C86B6A"/>
    <w:rsid w:val="00C86BFE"/>
    <w:rsid w:val="00C86D8A"/>
    <w:rsid w:val="00C900B0"/>
    <w:rsid w:val="00C9080B"/>
    <w:rsid w:val="00C90EF9"/>
    <w:rsid w:val="00C920CA"/>
    <w:rsid w:val="00C92931"/>
    <w:rsid w:val="00C92949"/>
    <w:rsid w:val="00C9312F"/>
    <w:rsid w:val="00C9359C"/>
    <w:rsid w:val="00C951B9"/>
    <w:rsid w:val="00C95ED6"/>
    <w:rsid w:val="00C95F91"/>
    <w:rsid w:val="00CA0EE8"/>
    <w:rsid w:val="00CA1FB0"/>
    <w:rsid w:val="00CA24D1"/>
    <w:rsid w:val="00CA39CC"/>
    <w:rsid w:val="00CA4631"/>
    <w:rsid w:val="00CA4743"/>
    <w:rsid w:val="00CA735E"/>
    <w:rsid w:val="00CB138F"/>
    <w:rsid w:val="00CB13E0"/>
    <w:rsid w:val="00CB1B5F"/>
    <w:rsid w:val="00CB76B8"/>
    <w:rsid w:val="00CB7703"/>
    <w:rsid w:val="00CB77EE"/>
    <w:rsid w:val="00CB783B"/>
    <w:rsid w:val="00CC02F0"/>
    <w:rsid w:val="00CC26F5"/>
    <w:rsid w:val="00CC2803"/>
    <w:rsid w:val="00CC295E"/>
    <w:rsid w:val="00CC29C8"/>
    <w:rsid w:val="00CC2BEB"/>
    <w:rsid w:val="00CC4932"/>
    <w:rsid w:val="00CC707F"/>
    <w:rsid w:val="00CC79CD"/>
    <w:rsid w:val="00CD1086"/>
    <w:rsid w:val="00CD1841"/>
    <w:rsid w:val="00CD1BF1"/>
    <w:rsid w:val="00CD21E7"/>
    <w:rsid w:val="00CD22B1"/>
    <w:rsid w:val="00CD27CD"/>
    <w:rsid w:val="00CD2C4F"/>
    <w:rsid w:val="00CD4BF8"/>
    <w:rsid w:val="00CD6343"/>
    <w:rsid w:val="00CD68DD"/>
    <w:rsid w:val="00CD7B8B"/>
    <w:rsid w:val="00CE1D23"/>
    <w:rsid w:val="00CE29F2"/>
    <w:rsid w:val="00CE2B04"/>
    <w:rsid w:val="00CE5298"/>
    <w:rsid w:val="00CE55CC"/>
    <w:rsid w:val="00CE58EB"/>
    <w:rsid w:val="00CE6EAE"/>
    <w:rsid w:val="00CF115C"/>
    <w:rsid w:val="00CF35B2"/>
    <w:rsid w:val="00CF38D4"/>
    <w:rsid w:val="00CF3E96"/>
    <w:rsid w:val="00CF6394"/>
    <w:rsid w:val="00D00D3D"/>
    <w:rsid w:val="00D00DCD"/>
    <w:rsid w:val="00D05197"/>
    <w:rsid w:val="00D05B9B"/>
    <w:rsid w:val="00D11565"/>
    <w:rsid w:val="00D12B28"/>
    <w:rsid w:val="00D14BF7"/>
    <w:rsid w:val="00D15970"/>
    <w:rsid w:val="00D159F8"/>
    <w:rsid w:val="00D17CFB"/>
    <w:rsid w:val="00D226B9"/>
    <w:rsid w:val="00D22C47"/>
    <w:rsid w:val="00D23437"/>
    <w:rsid w:val="00D2459A"/>
    <w:rsid w:val="00D248D9"/>
    <w:rsid w:val="00D24CD7"/>
    <w:rsid w:val="00D26552"/>
    <w:rsid w:val="00D27131"/>
    <w:rsid w:val="00D3053B"/>
    <w:rsid w:val="00D30BA4"/>
    <w:rsid w:val="00D31BBD"/>
    <w:rsid w:val="00D353D1"/>
    <w:rsid w:val="00D367FC"/>
    <w:rsid w:val="00D36DC8"/>
    <w:rsid w:val="00D375F4"/>
    <w:rsid w:val="00D404B1"/>
    <w:rsid w:val="00D43014"/>
    <w:rsid w:val="00D43988"/>
    <w:rsid w:val="00D43B85"/>
    <w:rsid w:val="00D46AD6"/>
    <w:rsid w:val="00D4707E"/>
    <w:rsid w:val="00D47867"/>
    <w:rsid w:val="00D47EAF"/>
    <w:rsid w:val="00D52D7F"/>
    <w:rsid w:val="00D53034"/>
    <w:rsid w:val="00D541A8"/>
    <w:rsid w:val="00D55475"/>
    <w:rsid w:val="00D55A05"/>
    <w:rsid w:val="00D55BFA"/>
    <w:rsid w:val="00D562A8"/>
    <w:rsid w:val="00D579DD"/>
    <w:rsid w:val="00D61A9F"/>
    <w:rsid w:val="00D61EDD"/>
    <w:rsid w:val="00D628AF"/>
    <w:rsid w:val="00D6294B"/>
    <w:rsid w:val="00D654D2"/>
    <w:rsid w:val="00D65B72"/>
    <w:rsid w:val="00D66697"/>
    <w:rsid w:val="00D67ACA"/>
    <w:rsid w:val="00D67F69"/>
    <w:rsid w:val="00D70E04"/>
    <w:rsid w:val="00D71103"/>
    <w:rsid w:val="00D72FAD"/>
    <w:rsid w:val="00D73AF1"/>
    <w:rsid w:val="00D74504"/>
    <w:rsid w:val="00D74639"/>
    <w:rsid w:val="00D77397"/>
    <w:rsid w:val="00D809B7"/>
    <w:rsid w:val="00D80C0C"/>
    <w:rsid w:val="00D80E6B"/>
    <w:rsid w:val="00D813B0"/>
    <w:rsid w:val="00D81A57"/>
    <w:rsid w:val="00D820D8"/>
    <w:rsid w:val="00D82A4C"/>
    <w:rsid w:val="00D835B6"/>
    <w:rsid w:val="00D83EC8"/>
    <w:rsid w:val="00D85683"/>
    <w:rsid w:val="00D8589F"/>
    <w:rsid w:val="00D8772B"/>
    <w:rsid w:val="00D90494"/>
    <w:rsid w:val="00D90F8A"/>
    <w:rsid w:val="00D91071"/>
    <w:rsid w:val="00D91621"/>
    <w:rsid w:val="00D946F5"/>
    <w:rsid w:val="00D94A0C"/>
    <w:rsid w:val="00D9553A"/>
    <w:rsid w:val="00D95C5C"/>
    <w:rsid w:val="00D9740F"/>
    <w:rsid w:val="00D97B37"/>
    <w:rsid w:val="00D97BA1"/>
    <w:rsid w:val="00DA09FC"/>
    <w:rsid w:val="00DA1220"/>
    <w:rsid w:val="00DA4FCE"/>
    <w:rsid w:val="00DA50BA"/>
    <w:rsid w:val="00DA50F2"/>
    <w:rsid w:val="00DA59D2"/>
    <w:rsid w:val="00DB2A16"/>
    <w:rsid w:val="00DB2B7E"/>
    <w:rsid w:val="00DB5719"/>
    <w:rsid w:val="00DB624E"/>
    <w:rsid w:val="00DB79D0"/>
    <w:rsid w:val="00DC02EA"/>
    <w:rsid w:val="00DC1CA6"/>
    <w:rsid w:val="00DC20CF"/>
    <w:rsid w:val="00DC22DF"/>
    <w:rsid w:val="00DC7E69"/>
    <w:rsid w:val="00DD2033"/>
    <w:rsid w:val="00DD25EC"/>
    <w:rsid w:val="00DD292F"/>
    <w:rsid w:val="00DD31E2"/>
    <w:rsid w:val="00DD3316"/>
    <w:rsid w:val="00DD5E57"/>
    <w:rsid w:val="00DE3385"/>
    <w:rsid w:val="00DE4007"/>
    <w:rsid w:val="00DE4638"/>
    <w:rsid w:val="00DE4651"/>
    <w:rsid w:val="00DE6E21"/>
    <w:rsid w:val="00DE7265"/>
    <w:rsid w:val="00DE7525"/>
    <w:rsid w:val="00DF041A"/>
    <w:rsid w:val="00DF0AC2"/>
    <w:rsid w:val="00DF1FF2"/>
    <w:rsid w:val="00DF2353"/>
    <w:rsid w:val="00DF2654"/>
    <w:rsid w:val="00DF3AB2"/>
    <w:rsid w:val="00DF46C0"/>
    <w:rsid w:val="00DF6409"/>
    <w:rsid w:val="00DF6BF0"/>
    <w:rsid w:val="00E00898"/>
    <w:rsid w:val="00E00F99"/>
    <w:rsid w:val="00E02C35"/>
    <w:rsid w:val="00E0628E"/>
    <w:rsid w:val="00E06460"/>
    <w:rsid w:val="00E0650E"/>
    <w:rsid w:val="00E073CF"/>
    <w:rsid w:val="00E16337"/>
    <w:rsid w:val="00E176A4"/>
    <w:rsid w:val="00E17F53"/>
    <w:rsid w:val="00E21058"/>
    <w:rsid w:val="00E228D0"/>
    <w:rsid w:val="00E25124"/>
    <w:rsid w:val="00E25148"/>
    <w:rsid w:val="00E2559F"/>
    <w:rsid w:val="00E261F8"/>
    <w:rsid w:val="00E26E25"/>
    <w:rsid w:val="00E30772"/>
    <w:rsid w:val="00E324AD"/>
    <w:rsid w:val="00E330BB"/>
    <w:rsid w:val="00E3342D"/>
    <w:rsid w:val="00E33683"/>
    <w:rsid w:val="00E33734"/>
    <w:rsid w:val="00E3525A"/>
    <w:rsid w:val="00E41580"/>
    <w:rsid w:val="00E44175"/>
    <w:rsid w:val="00E44CD4"/>
    <w:rsid w:val="00E45B91"/>
    <w:rsid w:val="00E46C57"/>
    <w:rsid w:val="00E5176B"/>
    <w:rsid w:val="00E528BA"/>
    <w:rsid w:val="00E534DF"/>
    <w:rsid w:val="00E53F39"/>
    <w:rsid w:val="00E558E6"/>
    <w:rsid w:val="00E565C2"/>
    <w:rsid w:val="00E60269"/>
    <w:rsid w:val="00E60C32"/>
    <w:rsid w:val="00E6171A"/>
    <w:rsid w:val="00E627F6"/>
    <w:rsid w:val="00E63F1D"/>
    <w:rsid w:val="00E646D5"/>
    <w:rsid w:val="00E734C7"/>
    <w:rsid w:val="00E75A9D"/>
    <w:rsid w:val="00E808D8"/>
    <w:rsid w:val="00E81B8E"/>
    <w:rsid w:val="00E81ED7"/>
    <w:rsid w:val="00E83005"/>
    <w:rsid w:val="00E8377F"/>
    <w:rsid w:val="00E84D2C"/>
    <w:rsid w:val="00E84FB0"/>
    <w:rsid w:val="00E86533"/>
    <w:rsid w:val="00E86F2A"/>
    <w:rsid w:val="00E87A04"/>
    <w:rsid w:val="00E87ED4"/>
    <w:rsid w:val="00E9222C"/>
    <w:rsid w:val="00E9558B"/>
    <w:rsid w:val="00E95D1B"/>
    <w:rsid w:val="00E966CE"/>
    <w:rsid w:val="00EA15A4"/>
    <w:rsid w:val="00EA2EFA"/>
    <w:rsid w:val="00EA39FB"/>
    <w:rsid w:val="00EA3CDD"/>
    <w:rsid w:val="00EA50D6"/>
    <w:rsid w:val="00EA5243"/>
    <w:rsid w:val="00EA5714"/>
    <w:rsid w:val="00EA67A8"/>
    <w:rsid w:val="00EA6ACF"/>
    <w:rsid w:val="00EA7662"/>
    <w:rsid w:val="00EA7CC3"/>
    <w:rsid w:val="00EB016F"/>
    <w:rsid w:val="00EB09C0"/>
    <w:rsid w:val="00EB2273"/>
    <w:rsid w:val="00EB294B"/>
    <w:rsid w:val="00EB33F4"/>
    <w:rsid w:val="00EB3B9C"/>
    <w:rsid w:val="00EB4C04"/>
    <w:rsid w:val="00EB54F7"/>
    <w:rsid w:val="00EB66A4"/>
    <w:rsid w:val="00EB7844"/>
    <w:rsid w:val="00EC1406"/>
    <w:rsid w:val="00EC2677"/>
    <w:rsid w:val="00EC28E4"/>
    <w:rsid w:val="00EC2A60"/>
    <w:rsid w:val="00EC362F"/>
    <w:rsid w:val="00EC36F2"/>
    <w:rsid w:val="00EC4F33"/>
    <w:rsid w:val="00ED3980"/>
    <w:rsid w:val="00ED43A6"/>
    <w:rsid w:val="00ED61FE"/>
    <w:rsid w:val="00ED7371"/>
    <w:rsid w:val="00ED7619"/>
    <w:rsid w:val="00EE2F9A"/>
    <w:rsid w:val="00EE4C7E"/>
    <w:rsid w:val="00EE542E"/>
    <w:rsid w:val="00EE556D"/>
    <w:rsid w:val="00EE6184"/>
    <w:rsid w:val="00EE6FFD"/>
    <w:rsid w:val="00EE7A2C"/>
    <w:rsid w:val="00EF05D1"/>
    <w:rsid w:val="00EF2240"/>
    <w:rsid w:val="00EF2426"/>
    <w:rsid w:val="00EF5A6F"/>
    <w:rsid w:val="00EF6556"/>
    <w:rsid w:val="00EF7E1A"/>
    <w:rsid w:val="00F0319D"/>
    <w:rsid w:val="00F03A40"/>
    <w:rsid w:val="00F123BD"/>
    <w:rsid w:val="00F12D86"/>
    <w:rsid w:val="00F13B05"/>
    <w:rsid w:val="00F15AF2"/>
    <w:rsid w:val="00F17135"/>
    <w:rsid w:val="00F21290"/>
    <w:rsid w:val="00F258B9"/>
    <w:rsid w:val="00F27C90"/>
    <w:rsid w:val="00F307CC"/>
    <w:rsid w:val="00F30BBA"/>
    <w:rsid w:val="00F30CA4"/>
    <w:rsid w:val="00F31071"/>
    <w:rsid w:val="00F31630"/>
    <w:rsid w:val="00F34C99"/>
    <w:rsid w:val="00F34F7D"/>
    <w:rsid w:val="00F35FEF"/>
    <w:rsid w:val="00F405F3"/>
    <w:rsid w:val="00F439BB"/>
    <w:rsid w:val="00F449D7"/>
    <w:rsid w:val="00F461AE"/>
    <w:rsid w:val="00F467F9"/>
    <w:rsid w:val="00F515B6"/>
    <w:rsid w:val="00F51B88"/>
    <w:rsid w:val="00F534D3"/>
    <w:rsid w:val="00F5421D"/>
    <w:rsid w:val="00F576C0"/>
    <w:rsid w:val="00F57CEB"/>
    <w:rsid w:val="00F60DF3"/>
    <w:rsid w:val="00F62057"/>
    <w:rsid w:val="00F62B72"/>
    <w:rsid w:val="00F67816"/>
    <w:rsid w:val="00F67C01"/>
    <w:rsid w:val="00F7114B"/>
    <w:rsid w:val="00F71C35"/>
    <w:rsid w:val="00F721EF"/>
    <w:rsid w:val="00F72AC2"/>
    <w:rsid w:val="00F74168"/>
    <w:rsid w:val="00F742F1"/>
    <w:rsid w:val="00F74C7D"/>
    <w:rsid w:val="00F74F97"/>
    <w:rsid w:val="00F76037"/>
    <w:rsid w:val="00F77724"/>
    <w:rsid w:val="00F77839"/>
    <w:rsid w:val="00F8156A"/>
    <w:rsid w:val="00F81A86"/>
    <w:rsid w:val="00F82080"/>
    <w:rsid w:val="00F8584F"/>
    <w:rsid w:val="00F86FD8"/>
    <w:rsid w:val="00F91164"/>
    <w:rsid w:val="00F92B0F"/>
    <w:rsid w:val="00F930CC"/>
    <w:rsid w:val="00F9428F"/>
    <w:rsid w:val="00F95314"/>
    <w:rsid w:val="00F96D24"/>
    <w:rsid w:val="00F97092"/>
    <w:rsid w:val="00FA2D43"/>
    <w:rsid w:val="00FA5580"/>
    <w:rsid w:val="00FA69C3"/>
    <w:rsid w:val="00FA6AAC"/>
    <w:rsid w:val="00FA6CBC"/>
    <w:rsid w:val="00FA6D48"/>
    <w:rsid w:val="00FA6D89"/>
    <w:rsid w:val="00FA7EC0"/>
    <w:rsid w:val="00FB127D"/>
    <w:rsid w:val="00FB30A2"/>
    <w:rsid w:val="00FB59DF"/>
    <w:rsid w:val="00FB6684"/>
    <w:rsid w:val="00FB7C10"/>
    <w:rsid w:val="00FC072E"/>
    <w:rsid w:val="00FC2999"/>
    <w:rsid w:val="00FC3B4E"/>
    <w:rsid w:val="00FC44A4"/>
    <w:rsid w:val="00FC551E"/>
    <w:rsid w:val="00FC5790"/>
    <w:rsid w:val="00FC583C"/>
    <w:rsid w:val="00FD039F"/>
    <w:rsid w:val="00FD17F8"/>
    <w:rsid w:val="00FD194F"/>
    <w:rsid w:val="00FD1995"/>
    <w:rsid w:val="00FD25E1"/>
    <w:rsid w:val="00FD5E1C"/>
    <w:rsid w:val="00FD6699"/>
    <w:rsid w:val="00FD7F6B"/>
    <w:rsid w:val="00FE1880"/>
    <w:rsid w:val="00FE3F8E"/>
    <w:rsid w:val="00FE47ED"/>
    <w:rsid w:val="00FE61DC"/>
    <w:rsid w:val="00FE67D0"/>
    <w:rsid w:val="00FE753C"/>
    <w:rsid w:val="00FF081E"/>
    <w:rsid w:val="00FF145C"/>
    <w:rsid w:val="00FF20D7"/>
    <w:rsid w:val="00FF26EE"/>
    <w:rsid w:val="00FF44E2"/>
    <w:rsid w:val="00FF47A3"/>
    <w:rsid w:val="400D52E7"/>
    <w:rsid w:val="45365A48"/>
    <w:rsid w:val="4D8D02A5"/>
    <w:rsid w:val="55BE14A5"/>
    <w:rsid w:val="5D5B7C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qFormat="1" w:unhideWhenUsed="0" w:uiPriority="0" w:semiHidden="0" w:name="index 2"/>
    <w:lsdException w:uiPriority="0" w:name="index 3"/>
    <w:lsdException w:uiPriority="0" w:name="index 4"/>
    <w:lsdException w:uiPriority="0" w:name="index 5"/>
    <w:lsdException w:qFormat="1" w:unhideWhenUsed="0" w:uiPriority="0" w:semiHidden="0" w:name="index 6"/>
    <w:lsdException w:uiPriority="0" w:name="index 7"/>
    <w:lsdException w:uiPriority="0" w:name="index 8"/>
    <w:lsdException w:uiPriority="0" w:name="index 9"/>
    <w:lsdException w:qFormat="1" w:unhideWhenUsed="0" w:uiPriority="0" w:name="toc 1"/>
    <w:lsdException w:qFormat="1" w:unhideWhenUsed="0" w:uiPriority="0" w:name="toc 2"/>
    <w:lsdException w:qFormat="1" w:unhideWhenUsed="0" w:uiPriority="39"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qFormat="1" w:unhideWhenUsed="0" w:uiPriority="0" w:semiHidden="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qFormat="1" w:unhideWhenUsed="0" w:uiPriority="0" w:semiHidden="0" w:name="List"/>
    <w:lsdException w:qFormat="1" w:unhideWhenUsed="0" w:uiPriority="0" w:semiHidden="0" w:name="List Bullet"/>
    <w:lsdException w:unhideWhenUsed="0" w:uiPriority="0" w:semiHidden="0" w:name="List Number"/>
    <w:lsdException w:qFormat="1" w:unhideWhenUsed="0" w:uiPriority="0" w:semiHidden="0" w:name="List 2"/>
    <w:lsdException w:qFormat="1" w:unhideWhenUsed="0" w:uiPriority="0" w:semiHidden="0" w:name="List 3"/>
    <w:lsdException w:unhideWhenUsed="0" w:uiPriority="0" w:semiHidden="0" w:name="List 4"/>
    <w:lsdException w:unhideWhenUsed="0" w:uiPriority="0" w:semiHidden="0" w:name="List 5"/>
    <w:lsdException w:qFormat="1" w:unhideWhenUsed="0" w:uiPriority="0" w:semiHidden="0" w:name="List Bullet 2"/>
    <w:lsdException w:qFormat="1" w:unhideWhenUsed="0" w:uiPriority="0" w:semiHidden="0" w:name="List Bullet 3"/>
    <w:lsdException w:qFormat="1" w:unhideWhenUsed="0" w:uiPriority="0" w:semiHidden="0" w:name="List Bullet 4"/>
    <w:lsdException w:qFormat="1" w:unhideWhenUsed="0" w:uiPriority="0" w:semiHidden="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iPriority="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qFormat="1" w:unhideWhenUsed="0" w:uiPriority="0" w:semiHidden="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qFormat="1" w:unhideWhenUsed="0" w:uiPriority="0" w:semiHidden="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qFormat="1"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3"/>
    <w:next w:val="1"/>
    <w:link w:val="68"/>
    <w:qFormat/>
    <w:uiPriority w:val="0"/>
    <w:pPr>
      <w:spacing w:before="340" w:after="330" w:line="360" w:lineRule="auto"/>
      <w:jc w:val="center"/>
      <w:outlineLvl w:val="0"/>
    </w:pPr>
    <w:rPr>
      <w:rFonts w:eastAsia="黑体"/>
      <w:bCs/>
      <w:kern w:val="44"/>
      <w:sz w:val="44"/>
      <w:szCs w:val="44"/>
    </w:rPr>
  </w:style>
  <w:style w:type="paragraph" w:styleId="5">
    <w:name w:val="heading 2"/>
    <w:basedOn w:val="3"/>
    <w:next w:val="4"/>
    <w:link w:val="88"/>
    <w:qFormat/>
    <w:uiPriority w:val="0"/>
    <w:pPr>
      <w:adjustRightInd w:val="0"/>
      <w:jc w:val="center"/>
      <w:textAlignment w:val="baseline"/>
      <w:outlineLvl w:val="1"/>
    </w:pPr>
    <w:rPr>
      <w:bCs/>
      <w:kern w:val="0"/>
      <w:sz w:val="24"/>
      <w:szCs w:val="20"/>
    </w:rPr>
  </w:style>
  <w:style w:type="paragraph" w:styleId="3">
    <w:name w:val="heading 3"/>
    <w:basedOn w:val="4"/>
    <w:next w:val="1"/>
    <w:link w:val="67"/>
    <w:qFormat/>
    <w:uiPriority w:val="0"/>
    <w:pPr>
      <w:spacing w:before="260" w:after="260" w:line="240" w:lineRule="auto"/>
      <w:outlineLvl w:val="2"/>
    </w:pPr>
    <w:rPr>
      <w:rFonts w:ascii="宋体" w:hAnsi="宋体" w:eastAsia="宋体"/>
      <w:bCs w:val="0"/>
      <w:szCs w:val="32"/>
    </w:rPr>
  </w:style>
  <w:style w:type="paragraph" w:styleId="4">
    <w:name w:val="heading 4"/>
    <w:basedOn w:val="1"/>
    <w:next w:val="1"/>
    <w:link w:val="65"/>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7"/>
    <w:qFormat/>
    <w:uiPriority w:val="0"/>
    <w:pPr>
      <w:keepNext/>
      <w:keepLines/>
      <w:spacing w:before="280" w:after="290" w:line="376" w:lineRule="auto"/>
      <w:outlineLvl w:val="4"/>
    </w:pPr>
    <w:rPr>
      <w:b/>
      <w:sz w:val="28"/>
      <w:szCs w:val="20"/>
    </w:rPr>
  </w:style>
  <w:style w:type="paragraph" w:styleId="8">
    <w:name w:val="heading 6"/>
    <w:basedOn w:val="1"/>
    <w:next w:val="7"/>
    <w:qFormat/>
    <w:uiPriority w:val="0"/>
    <w:pPr>
      <w:keepNext/>
      <w:keepLines/>
      <w:spacing w:before="240" w:after="64" w:line="320" w:lineRule="auto"/>
      <w:outlineLvl w:val="5"/>
    </w:pPr>
    <w:rPr>
      <w:rFonts w:ascii="Arial" w:hAnsi="Arial" w:eastAsia="黑体"/>
      <w:b/>
      <w:sz w:val="24"/>
      <w:szCs w:val="20"/>
    </w:rPr>
  </w:style>
  <w:style w:type="paragraph" w:styleId="9">
    <w:name w:val="heading 7"/>
    <w:basedOn w:val="1"/>
    <w:next w:val="7"/>
    <w:qFormat/>
    <w:uiPriority w:val="0"/>
    <w:pPr>
      <w:keepNext/>
      <w:keepLines/>
      <w:spacing w:before="240" w:after="64" w:line="320" w:lineRule="auto"/>
      <w:outlineLvl w:val="6"/>
    </w:pPr>
    <w:rPr>
      <w:b/>
      <w:sz w:val="24"/>
      <w:szCs w:val="20"/>
    </w:rPr>
  </w:style>
  <w:style w:type="paragraph" w:styleId="10">
    <w:name w:val="heading 8"/>
    <w:basedOn w:val="1"/>
    <w:next w:val="7"/>
    <w:qFormat/>
    <w:uiPriority w:val="0"/>
    <w:pPr>
      <w:keepNext/>
      <w:keepLines/>
      <w:spacing w:before="240" w:after="64" w:line="320" w:lineRule="auto"/>
      <w:outlineLvl w:val="7"/>
    </w:pPr>
    <w:rPr>
      <w:rFonts w:ascii="Arial" w:hAnsi="Arial" w:eastAsia="黑体"/>
      <w:sz w:val="24"/>
      <w:szCs w:val="20"/>
    </w:rPr>
  </w:style>
  <w:style w:type="paragraph" w:styleId="11">
    <w:name w:val="heading 9"/>
    <w:basedOn w:val="1"/>
    <w:next w:val="7"/>
    <w:qFormat/>
    <w:uiPriority w:val="0"/>
    <w:pPr>
      <w:keepNext/>
      <w:keepLines/>
      <w:spacing w:before="240" w:after="64" w:line="320" w:lineRule="auto"/>
      <w:outlineLvl w:val="8"/>
    </w:pPr>
    <w:rPr>
      <w:rFonts w:ascii="Arial" w:hAnsi="Arial" w:eastAsia="黑体"/>
      <w:szCs w:val="20"/>
    </w:rPr>
  </w:style>
  <w:style w:type="character" w:default="1" w:styleId="58">
    <w:name w:val="Default Paragraph Font"/>
    <w:semiHidden/>
    <w:unhideWhenUsed/>
    <w:qFormat/>
    <w:uiPriority w:val="1"/>
  </w:style>
  <w:style w:type="table" w:default="1" w:styleId="54">
    <w:name w:val="Normal Table"/>
    <w:semiHidden/>
    <w:unhideWhenUsed/>
    <w:qFormat/>
    <w:uiPriority w:val="99"/>
    <w:tblPr>
      <w:tblCellMar>
        <w:top w:w="0" w:type="dxa"/>
        <w:left w:w="108" w:type="dxa"/>
        <w:bottom w:w="0" w:type="dxa"/>
        <w:right w:w="108" w:type="dxa"/>
      </w:tblCellMar>
    </w:tblPr>
  </w:style>
  <w:style w:type="paragraph" w:styleId="7">
    <w:name w:val="Normal Indent"/>
    <w:basedOn w:val="1"/>
    <w:link w:val="69"/>
    <w:qFormat/>
    <w:uiPriority w:val="0"/>
    <w:pPr>
      <w:ind w:firstLine="420"/>
    </w:pPr>
    <w:rPr>
      <w:szCs w:val="20"/>
    </w:rPr>
  </w:style>
  <w:style w:type="paragraph" w:styleId="12">
    <w:name w:val="List 3"/>
    <w:basedOn w:val="1"/>
    <w:qFormat/>
    <w:uiPriority w:val="0"/>
    <w:pPr>
      <w:ind w:left="100" w:leftChars="400" w:hanging="200" w:hangingChars="200"/>
    </w:pPr>
  </w:style>
  <w:style w:type="paragraph" w:styleId="13">
    <w:name w:val="toc 7"/>
    <w:basedOn w:val="1"/>
    <w:next w:val="1"/>
    <w:semiHidden/>
    <w:qFormat/>
    <w:uiPriority w:val="0"/>
    <w:pPr>
      <w:ind w:left="1260"/>
      <w:jc w:val="left"/>
    </w:pPr>
    <w:rPr>
      <w:szCs w:val="21"/>
    </w:rPr>
  </w:style>
  <w:style w:type="paragraph" w:styleId="14">
    <w:name w:val="List Bullet 4"/>
    <w:basedOn w:val="1"/>
    <w:qFormat/>
    <w:uiPriority w:val="0"/>
    <w:pPr>
      <w:tabs>
        <w:tab w:val="left" w:pos="1620"/>
      </w:tabs>
      <w:ind w:left="1620" w:leftChars="600" w:hanging="360" w:hangingChars="200"/>
    </w:pPr>
  </w:style>
  <w:style w:type="paragraph" w:styleId="15">
    <w:name w:val="caption"/>
    <w:basedOn w:val="1"/>
    <w:next w:val="1"/>
    <w:qFormat/>
    <w:uiPriority w:val="0"/>
    <w:pPr>
      <w:adjustRightInd w:val="0"/>
      <w:spacing w:before="152" w:after="160" w:line="312" w:lineRule="atLeast"/>
      <w:textAlignment w:val="baseline"/>
    </w:pPr>
    <w:rPr>
      <w:rFonts w:ascii="Arial" w:hAnsi="Arial" w:eastAsia="黑体"/>
      <w:b/>
      <w:kern w:val="0"/>
      <w:szCs w:val="20"/>
    </w:rPr>
  </w:style>
  <w:style w:type="paragraph" w:styleId="16">
    <w:name w:val="List Bullet"/>
    <w:basedOn w:val="1"/>
    <w:qFormat/>
    <w:uiPriority w:val="0"/>
    <w:pPr>
      <w:numPr>
        <w:ilvl w:val="0"/>
        <w:numId w:val="1"/>
      </w:numPr>
    </w:pPr>
    <w:rPr>
      <w:szCs w:val="20"/>
    </w:rPr>
  </w:style>
  <w:style w:type="paragraph" w:styleId="17">
    <w:name w:val="Document Map"/>
    <w:basedOn w:val="1"/>
    <w:link w:val="177"/>
    <w:semiHidden/>
    <w:qFormat/>
    <w:uiPriority w:val="0"/>
    <w:pPr>
      <w:shd w:val="clear" w:color="auto" w:fill="000080"/>
    </w:pPr>
  </w:style>
  <w:style w:type="paragraph" w:styleId="18">
    <w:name w:val="annotation text"/>
    <w:basedOn w:val="1"/>
    <w:link w:val="166"/>
    <w:qFormat/>
    <w:uiPriority w:val="0"/>
    <w:pPr>
      <w:autoSpaceDE w:val="0"/>
      <w:autoSpaceDN w:val="0"/>
      <w:adjustRightInd w:val="0"/>
      <w:jc w:val="left"/>
      <w:textAlignment w:val="baseline"/>
    </w:pPr>
    <w:rPr>
      <w:rFonts w:ascii="宋体"/>
      <w:kern w:val="0"/>
      <w:sz w:val="34"/>
      <w:szCs w:val="20"/>
    </w:rPr>
  </w:style>
  <w:style w:type="paragraph" w:styleId="19">
    <w:name w:val="index 6"/>
    <w:basedOn w:val="1"/>
    <w:next w:val="1"/>
    <w:qFormat/>
    <w:uiPriority w:val="0"/>
    <w:pPr>
      <w:ind w:left="1000" w:leftChars="1000"/>
    </w:pPr>
  </w:style>
  <w:style w:type="paragraph" w:styleId="20">
    <w:name w:val="Body Text 3"/>
    <w:basedOn w:val="1"/>
    <w:qFormat/>
    <w:uiPriority w:val="0"/>
    <w:pPr>
      <w:spacing w:after="120"/>
    </w:pPr>
    <w:rPr>
      <w:sz w:val="16"/>
      <w:szCs w:val="16"/>
    </w:rPr>
  </w:style>
  <w:style w:type="paragraph" w:styleId="21">
    <w:name w:val="List Bullet 3"/>
    <w:basedOn w:val="1"/>
    <w:qFormat/>
    <w:uiPriority w:val="0"/>
    <w:pPr>
      <w:tabs>
        <w:tab w:val="left" w:pos="1200"/>
      </w:tabs>
      <w:ind w:left="1200" w:leftChars="400" w:hanging="360" w:hangingChars="200"/>
    </w:pPr>
  </w:style>
  <w:style w:type="paragraph" w:styleId="22">
    <w:name w:val="Body Text"/>
    <w:basedOn w:val="1"/>
    <w:link w:val="104"/>
    <w:qFormat/>
    <w:uiPriority w:val="0"/>
    <w:pPr>
      <w:spacing w:line="360" w:lineRule="auto"/>
    </w:pPr>
    <w:rPr>
      <w:b/>
      <w:bCs/>
      <w:sz w:val="24"/>
    </w:rPr>
  </w:style>
  <w:style w:type="paragraph" w:styleId="23">
    <w:name w:val="Body Text Indent"/>
    <w:basedOn w:val="1"/>
    <w:link w:val="96"/>
    <w:qFormat/>
    <w:uiPriority w:val="0"/>
    <w:pPr>
      <w:spacing w:line="360" w:lineRule="auto"/>
      <w:ind w:firstLine="420" w:firstLineChars="200"/>
    </w:pPr>
  </w:style>
  <w:style w:type="paragraph" w:styleId="24">
    <w:name w:val="List 2"/>
    <w:basedOn w:val="25"/>
    <w:qFormat/>
    <w:uiPriority w:val="0"/>
    <w:pPr>
      <w:ind w:left="1080"/>
    </w:pPr>
  </w:style>
  <w:style w:type="paragraph" w:styleId="25">
    <w:name w:val="List"/>
    <w:basedOn w:val="22"/>
    <w:qFormat/>
    <w:uiPriority w:val="0"/>
    <w:pPr>
      <w:spacing w:after="220" w:line="220" w:lineRule="atLeast"/>
      <w:ind w:left="720" w:hanging="360"/>
    </w:pPr>
    <w:rPr>
      <w:b w:val="0"/>
      <w:bCs w:val="0"/>
      <w:sz w:val="21"/>
      <w:szCs w:val="20"/>
    </w:rPr>
  </w:style>
  <w:style w:type="paragraph" w:styleId="26">
    <w:name w:val="Block Text"/>
    <w:basedOn w:val="1"/>
    <w:qFormat/>
    <w:uiPriority w:val="0"/>
    <w:pPr>
      <w:spacing w:after="120"/>
      <w:ind w:left="1440" w:leftChars="700" w:right="1440" w:rightChars="700"/>
    </w:pPr>
  </w:style>
  <w:style w:type="paragraph" w:styleId="27">
    <w:name w:val="List Bullet 2"/>
    <w:basedOn w:val="1"/>
    <w:qFormat/>
    <w:uiPriority w:val="0"/>
    <w:pPr>
      <w:tabs>
        <w:tab w:val="left" w:pos="780"/>
      </w:tabs>
      <w:ind w:left="780" w:leftChars="200" w:hanging="360" w:hangingChars="200"/>
    </w:pPr>
  </w:style>
  <w:style w:type="paragraph" w:styleId="28">
    <w:name w:val="toc 5"/>
    <w:basedOn w:val="1"/>
    <w:next w:val="1"/>
    <w:semiHidden/>
    <w:qFormat/>
    <w:uiPriority w:val="0"/>
    <w:pPr>
      <w:ind w:left="840"/>
      <w:jc w:val="left"/>
    </w:pPr>
    <w:rPr>
      <w:szCs w:val="21"/>
    </w:rPr>
  </w:style>
  <w:style w:type="paragraph" w:styleId="29">
    <w:name w:val="toc 3"/>
    <w:basedOn w:val="1"/>
    <w:next w:val="1"/>
    <w:semiHidden/>
    <w:qFormat/>
    <w:uiPriority w:val="39"/>
    <w:pPr>
      <w:ind w:left="420"/>
      <w:jc w:val="left"/>
    </w:pPr>
    <w:rPr>
      <w:i/>
      <w:iCs/>
    </w:rPr>
  </w:style>
  <w:style w:type="paragraph" w:styleId="30">
    <w:name w:val="Plain Text"/>
    <w:basedOn w:val="1"/>
    <w:link w:val="83"/>
    <w:qFormat/>
    <w:uiPriority w:val="0"/>
    <w:rPr>
      <w:rFonts w:ascii="宋体" w:hAnsi="Courier New"/>
      <w:szCs w:val="20"/>
    </w:rPr>
  </w:style>
  <w:style w:type="paragraph" w:styleId="31">
    <w:name w:val="List Bullet 5"/>
    <w:basedOn w:val="1"/>
    <w:qFormat/>
    <w:uiPriority w:val="0"/>
    <w:pPr>
      <w:tabs>
        <w:tab w:val="left" w:pos="2040"/>
      </w:tabs>
      <w:ind w:left="2040" w:leftChars="800" w:hanging="360" w:hangingChars="200"/>
    </w:pPr>
  </w:style>
  <w:style w:type="paragraph" w:styleId="32">
    <w:name w:val="toc 8"/>
    <w:basedOn w:val="1"/>
    <w:next w:val="1"/>
    <w:semiHidden/>
    <w:qFormat/>
    <w:uiPriority w:val="0"/>
    <w:pPr>
      <w:ind w:left="1470"/>
      <w:jc w:val="left"/>
    </w:pPr>
    <w:rPr>
      <w:szCs w:val="21"/>
    </w:rPr>
  </w:style>
  <w:style w:type="paragraph" w:styleId="33">
    <w:name w:val="Date"/>
    <w:basedOn w:val="1"/>
    <w:next w:val="1"/>
    <w:qFormat/>
    <w:uiPriority w:val="0"/>
    <w:rPr>
      <w:rFonts w:ascii="宋体" w:hAnsi="Courier New"/>
      <w:sz w:val="32"/>
      <w:szCs w:val="20"/>
    </w:rPr>
  </w:style>
  <w:style w:type="paragraph" w:styleId="34">
    <w:name w:val="Body Text Indent 2"/>
    <w:basedOn w:val="1"/>
    <w:qFormat/>
    <w:uiPriority w:val="0"/>
    <w:pPr>
      <w:spacing w:beforeLines="50" w:afterLines="50" w:line="120" w:lineRule="auto"/>
      <w:ind w:firstLine="840" w:firstLineChars="400"/>
      <w:jc w:val="left"/>
    </w:pPr>
    <w:rPr>
      <w:rFonts w:ascii="宋体" w:hAnsi="宋体"/>
    </w:rPr>
  </w:style>
  <w:style w:type="paragraph" w:styleId="35">
    <w:name w:val="Balloon Text"/>
    <w:basedOn w:val="1"/>
    <w:link w:val="89"/>
    <w:qFormat/>
    <w:uiPriority w:val="0"/>
    <w:rPr>
      <w:sz w:val="18"/>
      <w:szCs w:val="18"/>
    </w:rPr>
  </w:style>
  <w:style w:type="paragraph" w:styleId="36">
    <w:name w:val="footer"/>
    <w:basedOn w:val="1"/>
    <w:link w:val="92"/>
    <w:qFormat/>
    <w:uiPriority w:val="0"/>
    <w:pPr>
      <w:tabs>
        <w:tab w:val="center" w:pos="4153"/>
        <w:tab w:val="right" w:pos="8306"/>
      </w:tabs>
      <w:snapToGrid w:val="0"/>
      <w:jc w:val="left"/>
    </w:pPr>
    <w:rPr>
      <w:sz w:val="18"/>
      <w:szCs w:val="18"/>
    </w:rPr>
  </w:style>
  <w:style w:type="paragraph" w:styleId="37">
    <w:name w:val="header"/>
    <w:basedOn w:val="1"/>
    <w:link w:val="175"/>
    <w:qFormat/>
    <w:uiPriority w:val="0"/>
    <w:pPr>
      <w:pBdr>
        <w:bottom w:val="single" w:color="auto" w:sz="6" w:space="1"/>
      </w:pBdr>
      <w:tabs>
        <w:tab w:val="center" w:pos="4153"/>
        <w:tab w:val="right" w:pos="8306"/>
      </w:tabs>
      <w:snapToGrid w:val="0"/>
      <w:jc w:val="center"/>
    </w:pPr>
    <w:rPr>
      <w:sz w:val="18"/>
      <w:szCs w:val="18"/>
    </w:rPr>
  </w:style>
  <w:style w:type="paragraph" w:styleId="38">
    <w:name w:val="toc 1"/>
    <w:basedOn w:val="1"/>
    <w:next w:val="1"/>
    <w:semiHidden/>
    <w:qFormat/>
    <w:uiPriority w:val="0"/>
    <w:pPr>
      <w:spacing w:before="120" w:after="120"/>
      <w:jc w:val="left"/>
    </w:pPr>
    <w:rPr>
      <w:b/>
      <w:bCs/>
      <w:caps/>
    </w:rPr>
  </w:style>
  <w:style w:type="paragraph" w:styleId="39">
    <w:name w:val="toc 4"/>
    <w:basedOn w:val="1"/>
    <w:next w:val="1"/>
    <w:semiHidden/>
    <w:qFormat/>
    <w:uiPriority w:val="0"/>
    <w:pPr>
      <w:ind w:left="630"/>
      <w:jc w:val="left"/>
    </w:pPr>
    <w:rPr>
      <w:szCs w:val="21"/>
    </w:rPr>
  </w:style>
  <w:style w:type="paragraph" w:styleId="40">
    <w:name w:val="index heading"/>
    <w:basedOn w:val="1"/>
    <w:next w:val="41"/>
    <w:qFormat/>
    <w:uiPriority w:val="0"/>
  </w:style>
  <w:style w:type="paragraph" w:styleId="41">
    <w:name w:val="index 1"/>
    <w:basedOn w:val="1"/>
    <w:next w:val="1"/>
    <w:qFormat/>
    <w:uiPriority w:val="0"/>
    <w:pPr>
      <w:tabs>
        <w:tab w:val="left" w:pos="3360"/>
      </w:tabs>
      <w:spacing w:line="520" w:lineRule="exact"/>
      <w:ind w:left="419" w:leftChars="50" w:hanging="314" w:hangingChars="131"/>
      <w:jc w:val="center"/>
      <w:outlineLvl w:val="3"/>
    </w:pPr>
    <w:rPr>
      <w:rFonts w:ascii="宋体" w:hAnsi="宋体"/>
      <w:sz w:val="24"/>
    </w:rPr>
  </w:style>
  <w:style w:type="paragraph" w:styleId="42">
    <w:name w:val="toc 6"/>
    <w:basedOn w:val="1"/>
    <w:next w:val="1"/>
    <w:semiHidden/>
    <w:qFormat/>
    <w:uiPriority w:val="0"/>
    <w:pPr>
      <w:ind w:left="1050"/>
      <w:jc w:val="left"/>
    </w:pPr>
    <w:rPr>
      <w:szCs w:val="21"/>
    </w:rPr>
  </w:style>
  <w:style w:type="paragraph" w:styleId="43">
    <w:name w:val="Body Text Indent 3"/>
    <w:basedOn w:val="1"/>
    <w:qFormat/>
    <w:uiPriority w:val="0"/>
    <w:pPr>
      <w:spacing w:line="360" w:lineRule="auto"/>
      <w:ind w:firstLine="482" w:firstLineChars="200"/>
    </w:pPr>
    <w:rPr>
      <w:rFonts w:ascii="宋体"/>
      <w:b/>
      <w:bCs/>
      <w:sz w:val="24"/>
    </w:rPr>
  </w:style>
  <w:style w:type="paragraph" w:styleId="44">
    <w:name w:val="toc 2"/>
    <w:basedOn w:val="1"/>
    <w:next w:val="1"/>
    <w:semiHidden/>
    <w:qFormat/>
    <w:uiPriority w:val="0"/>
    <w:pPr>
      <w:tabs>
        <w:tab w:val="right" w:leader="dot" w:pos="8296"/>
      </w:tabs>
      <w:ind w:left="210"/>
      <w:jc w:val="left"/>
    </w:pPr>
    <w:rPr>
      <w:smallCaps/>
    </w:rPr>
  </w:style>
  <w:style w:type="paragraph" w:styleId="45">
    <w:name w:val="toc 9"/>
    <w:basedOn w:val="1"/>
    <w:next w:val="1"/>
    <w:semiHidden/>
    <w:qFormat/>
    <w:uiPriority w:val="0"/>
    <w:pPr>
      <w:ind w:left="1680"/>
      <w:jc w:val="left"/>
    </w:pPr>
    <w:rPr>
      <w:szCs w:val="21"/>
    </w:rPr>
  </w:style>
  <w:style w:type="paragraph" w:styleId="46">
    <w:name w:val="Body Text 2"/>
    <w:basedOn w:val="1"/>
    <w:qFormat/>
    <w:uiPriority w:val="0"/>
    <w:pPr>
      <w:spacing w:line="360" w:lineRule="auto"/>
    </w:pPr>
    <w:rPr>
      <w:sz w:val="24"/>
    </w:rPr>
  </w:style>
  <w:style w:type="paragraph" w:styleId="4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Arial Unicode MS" w:hAnsi="Arial Unicode MS" w:eastAsia="Arial Unicode MS"/>
      <w:color w:val="000000"/>
      <w:kern w:val="0"/>
      <w:sz w:val="20"/>
      <w:szCs w:val="20"/>
    </w:rPr>
  </w:style>
  <w:style w:type="paragraph" w:styleId="48">
    <w:name w:val="Normal (Web)"/>
    <w:basedOn w:val="1"/>
    <w:qFormat/>
    <w:uiPriority w:val="0"/>
    <w:rPr>
      <w:sz w:val="24"/>
    </w:rPr>
  </w:style>
  <w:style w:type="paragraph" w:styleId="49">
    <w:name w:val="index 2"/>
    <w:basedOn w:val="1"/>
    <w:next w:val="1"/>
    <w:qFormat/>
    <w:uiPriority w:val="0"/>
    <w:pPr>
      <w:adjustRightInd w:val="0"/>
      <w:spacing w:line="315" w:lineRule="atLeast"/>
      <w:ind w:left="420"/>
      <w:jc w:val="left"/>
      <w:textAlignment w:val="baseline"/>
    </w:pPr>
    <w:rPr>
      <w:rFonts w:ascii="宋体"/>
      <w:kern w:val="0"/>
    </w:rPr>
  </w:style>
  <w:style w:type="paragraph" w:styleId="50">
    <w:name w:val="Title"/>
    <w:basedOn w:val="1"/>
    <w:qFormat/>
    <w:uiPriority w:val="0"/>
    <w:pPr>
      <w:spacing w:before="240" w:after="60"/>
      <w:jc w:val="center"/>
      <w:outlineLvl w:val="0"/>
    </w:pPr>
    <w:rPr>
      <w:rFonts w:ascii="Arial" w:hAnsi="Arial" w:eastAsia="隶书" w:cs="Arial"/>
      <w:b/>
      <w:bCs/>
      <w:sz w:val="32"/>
      <w:szCs w:val="32"/>
    </w:rPr>
  </w:style>
  <w:style w:type="paragraph" w:styleId="51">
    <w:name w:val="annotation subject"/>
    <w:basedOn w:val="18"/>
    <w:next w:val="18"/>
    <w:link w:val="167"/>
    <w:qFormat/>
    <w:uiPriority w:val="0"/>
    <w:pPr>
      <w:autoSpaceDE/>
      <w:autoSpaceDN/>
      <w:adjustRightInd/>
      <w:textAlignment w:val="auto"/>
    </w:pPr>
    <w:rPr>
      <w:rFonts w:ascii="Times New Roman"/>
      <w:b/>
      <w:bCs/>
      <w:kern w:val="2"/>
      <w:sz w:val="21"/>
    </w:rPr>
  </w:style>
  <w:style w:type="paragraph" w:styleId="52">
    <w:name w:val="Body Text First Indent"/>
    <w:basedOn w:val="22"/>
    <w:link w:val="105"/>
    <w:qFormat/>
    <w:uiPriority w:val="0"/>
    <w:pPr>
      <w:spacing w:after="120" w:line="240" w:lineRule="auto"/>
      <w:ind w:firstLine="420" w:firstLineChars="100"/>
    </w:pPr>
    <w:rPr>
      <w:b w:val="0"/>
      <w:bCs w:val="0"/>
      <w:sz w:val="21"/>
    </w:rPr>
  </w:style>
  <w:style w:type="paragraph" w:styleId="53">
    <w:name w:val="Body Text First Indent 2"/>
    <w:basedOn w:val="23"/>
    <w:link w:val="97"/>
    <w:qFormat/>
    <w:uiPriority w:val="0"/>
    <w:pPr>
      <w:spacing w:after="120" w:line="240" w:lineRule="auto"/>
      <w:ind w:left="420" w:firstLine="210" w:firstLineChars="0"/>
    </w:pPr>
    <w:rPr>
      <w:szCs w:val="20"/>
    </w:rPr>
  </w:style>
  <w:style w:type="table" w:styleId="55">
    <w:name w:val="Table Grid"/>
    <w:basedOn w:val="54"/>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56">
    <w:name w:val="Table Theme"/>
    <w:basedOn w:val="5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57">
    <w:name w:val="Table Grid 2"/>
    <w:basedOn w:val="54"/>
    <w:qFormat/>
    <w:uiPriority w:val="0"/>
    <w:pPr>
      <w:widowControl w:val="0"/>
      <w:jc w:val="both"/>
    </w:pPr>
    <w:tblPr>
      <w:tblBorders>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firstRow">
      <w:rPr>
        <w:b/>
        <w:bCs/>
      </w:rPr>
      <w:tblPr/>
      <w:tcPr>
        <w:tcBorders>
          <w:tl2br w:val="nil"/>
          <w:tr2bl w:val="nil"/>
        </w:tcBorders>
      </w:tcPr>
    </w:tblStylePr>
    <w:tblStylePr w:type="lastRow">
      <w:rPr>
        <w:b/>
        <w:bCs/>
      </w:rPr>
      <w:tblPr/>
      <w:tcPr>
        <w:tcBorders>
          <w:top w:val="single" w:color="00000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style>
  <w:style w:type="character" w:styleId="59">
    <w:name w:val="Strong"/>
    <w:qFormat/>
    <w:uiPriority w:val="0"/>
    <w:rPr>
      <w:b/>
      <w:bCs/>
    </w:rPr>
  </w:style>
  <w:style w:type="character" w:styleId="60">
    <w:name w:val="page number"/>
    <w:basedOn w:val="58"/>
    <w:qFormat/>
    <w:uiPriority w:val="0"/>
  </w:style>
  <w:style w:type="character" w:styleId="61">
    <w:name w:val="FollowedHyperlink"/>
    <w:qFormat/>
    <w:uiPriority w:val="0"/>
    <w:rPr>
      <w:color w:val="800080"/>
      <w:u w:val="single"/>
    </w:rPr>
  </w:style>
  <w:style w:type="character" w:styleId="62">
    <w:name w:val="Emphasis"/>
    <w:qFormat/>
    <w:uiPriority w:val="0"/>
    <w:rPr>
      <w:color w:val="CC0000"/>
    </w:rPr>
  </w:style>
  <w:style w:type="character" w:styleId="63">
    <w:name w:val="Hyperlink"/>
    <w:qFormat/>
    <w:uiPriority w:val="0"/>
    <w:rPr>
      <w:color w:val="0000FF"/>
      <w:u w:val="single"/>
    </w:rPr>
  </w:style>
  <w:style w:type="character" w:styleId="64">
    <w:name w:val="annotation reference"/>
    <w:qFormat/>
    <w:uiPriority w:val="0"/>
    <w:rPr>
      <w:sz w:val="21"/>
      <w:szCs w:val="21"/>
    </w:rPr>
  </w:style>
  <w:style w:type="character" w:customStyle="1" w:styleId="65">
    <w:name w:val="标题 4 Char"/>
    <w:link w:val="4"/>
    <w:qFormat/>
    <w:uiPriority w:val="0"/>
    <w:rPr>
      <w:rFonts w:ascii="Arial" w:hAnsi="Arial" w:eastAsia="黑体"/>
      <w:b/>
      <w:bCs/>
      <w:kern w:val="2"/>
      <w:sz w:val="28"/>
      <w:szCs w:val="28"/>
      <w:lang w:val="en-US" w:eastAsia="zh-CN" w:bidi="ar-SA"/>
    </w:rPr>
  </w:style>
  <w:style w:type="paragraph" w:customStyle="1" w:styleId="66">
    <w:name w:val="Char Char8 Char Char Char Char Char Char Char Char"/>
    <w:basedOn w:val="1"/>
    <w:qFormat/>
    <w:uiPriority w:val="0"/>
    <w:pPr>
      <w:widowControl/>
      <w:spacing w:after="160" w:line="240" w:lineRule="exact"/>
      <w:jc w:val="left"/>
    </w:pPr>
    <w:rPr>
      <w:rFonts w:ascii="Verdana" w:hAnsi="Verdana" w:eastAsia="仿宋_GB2312"/>
      <w:kern w:val="0"/>
      <w:sz w:val="24"/>
      <w:szCs w:val="20"/>
      <w:lang w:eastAsia="en-US"/>
    </w:rPr>
  </w:style>
  <w:style w:type="character" w:customStyle="1" w:styleId="67">
    <w:name w:val="标题 3 Char1"/>
    <w:link w:val="3"/>
    <w:qFormat/>
    <w:uiPriority w:val="0"/>
    <w:rPr>
      <w:rFonts w:ascii="宋体" w:hAnsi="宋体" w:eastAsia="宋体"/>
      <w:b/>
      <w:bCs/>
      <w:kern w:val="2"/>
      <w:sz w:val="28"/>
      <w:szCs w:val="32"/>
      <w:lang w:val="en-US" w:eastAsia="zh-CN" w:bidi="ar-SA"/>
    </w:rPr>
  </w:style>
  <w:style w:type="character" w:customStyle="1" w:styleId="68">
    <w:name w:val="标题 1 Char"/>
    <w:link w:val="2"/>
    <w:qFormat/>
    <w:uiPriority w:val="0"/>
    <w:rPr>
      <w:rFonts w:ascii="宋体" w:hAnsi="宋体" w:eastAsia="黑体"/>
      <w:b/>
      <w:bCs/>
      <w:kern w:val="44"/>
      <w:sz w:val="44"/>
      <w:szCs w:val="44"/>
    </w:rPr>
  </w:style>
  <w:style w:type="character" w:customStyle="1" w:styleId="69">
    <w:name w:val="正文缩进 Char"/>
    <w:link w:val="7"/>
    <w:qFormat/>
    <w:uiPriority w:val="0"/>
    <w:rPr>
      <w:rFonts w:eastAsia="宋体"/>
      <w:kern w:val="2"/>
      <w:sz w:val="21"/>
      <w:lang w:val="en-US" w:eastAsia="zh-CN" w:bidi="ar-SA"/>
    </w:rPr>
  </w:style>
  <w:style w:type="character" w:customStyle="1" w:styleId="70">
    <w:name w:val="标题 3 Char"/>
    <w:qFormat/>
    <w:uiPriority w:val="0"/>
    <w:rPr>
      <w:rFonts w:ascii="黑体" w:eastAsia="黑体"/>
      <w:bCs/>
      <w:sz w:val="30"/>
    </w:rPr>
  </w:style>
  <w:style w:type="paragraph" w:customStyle="1" w:styleId="71">
    <w:name w:val="样式41"/>
    <w:basedOn w:val="1"/>
    <w:qFormat/>
    <w:uiPriority w:val="0"/>
    <w:pPr>
      <w:numPr>
        <w:ilvl w:val="0"/>
        <w:numId w:val="2"/>
      </w:numPr>
      <w:tabs>
        <w:tab w:val="left" w:pos="945"/>
      </w:tabs>
      <w:spacing w:line="360" w:lineRule="auto"/>
    </w:pPr>
    <w:rPr>
      <w:b/>
      <w:color w:val="000000"/>
      <w:sz w:val="24"/>
      <w:szCs w:val="20"/>
    </w:rPr>
  </w:style>
  <w:style w:type="paragraph" w:customStyle="1" w:styleId="72">
    <w:name w:val="图"/>
    <w:basedOn w:val="1"/>
    <w:qFormat/>
    <w:uiPriority w:val="0"/>
    <w:pPr>
      <w:keepNext/>
      <w:adjustRightInd w:val="0"/>
      <w:snapToGrid w:val="0"/>
      <w:spacing w:before="60" w:after="60" w:line="300" w:lineRule="auto"/>
      <w:jc w:val="center"/>
    </w:pPr>
    <w:rPr>
      <w:spacing w:val="20"/>
      <w:kern w:val="0"/>
      <w:sz w:val="24"/>
      <w:szCs w:val="20"/>
    </w:rPr>
  </w:style>
  <w:style w:type="paragraph" w:customStyle="1" w:styleId="73">
    <w:name w:val="文档正文"/>
    <w:basedOn w:val="1"/>
    <w:qFormat/>
    <w:uiPriority w:val="0"/>
    <w:pPr>
      <w:adjustRightInd w:val="0"/>
      <w:spacing w:line="480" w:lineRule="atLeast"/>
      <w:ind w:firstLine="567" w:firstLineChars="200"/>
      <w:textAlignment w:val="baseline"/>
    </w:pPr>
    <w:rPr>
      <w:rFonts w:ascii="长城仿宋"/>
      <w:kern w:val="0"/>
      <w:szCs w:val="20"/>
    </w:rPr>
  </w:style>
  <w:style w:type="paragraph" w:customStyle="1" w:styleId="74">
    <w:name w:val="Char Char Char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75">
    <w:name w:val="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76">
    <w:name w:val="Char Char Char Char1"/>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77">
    <w:name w:val="Table Contents"/>
    <w:basedOn w:val="1"/>
    <w:qFormat/>
    <w:uiPriority w:val="0"/>
    <w:pPr>
      <w:suppressAutoHyphens/>
      <w:autoSpaceDE w:val="0"/>
      <w:spacing w:after="120"/>
      <w:jc w:val="left"/>
    </w:pPr>
    <w:rPr>
      <w:rFonts w:ascii="Helvetica" w:hAnsi="Helvetica"/>
      <w:kern w:val="1"/>
      <w:sz w:val="20"/>
      <w:szCs w:val="20"/>
    </w:rPr>
  </w:style>
  <w:style w:type="paragraph" w:customStyle="1" w:styleId="78">
    <w:name w:val="自定义正文"/>
    <w:basedOn w:val="1"/>
    <w:qFormat/>
    <w:uiPriority w:val="0"/>
    <w:pPr>
      <w:spacing w:afterLines="50"/>
      <w:ind w:left="600" w:leftChars="600"/>
    </w:pPr>
  </w:style>
  <w:style w:type="paragraph" w:customStyle="1" w:styleId="79">
    <w:name w:val="Char Char Char Char Char"/>
    <w:basedOn w:val="1"/>
    <w:qFormat/>
    <w:uiPriority w:val="0"/>
    <w:rPr>
      <w:rFonts w:ascii="Tahoma" w:hAnsi="Tahoma"/>
      <w:sz w:val="24"/>
      <w:szCs w:val="20"/>
    </w:rPr>
  </w:style>
  <w:style w:type="paragraph" w:customStyle="1" w:styleId="80">
    <w:name w:val="小标题 1"/>
    <w:basedOn w:val="1"/>
    <w:qFormat/>
    <w:uiPriority w:val="0"/>
    <w:pPr>
      <w:autoSpaceDE w:val="0"/>
      <w:autoSpaceDN w:val="0"/>
      <w:adjustRightInd w:val="0"/>
      <w:spacing w:line="360" w:lineRule="atLeast"/>
    </w:pPr>
    <w:rPr>
      <w:rFonts w:ascii="文鼎粗黑" w:eastAsia="文鼎粗黑"/>
      <w:kern w:val="0"/>
      <w:sz w:val="22"/>
      <w:szCs w:val="20"/>
    </w:rPr>
  </w:style>
  <w:style w:type="paragraph" w:customStyle="1" w:styleId="81">
    <w:name w:val="Char Char"/>
    <w:basedOn w:val="1"/>
    <w:qFormat/>
    <w:uiPriority w:val="0"/>
    <w:rPr>
      <w:rFonts w:ascii="Tahoma" w:hAnsi="Tahoma"/>
      <w:sz w:val="24"/>
      <w:szCs w:val="20"/>
    </w:rPr>
  </w:style>
  <w:style w:type="paragraph" w:customStyle="1" w:styleId="82">
    <w:name w:val="È±Ê¡ÎÄ±¾"/>
    <w:basedOn w:val="1"/>
    <w:qFormat/>
    <w:uiPriority w:val="0"/>
    <w:pPr>
      <w:widowControl/>
      <w:overflowPunct w:val="0"/>
      <w:autoSpaceDE w:val="0"/>
      <w:autoSpaceDN w:val="0"/>
      <w:adjustRightInd w:val="0"/>
      <w:jc w:val="left"/>
      <w:textAlignment w:val="baseline"/>
    </w:pPr>
    <w:rPr>
      <w:kern w:val="0"/>
      <w:sz w:val="24"/>
      <w:szCs w:val="20"/>
    </w:rPr>
  </w:style>
  <w:style w:type="character" w:customStyle="1" w:styleId="83">
    <w:name w:val="纯文本 Char"/>
    <w:link w:val="30"/>
    <w:qFormat/>
    <w:uiPriority w:val="0"/>
    <w:rPr>
      <w:rFonts w:ascii="宋体" w:hAnsi="Courier New" w:eastAsia="宋体"/>
      <w:kern w:val="2"/>
      <w:sz w:val="21"/>
      <w:lang w:val="en-US" w:eastAsia="zh-CN" w:bidi="ar-SA"/>
    </w:rPr>
  </w:style>
  <w:style w:type="paragraph" w:customStyle="1" w:styleId="84">
    <w:name w:val="Char Char Char Char Char Char1 Char"/>
    <w:basedOn w:val="1"/>
    <w:qFormat/>
    <w:uiPriority w:val="0"/>
    <w:pPr>
      <w:widowControl/>
      <w:spacing w:after="160" w:line="240" w:lineRule="exact"/>
      <w:jc w:val="left"/>
    </w:pPr>
    <w:rPr>
      <w:rFonts w:ascii="Verdana" w:hAnsi="Verdana"/>
      <w:kern w:val="0"/>
      <w:szCs w:val="20"/>
      <w:lang w:eastAsia="en-US"/>
    </w:rPr>
  </w:style>
  <w:style w:type="paragraph" w:customStyle="1" w:styleId="85">
    <w:name w:val="font6"/>
    <w:basedOn w:val="1"/>
    <w:qFormat/>
    <w:uiPriority w:val="0"/>
    <w:pPr>
      <w:widowControl/>
      <w:spacing w:before="100" w:beforeAutospacing="1" w:after="100" w:afterAutospacing="1"/>
      <w:jc w:val="left"/>
    </w:pPr>
    <w:rPr>
      <w:rFonts w:hint="eastAsia" w:ascii="黑体" w:hAnsi="Arial Unicode MS" w:eastAsia="黑体" w:cs="Arial Unicode MS"/>
      <w:kern w:val="0"/>
      <w:sz w:val="24"/>
    </w:rPr>
  </w:style>
  <w:style w:type="paragraph" w:customStyle="1" w:styleId="86">
    <w:name w:val="表格内文"/>
    <w:basedOn w:val="1"/>
    <w:qFormat/>
    <w:uiPriority w:val="0"/>
    <w:pPr>
      <w:spacing w:before="60" w:after="60"/>
      <w:jc w:val="center"/>
    </w:pPr>
    <w:rPr>
      <w:rFonts w:eastAsia="文鼎CS书宋二"/>
      <w:w w:val="95"/>
      <w:sz w:val="18"/>
      <w:szCs w:val="20"/>
    </w:rPr>
  </w:style>
  <w:style w:type="paragraph" w:customStyle="1" w:styleId="87">
    <w:name w:val="内正文"/>
    <w:basedOn w:val="1"/>
    <w:qFormat/>
    <w:uiPriority w:val="0"/>
    <w:pPr>
      <w:ind w:firstLine="420"/>
    </w:pPr>
    <w:rPr>
      <w:rFonts w:eastAsia="文鼎CS书宋二"/>
      <w:szCs w:val="20"/>
    </w:rPr>
  </w:style>
  <w:style w:type="character" w:customStyle="1" w:styleId="88">
    <w:name w:val="标题 2 Char"/>
    <w:link w:val="5"/>
    <w:qFormat/>
    <w:uiPriority w:val="0"/>
    <w:rPr>
      <w:rFonts w:ascii="宋体" w:hAnsi="宋体" w:eastAsia="宋体"/>
      <w:b/>
      <w:bCs/>
      <w:sz w:val="24"/>
      <w:lang w:val="en-US" w:eastAsia="zh-CN" w:bidi="ar-SA"/>
    </w:rPr>
  </w:style>
  <w:style w:type="character" w:customStyle="1" w:styleId="89">
    <w:name w:val="批注框文本 Char1"/>
    <w:link w:val="35"/>
    <w:qFormat/>
    <w:uiPriority w:val="0"/>
    <w:rPr>
      <w:rFonts w:eastAsia="宋体"/>
      <w:kern w:val="2"/>
      <w:sz w:val="18"/>
      <w:szCs w:val="18"/>
      <w:lang w:val="en-US" w:eastAsia="zh-CN" w:bidi="ar-SA"/>
    </w:rPr>
  </w:style>
  <w:style w:type="paragraph" w:customStyle="1" w:styleId="90">
    <w:name w:val="样式1"/>
    <w:basedOn w:val="50"/>
    <w:qFormat/>
    <w:uiPriority w:val="0"/>
    <w:pPr>
      <w:spacing w:before="120" w:after="120"/>
    </w:pPr>
    <w:rPr>
      <w:rFonts w:eastAsia="黑体"/>
      <w:b w:val="0"/>
      <w:sz w:val="30"/>
      <w:szCs w:val="21"/>
    </w:rPr>
  </w:style>
  <w:style w:type="paragraph" w:customStyle="1" w:styleId="91">
    <w:name w:val="样式2"/>
    <w:basedOn w:val="50"/>
    <w:next w:val="90"/>
    <w:qFormat/>
    <w:uiPriority w:val="0"/>
    <w:pPr>
      <w:spacing w:before="120" w:after="120"/>
    </w:pPr>
    <w:rPr>
      <w:rFonts w:eastAsia="黑体"/>
      <w:b w:val="0"/>
      <w:sz w:val="30"/>
      <w:szCs w:val="30"/>
    </w:rPr>
  </w:style>
  <w:style w:type="character" w:customStyle="1" w:styleId="92">
    <w:name w:val="页脚 Char"/>
    <w:link w:val="36"/>
    <w:qFormat/>
    <w:uiPriority w:val="99"/>
    <w:rPr>
      <w:rFonts w:eastAsia="宋体"/>
      <w:kern w:val="2"/>
      <w:sz w:val="18"/>
      <w:szCs w:val="18"/>
      <w:lang w:val="en-US" w:eastAsia="zh-CN" w:bidi="ar-SA"/>
    </w:rPr>
  </w:style>
  <w:style w:type="paragraph" w:customStyle="1" w:styleId="93">
    <w:name w:val="内正文篇标"/>
    <w:basedOn w:val="87"/>
    <w:qFormat/>
    <w:uiPriority w:val="0"/>
    <w:pPr>
      <w:ind w:firstLine="2354" w:firstLineChars="654"/>
      <w:jc w:val="left"/>
    </w:pPr>
    <w:rPr>
      <w:rFonts w:ascii="宋体" w:hAnsi="宋体" w:eastAsia="宋体"/>
      <w:w w:val="90"/>
      <w:sz w:val="40"/>
    </w:rPr>
  </w:style>
  <w:style w:type="paragraph" w:customStyle="1" w:styleId="94">
    <w:name w:val="内正文加粗"/>
    <w:basedOn w:val="87"/>
    <w:qFormat/>
    <w:uiPriority w:val="0"/>
    <w:pPr>
      <w:spacing w:before="60" w:after="60"/>
    </w:pPr>
    <w:rPr>
      <w:b/>
    </w:rPr>
  </w:style>
  <w:style w:type="paragraph" w:customStyle="1" w:styleId="95">
    <w:name w:val="正文未缩进"/>
    <w:basedOn w:val="1"/>
    <w:qFormat/>
    <w:uiPriority w:val="0"/>
    <w:rPr>
      <w:rFonts w:eastAsia="文鼎CS书宋二"/>
      <w:szCs w:val="20"/>
    </w:rPr>
  </w:style>
  <w:style w:type="character" w:customStyle="1" w:styleId="96">
    <w:name w:val="正文文本缩进 Char"/>
    <w:link w:val="23"/>
    <w:qFormat/>
    <w:uiPriority w:val="0"/>
    <w:rPr>
      <w:rFonts w:eastAsia="宋体"/>
      <w:kern w:val="2"/>
      <w:sz w:val="21"/>
      <w:szCs w:val="24"/>
      <w:lang w:val="en-US" w:eastAsia="zh-CN" w:bidi="ar-SA"/>
    </w:rPr>
  </w:style>
  <w:style w:type="character" w:customStyle="1" w:styleId="97">
    <w:name w:val="正文首行缩进 2 Char"/>
    <w:basedOn w:val="96"/>
    <w:link w:val="53"/>
    <w:qFormat/>
    <w:uiPriority w:val="0"/>
    <w:rPr>
      <w:rFonts w:eastAsia="宋体"/>
      <w:kern w:val="2"/>
      <w:sz w:val="21"/>
      <w:szCs w:val="24"/>
      <w:lang w:val="en-US" w:eastAsia="zh-CN" w:bidi="ar-SA"/>
    </w:rPr>
  </w:style>
  <w:style w:type="paragraph" w:customStyle="1" w:styleId="98">
    <w:name w:val="小标题"/>
    <w:basedOn w:val="1"/>
    <w:qFormat/>
    <w:uiPriority w:val="0"/>
    <w:pPr>
      <w:spacing w:before="240" w:after="240"/>
      <w:jc w:val="center"/>
    </w:pPr>
    <w:rPr>
      <w:rFonts w:eastAsia="创艺简黑体"/>
      <w:b/>
      <w:w w:val="95"/>
      <w:szCs w:val="20"/>
    </w:rPr>
  </w:style>
  <w:style w:type="paragraph" w:customStyle="1" w:styleId="99">
    <w:name w:val="表格标题"/>
    <w:basedOn w:val="98"/>
    <w:qFormat/>
    <w:uiPriority w:val="0"/>
    <w:pPr>
      <w:spacing w:before="120" w:after="60"/>
    </w:pPr>
    <w:rPr>
      <w:rFonts w:eastAsia="文鼎CS大宋"/>
      <w:b w:val="0"/>
      <w:sz w:val="28"/>
    </w:rPr>
  </w:style>
  <w:style w:type="paragraph" w:customStyle="1" w:styleId="100">
    <w:name w:val="节标题"/>
    <w:basedOn w:val="1"/>
    <w:qFormat/>
    <w:uiPriority w:val="0"/>
    <w:pPr>
      <w:spacing w:before="240" w:after="240"/>
      <w:jc w:val="center"/>
    </w:pPr>
    <w:rPr>
      <w:rFonts w:eastAsia="文鼎CS长美黑"/>
      <w:w w:val="95"/>
      <w:sz w:val="32"/>
      <w:szCs w:val="20"/>
    </w:rPr>
  </w:style>
  <w:style w:type="paragraph" w:customStyle="1" w:styleId="101">
    <w:name w:val="说明"/>
    <w:basedOn w:val="98"/>
    <w:qFormat/>
    <w:uiPriority w:val="0"/>
    <w:pPr>
      <w:spacing w:before="0" w:after="0" w:line="288" w:lineRule="auto"/>
      <w:ind w:firstLine="420"/>
      <w:jc w:val="both"/>
    </w:pPr>
    <w:rPr>
      <w:rFonts w:ascii="文鼎中楷" w:eastAsia="文鼎中楷"/>
      <w:b w:val="0"/>
    </w:rPr>
  </w:style>
  <w:style w:type="character" w:customStyle="1" w:styleId="102">
    <w:name w:val="p121"/>
    <w:qFormat/>
    <w:uiPriority w:val="0"/>
    <w:rPr>
      <w:rFonts w:hint="default"/>
      <w:sz w:val="24"/>
      <w:szCs w:val="24"/>
    </w:rPr>
  </w:style>
  <w:style w:type="paragraph" w:customStyle="1" w:styleId="103">
    <w:name w:val="Definition Term"/>
    <w:basedOn w:val="1"/>
    <w:next w:val="1"/>
    <w:qFormat/>
    <w:uiPriority w:val="0"/>
    <w:pPr>
      <w:autoSpaceDE w:val="0"/>
      <w:autoSpaceDN w:val="0"/>
      <w:adjustRightInd w:val="0"/>
      <w:jc w:val="left"/>
    </w:pPr>
    <w:rPr>
      <w:kern w:val="0"/>
      <w:sz w:val="24"/>
      <w:szCs w:val="20"/>
    </w:rPr>
  </w:style>
  <w:style w:type="character" w:customStyle="1" w:styleId="104">
    <w:name w:val="正文文本 Char"/>
    <w:link w:val="22"/>
    <w:qFormat/>
    <w:uiPriority w:val="0"/>
    <w:rPr>
      <w:rFonts w:eastAsia="宋体"/>
      <w:b/>
      <w:bCs/>
      <w:kern w:val="2"/>
      <w:sz w:val="24"/>
      <w:szCs w:val="24"/>
      <w:lang w:val="en-US" w:eastAsia="zh-CN" w:bidi="ar-SA"/>
    </w:rPr>
  </w:style>
  <w:style w:type="character" w:customStyle="1" w:styleId="105">
    <w:name w:val="正文首行缩进 Char"/>
    <w:link w:val="52"/>
    <w:qFormat/>
    <w:uiPriority w:val="0"/>
    <w:rPr>
      <w:rFonts w:eastAsia="宋体"/>
      <w:b/>
      <w:bCs/>
      <w:kern w:val="2"/>
      <w:sz w:val="21"/>
      <w:szCs w:val="24"/>
      <w:lang w:val="en-US" w:eastAsia="zh-CN" w:bidi="ar-SA"/>
    </w:rPr>
  </w:style>
  <w:style w:type="paragraph" w:customStyle="1" w:styleId="106">
    <w:name w:val="font5"/>
    <w:basedOn w:val="1"/>
    <w:qFormat/>
    <w:uiPriority w:val="0"/>
    <w:pPr>
      <w:widowControl/>
      <w:spacing w:before="100" w:beforeAutospacing="1" w:after="100" w:afterAutospacing="1"/>
      <w:jc w:val="left"/>
    </w:pPr>
    <w:rPr>
      <w:rFonts w:hint="eastAsia" w:ascii="宋体" w:hAnsi="宋体"/>
      <w:kern w:val="0"/>
      <w:sz w:val="18"/>
      <w:szCs w:val="18"/>
    </w:rPr>
  </w:style>
  <w:style w:type="paragraph" w:customStyle="1" w:styleId="107">
    <w:name w:val="font7"/>
    <w:basedOn w:val="1"/>
    <w:qFormat/>
    <w:uiPriority w:val="0"/>
    <w:pPr>
      <w:widowControl/>
      <w:spacing w:before="100" w:beforeAutospacing="1" w:after="100" w:afterAutospacing="1"/>
      <w:jc w:val="left"/>
    </w:pPr>
    <w:rPr>
      <w:rFonts w:hint="eastAsia" w:ascii="宋体" w:hAnsi="宋体"/>
      <w:kern w:val="0"/>
      <w:sz w:val="22"/>
      <w:szCs w:val="22"/>
    </w:rPr>
  </w:style>
  <w:style w:type="paragraph" w:customStyle="1" w:styleId="108">
    <w:name w:val="xl2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kern w:val="0"/>
      <w:sz w:val="22"/>
      <w:szCs w:val="22"/>
    </w:rPr>
  </w:style>
  <w:style w:type="paragraph" w:customStyle="1" w:styleId="109">
    <w:name w:val="xl25"/>
    <w:basedOn w:val="1"/>
    <w:qFormat/>
    <w:uiPriority w:val="0"/>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pPr>
    <w:rPr>
      <w:rFonts w:ascii="Tunga" w:hAnsi="Tunga"/>
      <w:kern w:val="0"/>
      <w:sz w:val="22"/>
      <w:szCs w:val="22"/>
    </w:rPr>
  </w:style>
  <w:style w:type="paragraph" w:customStyle="1" w:styleId="110">
    <w:name w:val="xl26"/>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kern w:val="0"/>
      <w:sz w:val="22"/>
      <w:szCs w:val="22"/>
    </w:rPr>
  </w:style>
  <w:style w:type="paragraph" w:customStyle="1" w:styleId="111">
    <w:name w:val="xl27"/>
    <w:basedOn w:val="1"/>
    <w:qFormat/>
    <w:uiPriority w:val="0"/>
    <w:pPr>
      <w:widowControl/>
      <w:pBdr>
        <w:top w:val="single" w:color="auto" w:sz="4" w:space="0"/>
        <w:bottom w:val="single" w:color="auto" w:sz="4" w:space="0"/>
      </w:pBdr>
      <w:spacing w:before="100" w:beforeAutospacing="1" w:after="100" w:afterAutospacing="1"/>
      <w:jc w:val="center"/>
    </w:pPr>
    <w:rPr>
      <w:rFonts w:ascii="宋体" w:hAnsi="宋体"/>
      <w:kern w:val="0"/>
      <w:sz w:val="22"/>
      <w:szCs w:val="22"/>
    </w:rPr>
  </w:style>
  <w:style w:type="paragraph" w:customStyle="1" w:styleId="112">
    <w:name w:val="xl28"/>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宋体" w:hAnsi="宋体"/>
      <w:kern w:val="0"/>
      <w:sz w:val="22"/>
      <w:szCs w:val="22"/>
    </w:rPr>
  </w:style>
  <w:style w:type="paragraph" w:customStyle="1" w:styleId="113">
    <w:name w:val="xl29"/>
    <w:basedOn w:val="1"/>
    <w:qFormat/>
    <w:uiPriority w:val="0"/>
    <w:pPr>
      <w:widowControl/>
      <w:pBdr>
        <w:top w:val="single" w:color="auto" w:sz="4" w:space="0"/>
        <w:left w:val="single" w:color="auto" w:sz="4" w:space="0"/>
        <w:bottom w:val="single" w:color="auto" w:sz="8" w:space="0"/>
      </w:pBdr>
      <w:spacing w:before="100" w:beforeAutospacing="1" w:after="100" w:afterAutospacing="1"/>
      <w:jc w:val="center"/>
    </w:pPr>
    <w:rPr>
      <w:rFonts w:ascii="宋体" w:hAnsi="宋体"/>
      <w:kern w:val="0"/>
      <w:sz w:val="22"/>
      <w:szCs w:val="22"/>
    </w:rPr>
  </w:style>
  <w:style w:type="paragraph" w:customStyle="1" w:styleId="114">
    <w:name w:val="xl30"/>
    <w:basedOn w:val="1"/>
    <w:qFormat/>
    <w:uiPriority w:val="0"/>
    <w:pPr>
      <w:widowControl/>
      <w:pBdr>
        <w:top w:val="single" w:color="auto" w:sz="4" w:space="0"/>
        <w:bottom w:val="single" w:color="auto" w:sz="8" w:space="0"/>
      </w:pBdr>
      <w:spacing w:before="100" w:beforeAutospacing="1" w:after="100" w:afterAutospacing="1"/>
      <w:jc w:val="center"/>
    </w:pPr>
    <w:rPr>
      <w:rFonts w:ascii="宋体" w:hAnsi="宋体"/>
      <w:kern w:val="0"/>
      <w:sz w:val="22"/>
      <w:szCs w:val="22"/>
    </w:rPr>
  </w:style>
  <w:style w:type="paragraph" w:customStyle="1" w:styleId="115">
    <w:name w:val="xl31"/>
    <w:basedOn w:val="1"/>
    <w:qFormat/>
    <w:uiPriority w:val="0"/>
    <w:pPr>
      <w:widowControl/>
      <w:pBdr>
        <w:top w:val="single" w:color="auto" w:sz="4" w:space="0"/>
        <w:bottom w:val="single" w:color="auto" w:sz="8" w:space="0"/>
        <w:right w:val="single" w:color="auto" w:sz="4" w:space="0"/>
      </w:pBdr>
      <w:spacing w:before="100" w:beforeAutospacing="1" w:after="100" w:afterAutospacing="1"/>
      <w:jc w:val="center"/>
    </w:pPr>
    <w:rPr>
      <w:rFonts w:ascii="宋体" w:hAnsi="宋体"/>
      <w:kern w:val="0"/>
      <w:sz w:val="22"/>
      <w:szCs w:val="22"/>
    </w:rPr>
  </w:style>
  <w:style w:type="paragraph" w:customStyle="1" w:styleId="116">
    <w:name w:val="xl32"/>
    <w:basedOn w:val="1"/>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center"/>
    </w:pPr>
    <w:rPr>
      <w:rFonts w:ascii="宋体" w:hAnsi="宋体"/>
      <w:b/>
      <w:bCs/>
      <w:kern w:val="0"/>
      <w:sz w:val="24"/>
    </w:rPr>
  </w:style>
  <w:style w:type="paragraph" w:customStyle="1" w:styleId="117">
    <w:name w:val="xl33"/>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kern w:val="0"/>
      <w:sz w:val="22"/>
      <w:szCs w:val="22"/>
    </w:rPr>
  </w:style>
  <w:style w:type="paragraph" w:customStyle="1" w:styleId="118">
    <w:name w:val="xl34"/>
    <w:basedOn w:val="1"/>
    <w:qFormat/>
    <w:uiPriority w:val="0"/>
    <w:pPr>
      <w:widowControl/>
      <w:pBdr>
        <w:top w:val="single" w:color="auto" w:sz="4" w:space="0"/>
        <w:bottom w:val="single" w:color="auto" w:sz="4" w:space="0"/>
      </w:pBdr>
      <w:spacing w:before="100" w:beforeAutospacing="1" w:after="100" w:afterAutospacing="1"/>
      <w:jc w:val="center"/>
    </w:pPr>
    <w:rPr>
      <w:rFonts w:ascii="宋体" w:hAnsi="宋体"/>
      <w:kern w:val="0"/>
      <w:sz w:val="22"/>
      <w:szCs w:val="22"/>
    </w:rPr>
  </w:style>
  <w:style w:type="paragraph" w:customStyle="1" w:styleId="119">
    <w:name w:val="xl35"/>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宋体" w:hAnsi="宋体"/>
      <w:kern w:val="0"/>
      <w:sz w:val="22"/>
      <w:szCs w:val="22"/>
    </w:rPr>
  </w:style>
  <w:style w:type="paragraph" w:customStyle="1" w:styleId="120">
    <w:name w:val="xl36"/>
    <w:basedOn w:val="1"/>
    <w:qFormat/>
    <w:uiPriority w:val="0"/>
    <w:pPr>
      <w:widowControl/>
      <w:pBdr>
        <w:top w:val="single" w:color="auto" w:sz="4" w:space="0"/>
        <w:left w:val="single" w:color="auto" w:sz="4" w:space="0"/>
        <w:bottom w:val="single" w:color="auto" w:sz="8" w:space="0"/>
      </w:pBdr>
      <w:spacing w:before="100" w:beforeAutospacing="1" w:after="100" w:afterAutospacing="1"/>
      <w:jc w:val="center"/>
    </w:pPr>
    <w:rPr>
      <w:rFonts w:ascii="宋体" w:hAnsi="宋体"/>
      <w:kern w:val="0"/>
      <w:sz w:val="22"/>
      <w:szCs w:val="22"/>
    </w:rPr>
  </w:style>
  <w:style w:type="paragraph" w:customStyle="1" w:styleId="121">
    <w:name w:val="xl37"/>
    <w:basedOn w:val="1"/>
    <w:qFormat/>
    <w:uiPriority w:val="0"/>
    <w:pPr>
      <w:widowControl/>
      <w:pBdr>
        <w:top w:val="single" w:color="auto" w:sz="4" w:space="0"/>
        <w:bottom w:val="single" w:color="auto" w:sz="8" w:space="0"/>
      </w:pBdr>
      <w:spacing w:before="100" w:beforeAutospacing="1" w:after="100" w:afterAutospacing="1"/>
      <w:jc w:val="center"/>
    </w:pPr>
    <w:rPr>
      <w:rFonts w:ascii="宋体" w:hAnsi="宋体"/>
      <w:kern w:val="0"/>
      <w:sz w:val="22"/>
      <w:szCs w:val="22"/>
    </w:rPr>
  </w:style>
  <w:style w:type="paragraph" w:customStyle="1" w:styleId="122">
    <w:name w:val="xl38"/>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b/>
      <w:bCs/>
      <w:kern w:val="0"/>
      <w:sz w:val="24"/>
    </w:rPr>
  </w:style>
  <w:style w:type="paragraph" w:customStyle="1" w:styleId="123">
    <w:name w:val="xl39"/>
    <w:basedOn w:val="1"/>
    <w:qFormat/>
    <w:uiPriority w:val="0"/>
    <w:pPr>
      <w:widowControl/>
      <w:pBdr>
        <w:top w:val="single" w:color="auto" w:sz="4" w:space="0"/>
        <w:bottom w:val="single" w:color="auto" w:sz="4" w:space="0"/>
      </w:pBdr>
      <w:spacing w:before="100" w:beforeAutospacing="1" w:after="100" w:afterAutospacing="1"/>
      <w:jc w:val="center"/>
    </w:pPr>
    <w:rPr>
      <w:rFonts w:ascii="宋体" w:hAnsi="宋体"/>
      <w:b/>
      <w:bCs/>
      <w:kern w:val="0"/>
      <w:sz w:val="24"/>
    </w:rPr>
  </w:style>
  <w:style w:type="paragraph" w:customStyle="1" w:styleId="124">
    <w:name w:val="xl40"/>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宋体" w:hAnsi="宋体"/>
      <w:b/>
      <w:bCs/>
      <w:kern w:val="0"/>
      <w:sz w:val="24"/>
    </w:rPr>
  </w:style>
  <w:style w:type="paragraph" w:customStyle="1" w:styleId="125">
    <w:name w:val="xl41"/>
    <w:basedOn w:val="1"/>
    <w:qFormat/>
    <w:uiPriority w:val="0"/>
    <w:pPr>
      <w:widowControl/>
      <w:pBdr>
        <w:top w:val="single" w:color="auto" w:sz="8" w:space="0"/>
        <w:left w:val="single" w:color="auto" w:sz="8" w:space="0"/>
        <w:bottom w:val="single" w:color="auto" w:sz="4" w:space="0"/>
        <w:right w:val="single" w:color="auto" w:sz="4" w:space="0"/>
      </w:pBdr>
      <w:spacing w:before="100" w:beforeAutospacing="1" w:after="100" w:afterAutospacing="1"/>
      <w:jc w:val="center"/>
    </w:pPr>
    <w:rPr>
      <w:rFonts w:ascii="宋体" w:hAnsi="宋体"/>
      <w:b/>
      <w:bCs/>
      <w:kern w:val="0"/>
      <w:sz w:val="24"/>
    </w:rPr>
  </w:style>
  <w:style w:type="paragraph" w:customStyle="1" w:styleId="126">
    <w:name w:val="xl42"/>
    <w:basedOn w:val="1"/>
    <w:qFormat/>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pPr>
    <w:rPr>
      <w:rFonts w:ascii="宋体" w:hAnsi="宋体"/>
      <w:b/>
      <w:bCs/>
      <w:kern w:val="0"/>
      <w:sz w:val="24"/>
    </w:rPr>
  </w:style>
  <w:style w:type="paragraph" w:customStyle="1" w:styleId="127">
    <w:name w:val="xl43"/>
    <w:basedOn w:val="1"/>
    <w:qFormat/>
    <w:uiPriority w:val="0"/>
    <w:pPr>
      <w:widowControl/>
      <w:pBdr>
        <w:top w:val="single" w:color="auto" w:sz="8" w:space="0"/>
        <w:left w:val="single" w:color="auto" w:sz="4" w:space="0"/>
        <w:bottom w:val="single" w:color="auto" w:sz="4" w:space="0"/>
        <w:right w:val="single" w:color="auto" w:sz="8" w:space="0"/>
      </w:pBdr>
      <w:spacing w:before="100" w:beforeAutospacing="1" w:after="100" w:afterAutospacing="1"/>
      <w:jc w:val="center"/>
    </w:pPr>
    <w:rPr>
      <w:rFonts w:ascii="宋体" w:hAnsi="宋体"/>
      <w:b/>
      <w:bCs/>
      <w:kern w:val="0"/>
      <w:sz w:val="24"/>
    </w:rPr>
  </w:style>
  <w:style w:type="paragraph" w:customStyle="1" w:styleId="128">
    <w:name w:val="xl44"/>
    <w:basedOn w:val="1"/>
    <w:qFormat/>
    <w:uiPriority w:val="0"/>
    <w:pPr>
      <w:widowControl/>
      <w:pBdr>
        <w:top w:val="single" w:color="auto" w:sz="4" w:space="0"/>
        <w:bottom w:val="single" w:color="auto" w:sz="8" w:space="0"/>
        <w:right w:val="single" w:color="auto" w:sz="4" w:space="0"/>
      </w:pBdr>
      <w:spacing w:before="100" w:beforeAutospacing="1" w:after="100" w:afterAutospacing="1"/>
      <w:jc w:val="center"/>
    </w:pPr>
    <w:rPr>
      <w:rFonts w:ascii="宋体" w:hAnsi="宋体"/>
      <w:kern w:val="0"/>
      <w:sz w:val="22"/>
      <w:szCs w:val="22"/>
    </w:rPr>
  </w:style>
  <w:style w:type="paragraph" w:customStyle="1" w:styleId="129">
    <w:name w:val="char"/>
    <w:basedOn w:val="3"/>
    <w:qFormat/>
    <w:uiPriority w:val="0"/>
    <w:pPr>
      <w:spacing w:line="360" w:lineRule="auto"/>
      <w:ind w:firstLine="2560" w:firstLineChars="800"/>
    </w:pPr>
    <w:rPr>
      <w:b w:val="0"/>
      <w:bCs/>
      <w:sz w:val="32"/>
      <w:szCs w:val="20"/>
    </w:rPr>
  </w:style>
  <w:style w:type="paragraph" w:customStyle="1" w:styleId="130">
    <w:name w:val="标题4 Char"/>
    <w:basedOn w:val="1"/>
    <w:qFormat/>
    <w:uiPriority w:val="0"/>
    <w:pPr>
      <w:spacing w:line="360" w:lineRule="auto"/>
      <w:ind w:firstLine="538" w:firstLineChars="192"/>
      <w:jc w:val="left"/>
    </w:pPr>
    <w:rPr>
      <w:rFonts w:ascii="宋体" w:hAnsi="宋体"/>
      <w:color w:val="000000"/>
      <w:sz w:val="28"/>
      <w:szCs w:val="28"/>
    </w:rPr>
  </w:style>
  <w:style w:type="paragraph" w:customStyle="1" w:styleId="131">
    <w:name w:val="投标人须知1"/>
    <w:basedOn w:val="1"/>
    <w:qFormat/>
    <w:uiPriority w:val="0"/>
    <w:pPr>
      <w:numPr>
        <w:ilvl w:val="0"/>
        <w:numId w:val="3"/>
      </w:numPr>
      <w:spacing w:line="480" w:lineRule="auto"/>
      <w:jc w:val="left"/>
    </w:pPr>
    <w:rPr>
      <w:b/>
      <w:sz w:val="24"/>
    </w:rPr>
  </w:style>
  <w:style w:type="paragraph" w:customStyle="1" w:styleId="132">
    <w:name w:val="投标人须知2"/>
    <w:basedOn w:val="1"/>
    <w:qFormat/>
    <w:uiPriority w:val="0"/>
    <w:pPr>
      <w:numPr>
        <w:ilvl w:val="1"/>
        <w:numId w:val="3"/>
      </w:numPr>
      <w:spacing w:line="300" w:lineRule="auto"/>
      <w:jc w:val="left"/>
    </w:pPr>
    <w:rPr>
      <w:szCs w:val="21"/>
    </w:rPr>
  </w:style>
  <w:style w:type="paragraph" w:customStyle="1" w:styleId="133">
    <w:name w:val="投标人须知3"/>
    <w:basedOn w:val="1"/>
    <w:qFormat/>
    <w:uiPriority w:val="0"/>
    <w:pPr>
      <w:numPr>
        <w:ilvl w:val="2"/>
        <w:numId w:val="3"/>
      </w:numPr>
      <w:spacing w:line="300" w:lineRule="auto"/>
      <w:jc w:val="left"/>
    </w:pPr>
  </w:style>
  <w:style w:type="paragraph" w:customStyle="1" w:styleId="134">
    <w:name w:val="投标人须知4"/>
    <w:basedOn w:val="1"/>
    <w:qFormat/>
    <w:uiPriority w:val="0"/>
    <w:pPr>
      <w:numPr>
        <w:ilvl w:val="3"/>
        <w:numId w:val="3"/>
      </w:numPr>
      <w:spacing w:line="300" w:lineRule="auto"/>
      <w:ind w:left="794" w:hanging="340"/>
      <w:jc w:val="left"/>
    </w:pPr>
  </w:style>
  <w:style w:type="paragraph" w:customStyle="1" w:styleId="135">
    <w:name w:val="样式 投标人须知1 + (符号) 宋体"/>
    <w:basedOn w:val="131"/>
    <w:qFormat/>
    <w:uiPriority w:val="0"/>
    <w:pPr>
      <w:numPr>
        <w:numId w:val="0"/>
      </w:numPr>
      <w:tabs>
        <w:tab w:val="left" w:pos="360"/>
      </w:tabs>
      <w:ind w:left="360" w:hanging="360"/>
      <w:outlineLvl w:val="1"/>
    </w:pPr>
    <w:rPr>
      <w:bCs/>
    </w:rPr>
  </w:style>
  <w:style w:type="paragraph" w:customStyle="1" w:styleId="136">
    <w:name w:val="Char Char Char Char Char1 Char Char Char Char Char Char Char Char Char Char"/>
    <w:basedOn w:val="1"/>
    <w:qFormat/>
    <w:uiPriority w:val="0"/>
    <w:rPr>
      <w:rFonts w:ascii="仿宋_GB2312" w:eastAsia="仿宋_GB2312"/>
      <w:b/>
      <w:sz w:val="32"/>
      <w:szCs w:val="32"/>
    </w:rPr>
  </w:style>
  <w:style w:type="paragraph" w:customStyle="1" w:styleId="137">
    <w:name w:val="表格内文1"/>
    <w:basedOn w:val="86"/>
    <w:qFormat/>
    <w:uiPriority w:val="0"/>
  </w:style>
  <w:style w:type="paragraph" w:customStyle="1" w:styleId="138">
    <w:name w:val="001"/>
    <w:basedOn w:val="139"/>
    <w:qFormat/>
    <w:uiPriority w:val="0"/>
  </w:style>
  <w:style w:type="paragraph" w:customStyle="1" w:styleId="139">
    <w:name w:val="05"/>
    <w:basedOn w:val="140"/>
    <w:qFormat/>
    <w:uiPriority w:val="0"/>
  </w:style>
  <w:style w:type="paragraph" w:customStyle="1" w:styleId="140">
    <w:name w:val="01"/>
    <w:basedOn w:val="141"/>
    <w:qFormat/>
    <w:uiPriority w:val="0"/>
  </w:style>
  <w:style w:type="paragraph" w:customStyle="1" w:styleId="141">
    <w:name w:val="表格内文2"/>
    <w:basedOn w:val="86"/>
    <w:qFormat/>
    <w:uiPriority w:val="0"/>
  </w:style>
  <w:style w:type="paragraph" w:customStyle="1" w:styleId="142">
    <w:name w:val="002"/>
    <w:basedOn w:val="87"/>
    <w:qFormat/>
    <w:uiPriority w:val="0"/>
    <w:pPr>
      <w:spacing w:before="62" w:after="62"/>
      <w:jc w:val="center"/>
    </w:pPr>
  </w:style>
  <w:style w:type="paragraph" w:customStyle="1" w:styleId="143">
    <w:name w:val="表格下注"/>
    <w:basedOn w:val="87"/>
    <w:qFormat/>
    <w:uiPriority w:val="0"/>
    <w:pPr>
      <w:ind w:left="798" w:hanging="378"/>
    </w:pPr>
    <w:rPr>
      <w:sz w:val="18"/>
    </w:rPr>
  </w:style>
  <w:style w:type="paragraph" w:customStyle="1" w:styleId="144">
    <w:name w:val="正文A"/>
    <w:basedOn w:val="87"/>
    <w:qFormat/>
    <w:uiPriority w:val="0"/>
    <w:pPr>
      <w:tabs>
        <w:tab w:val="center" w:pos="3780"/>
        <w:tab w:val="left" w:pos="7140"/>
      </w:tabs>
      <w:spacing w:before="120"/>
      <w:ind w:right="196"/>
      <w:jc w:val="right"/>
    </w:pPr>
    <w:rPr>
      <w:rFonts w:eastAsia="宋体"/>
      <w:b/>
      <w:bCs/>
      <w:w w:val="95"/>
    </w:rPr>
  </w:style>
  <w:style w:type="paragraph" w:customStyle="1" w:styleId="145">
    <w:name w:val="font8"/>
    <w:basedOn w:val="1"/>
    <w:qFormat/>
    <w:uiPriority w:val="0"/>
    <w:pPr>
      <w:widowControl/>
      <w:spacing w:before="100" w:beforeAutospacing="1" w:after="100" w:afterAutospacing="1"/>
      <w:jc w:val="left"/>
    </w:pPr>
    <w:rPr>
      <w:rFonts w:hint="eastAsia" w:ascii="宋体" w:hAnsi="宋体"/>
      <w:b/>
      <w:bCs/>
      <w:kern w:val="0"/>
      <w:sz w:val="20"/>
      <w:szCs w:val="20"/>
      <w:u w:val="single"/>
    </w:rPr>
  </w:style>
  <w:style w:type="paragraph" w:customStyle="1" w:styleId="146">
    <w:name w:val="font9"/>
    <w:basedOn w:val="1"/>
    <w:qFormat/>
    <w:uiPriority w:val="0"/>
    <w:pPr>
      <w:widowControl/>
      <w:spacing w:before="100" w:beforeAutospacing="1" w:after="100" w:afterAutospacing="1"/>
      <w:jc w:val="left"/>
    </w:pPr>
    <w:rPr>
      <w:rFonts w:hint="eastAsia" w:ascii="宋体" w:hAnsi="宋体"/>
      <w:kern w:val="0"/>
      <w:sz w:val="20"/>
      <w:szCs w:val="20"/>
      <w:u w:val="single"/>
    </w:rPr>
  </w:style>
  <w:style w:type="paragraph" w:customStyle="1" w:styleId="147">
    <w:name w:val="font10"/>
    <w:basedOn w:val="1"/>
    <w:uiPriority w:val="0"/>
    <w:pPr>
      <w:widowControl/>
      <w:spacing w:before="100" w:beforeAutospacing="1" w:after="100" w:afterAutospacing="1"/>
      <w:jc w:val="left"/>
    </w:pPr>
    <w:rPr>
      <w:b/>
      <w:bCs/>
      <w:kern w:val="0"/>
      <w:sz w:val="20"/>
      <w:szCs w:val="20"/>
      <w:u w:val="single"/>
    </w:rPr>
  </w:style>
  <w:style w:type="paragraph" w:customStyle="1" w:styleId="148">
    <w:name w:val="font11"/>
    <w:basedOn w:val="1"/>
    <w:qFormat/>
    <w:uiPriority w:val="0"/>
    <w:pPr>
      <w:widowControl/>
      <w:spacing w:before="100" w:beforeAutospacing="1" w:after="100" w:afterAutospacing="1"/>
      <w:jc w:val="left"/>
    </w:pPr>
    <w:rPr>
      <w:kern w:val="0"/>
      <w:sz w:val="20"/>
      <w:szCs w:val="20"/>
    </w:rPr>
  </w:style>
  <w:style w:type="paragraph" w:customStyle="1" w:styleId="149">
    <w:name w:val="font12"/>
    <w:basedOn w:val="1"/>
    <w:qFormat/>
    <w:uiPriority w:val="0"/>
    <w:pPr>
      <w:widowControl/>
      <w:spacing w:before="100" w:beforeAutospacing="1" w:after="100" w:afterAutospacing="1"/>
      <w:jc w:val="left"/>
    </w:pPr>
    <w:rPr>
      <w:kern w:val="0"/>
      <w:sz w:val="20"/>
      <w:szCs w:val="20"/>
    </w:rPr>
  </w:style>
  <w:style w:type="paragraph" w:customStyle="1" w:styleId="150">
    <w:name w:val="xl22"/>
    <w:basedOn w:val="1"/>
    <w:qFormat/>
    <w:uiPriority w:val="0"/>
    <w:pPr>
      <w:widowControl/>
      <w:spacing w:before="100" w:beforeAutospacing="1" w:after="100" w:afterAutospacing="1"/>
      <w:jc w:val="center"/>
      <w:textAlignment w:val="center"/>
    </w:pPr>
    <w:rPr>
      <w:rFonts w:ascii="宋体" w:hAnsi="宋体"/>
      <w:b/>
      <w:bCs/>
      <w:kern w:val="0"/>
      <w:sz w:val="28"/>
      <w:szCs w:val="28"/>
    </w:rPr>
  </w:style>
  <w:style w:type="paragraph" w:customStyle="1" w:styleId="151">
    <w:name w:val="xl23"/>
    <w:basedOn w:val="1"/>
    <w:qFormat/>
    <w:uiPriority w:val="0"/>
    <w:pPr>
      <w:widowControl/>
      <w:spacing w:before="100" w:beforeAutospacing="1" w:after="100" w:afterAutospacing="1"/>
      <w:jc w:val="center"/>
      <w:textAlignment w:val="center"/>
    </w:pPr>
    <w:rPr>
      <w:rFonts w:hint="eastAsia" w:ascii="黑体" w:hAnsi="宋体" w:eastAsia="黑体"/>
      <w:kern w:val="0"/>
      <w:sz w:val="22"/>
      <w:szCs w:val="22"/>
    </w:rPr>
  </w:style>
  <w:style w:type="paragraph" w:customStyle="1" w:styleId="152">
    <w:name w:val="xl45"/>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kern w:val="0"/>
      <w:sz w:val="20"/>
      <w:szCs w:val="20"/>
    </w:rPr>
  </w:style>
  <w:style w:type="paragraph" w:customStyle="1" w:styleId="153">
    <w:name w:val="xl4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kern w:val="0"/>
      <w:sz w:val="20"/>
      <w:szCs w:val="20"/>
    </w:rPr>
  </w:style>
  <w:style w:type="paragraph" w:customStyle="1" w:styleId="154">
    <w:name w:val="xl47"/>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pPr>
    <w:rPr>
      <w:rFonts w:ascii="宋体" w:hAnsi="宋体"/>
      <w:kern w:val="0"/>
      <w:sz w:val="24"/>
    </w:rPr>
  </w:style>
  <w:style w:type="paragraph" w:customStyle="1" w:styleId="155">
    <w:name w:val="xl48"/>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kern w:val="0"/>
      <w:sz w:val="20"/>
      <w:szCs w:val="20"/>
    </w:rPr>
  </w:style>
  <w:style w:type="paragraph" w:customStyle="1" w:styleId="156">
    <w:name w:val="xl4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kern w:val="0"/>
      <w:sz w:val="20"/>
      <w:szCs w:val="20"/>
    </w:rPr>
  </w:style>
  <w:style w:type="paragraph" w:customStyle="1" w:styleId="157">
    <w:name w:val="xl5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kern w:val="0"/>
      <w:sz w:val="20"/>
      <w:szCs w:val="20"/>
    </w:rPr>
  </w:style>
  <w:style w:type="paragraph" w:customStyle="1" w:styleId="158">
    <w:name w:val="样式 三号 加粗 居中"/>
    <w:basedOn w:val="50"/>
    <w:qFormat/>
    <w:uiPriority w:val="0"/>
    <w:rPr>
      <w:rFonts w:eastAsia="宋体" w:cs="宋体"/>
      <w:b w:val="0"/>
      <w:bCs w:val="0"/>
    </w:rPr>
  </w:style>
  <w:style w:type="paragraph" w:customStyle="1" w:styleId="159">
    <w:name w:val="样式 章标题"/>
    <w:basedOn w:val="50"/>
    <w:qFormat/>
    <w:uiPriority w:val="0"/>
    <w:pPr>
      <w:tabs>
        <w:tab w:val="left" w:pos="1590"/>
      </w:tabs>
      <w:ind w:left="1590" w:hanging="1590"/>
    </w:pPr>
    <w:rPr>
      <w:rFonts w:eastAsia="宋体"/>
      <w:b w:val="0"/>
      <w:bCs w:val="0"/>
    </w:rPr>
  </w:style>
  <w:style w:type="paragraph" w:customStyle="1" w:styleId="160">
    <w:name w:val="样式 章标题 20 加粗 居中"/>
    <w:basedOn w:val="159"/>
    <w:qFormat/>
    <w:uiPriority w:val="0"/>
    <w:rPr>
      <w:rFonts w:cs="宋体"/>
      <w:b/>
      <w:bCs/>
      <w:sz w:val="40"/>
    </w:rPr>
  </w:style>
  <w:style w:type="paragraph" w:customStyle="1" w:styleId="161">
    <w:name w:val="样式 章标题 + 宋体 加粗 倾斜 黑色"/>
    <w:basedOn w:val="5"/>
    <w:qFormat/>
    <w:uiPriority w:val="0"/>
    <w:pPr>
      <w:keepNext w:val="0"/>
      <w:keepLines w:val="0"/>
      <w:adjustRightInd/>
      <w:spacing w:before="480" w:after="120"/>
      <w:textAlignment w:val="auto"/>
      <w:outlineLvl w:val="9"/>
    </w:pPr>
    <w:rPr>
      <w:i/>
      <w:iCs/>
      <w:color w:val="000000"/>
      <w:w w:val="80"/>
      <w:kern w:val="2"/>
      <w:sz w:val="40"/>
    </w:rPr>
  </w:style>
  <w:style w:type="paragraph" w:customStyle="1" w:styleId="162">
    <w:name w:val="样式 小标题 + 宋体 黑色 首行缩进:  0.74 厘米"/>
    <w:basedOn w:val="22"/>
    <w:qFormat/>
    <w:uiPriority w:val="0"/>
    <w:pPr>
      <w:spacing w:after="120" w:line="240" w:lineRule="auto"/>
      <w:ind w:firstLine="420"/>
    </w:pPr>
    <w:rPr>
      <w:rFonts w:ascii="宋体" w:hAnsi="宋体" w:cs="宋体"/>
      <w:b w:val="0"/>
      <w:bCs w:val="0"/>
      <w:color w:val="000000"/>
      <w:sz w:val="21"/>
      <w:szCs w:val="20"/>
    </w:rPr>
  </w:style>
  <w:style w:type="paragraph" w:customStyle="1" w:styleId="163">
    <w:name w:val="样式 小标题 + (中文) 宋体 加粗 黑色 段前: 0 磅 段后: 0 磅 行距: 多倍行距 1.25 字行"/>
    <w:basedOn w:val="98"/>
    <w:next w:val="22"/>
    <w:qFormat/>
    <w:uiPriority w:val="0"/>
    <w:pPr>
      <w:adjustRightInd w:val="0"/>
      <w:spacing w:before="0" w:after="0" w:line="300" w:lineRule="auto"/>
      <w:ind w:firstLine="422" w:firstLineChars="200"/>
      <w:jc w:val="both"/>
      <w:textAlignment w:val="baseline"/>
      <w:outlineLvl w:val="2"/>
    </w:pPr>
    <w:rPr>
      <w:rFonts w:ascii="黑体" w:eastAsia="宋体" w:cs="宋体"/>
      <w:bCs/>
      <w:color w:val="000000"/>
      <w:w w:val="100"/>
      <w:kern w:val="0"/>
    </w:rPr>
  </w:style>
  <w:style w:type="paragraph" w:customStyle="1" w:styleId="164">
    <w:name w:val="样式 小标题 + (中文) 宋体 加粗 黑色 段前: 0 磅 段后: 0 磅 行距: 多倍行距 1.25 字行1"/>
    <w:basedOn w:val="98"/>
    <w:next w:val="53"/>
    <w:qFormat/>
    <w:uiPriority w:val="0"/>
    <w:pPr>
      <w:adjustRightInd w:val="0"/>
      <w:spacing w:before="0" w:after="0" w:line="300" w:lineRule="auto"/>
      <w:ind w:firstLine="422" w:firstLineChars="200"/>
      <w:jc w:val="both"/>
      <w:textAlignment w:val="baseline"/>
      <w:outlineLvl w:val="2"/>
    </w:pPr>
    <w:rPr>
      <w:rFonts w:ascii="黑体" w:eastAsia="宋体" w:cs="宋体"/>
      <w:bCs/>
      <w:color w:val="000000"/>
      <w:w w:val="100"/>
      <w:kern w:val="0"/>
    </w:rPr>
  </w:style>
  <w:style w:type="paragraph" w:customStyle="1" w:styleId="165">
    <w:name w:val="样式 样式 小标题 + (中文) 宋体 加粗 黑色 段前: 0 磅 段后: 0 磅 行距: 多倍行距 1.25 字行1 + 非加..."/>
    <w:basedOn w:val="164"/>
    <w:next w:val="53"/>
    <w:qFormat/>
    <w:uiPriority w:val="0"/>
    <w:pPr>
      <w:ind w:firstLine="420"/>
    </w:pPr>
    <w:rPr>
      <w:b w:val="0"/>
      <w:bCs w:val="0"/>
    </w:rPr>
  </w:style>
  <w:style w:type="character" w:customStyle="1" w:styleId="166">
    <w:name w:val="批注文字 Char"/>
    <w:link w:val="18"/>
    <w:qFormat/>
    <w:uiPriority w:val="0"/>
    <w:rPr>
      <w:rFonts w:ascii="宋体" w:eastAsia="宋体"/>
      <w:sz w:val="34"/>
      <w:lang w:val="en-US" w:eastAsia="zh-CN" w:bidi="ar-SA"/>
    </w:rPr>
  </w:style>
  <w:style w:type="character" w:customStyle="1" w:styleId="167">
    <w:name w:val="批注主题 Char"/>
    <w:link w:val="51"/>
    <w:qFormat/>
    <w:uiPriority w:val="0"/>
    <w:rPr>
      <w:rFonts w:ascii="宋体" w:eastAsia="宋体"/>
      <w:b/>
      <w:bCs/>
      <w:kern w:val="2"/>
      <w:sz w:val="21"/>
      <w:lang w:val="en-US" w:eastAsia="zh-CN" w:bidi="ar-SA"/>
    </w:rPr>
  </w:style>
  <w:style w:type="paragraph" w:customStyle="1" w:styleId="168">
    <w:name w:val="前言、引言标题"/>
    <w:next w:val="1"/>
    <w:qFormat/>
    <w:uiPriority w:val="0"/>
    <w:pPr>
      <w:shd w:val="clear" w:color="FFFFFF" w:fill="FFFFFF"/>
      <w:tabs>
        <w:tab w:val="left" w:pos="360"/>
        <w:tab w:val="left" w:pos="760"/>
      </w:tabs>
      <w:spacing w:before="640" w:after="560"/>
      <w:ind w:left="717" w:hanging="317"/>
      <w:jc w:val="center"/>
      <w:outlineLvl w:val="0"/>
    </w:pPr>
    <w:rPr>
      <w:rFonts w:ascii="黑体" w:hAnsi="Times New Roman" w:eastAsia="黑体" w:cs="Times New Roman"/>
      <w:sz w:val="32"/>
      <w:lang w:val="en-US" w:eastAsia="zh-CN" w:bidi="ar-SA"/>
    </w:rPr>
  </w:style>
  <w:style w:type="paragraph" w:customStyle="1" w:styleId="169">
    <w:name w:val="列项●（二级）"/>
    <w:uiPriority w:val="0"/>
    <w:pPr>
      <w:tabs>
        <w:tab w:val="left" w:pos="360"/>
        <w:tab w:val="left" w:pos="840"/>
      </w:tabs>
      <w:jc w:val="both"/>
    </w:pPr>
    <w:rPr>
      <w:rFonts w:ascii="宋体" w:hAnsi="Times New Roman" w:eastAsia="宋体" w:cs="Times New Roman"/>
      <w:sz w:val="21"/>
      <w:lang w:val="en-US" w:eastAsia="zh-CN" w:bidi="ar-SA"/>
    </w:rPr>
  </w:style>
  <w:style w:type="paragraph" w:customStyle="1" w:styleId="170">
    <w:name w:val="二级条标题"/>
    <w:basedOn w:val="1"/>
    <w:next w:val="1"/>
    <w:qFormat/>
    <w:uiPriority w:val="0"/>
    <w:pPr>
      <w:widowControl/>
      <w:tabs>
        <w:tab w:val="left" w:pos="1680"/>
      </w:tabs>
      <w:ind w:left="1680" w:hanging="420"/>
      <w:jc w:val="left"/>
      <w:outlineLvl w:val="3"/>
    </w:pPr>
    <w:rPr>
      <w:rFonts w:eastAsia="黑体"/>
      <w:kern w:val="0"/>
      <w:szCs w:val="20"/>
    </w:rPr>
  </w:style>
  <w:style w:type="character" w:customStyle="1" w:styleId="171">
    <w:name w:val="fo Char"/>
    <w:qFormat/>
    <w:uiPriority w:val="0"/>
    <w:rPr>
      <w:rFonts w:eastAsia="宋体"/>
      <w:kern w:val="2"/>
      <w:sz w:val="18"/>
      <w:szCs w:val="18"/>
      <w:lang w:val="en-US" w:eastAsia="zh-CN" w:bidi="ar-SA"/>
    </w:rPr>
  </w:style>
  <w:style w:type="paragraph" w:customStyle="1" w:styleId="172">
    <w:name w:val="明显引用1"/>
    <w:basedOn w:val="1"/>
    <w:next w:val="1"/>
    <w:link w:val="173"/>
    <w:qFormat/>
    <w:uiPriority w:val="0"/>
    <w:pPr>
      <w:pBdr>
        <w:bottom w:val="single" w:color="4F81BD" w:sz="4" w:space="4"/>
      </w:pBdr>
      <w:spacing w:before="200" w:after="280"/>
      <w:ind w:left="936" w:right="936"/>
    </w:pPr>
    <w:rPr>
      <w:b/>
      <w:bCs/>
      <w:i/>
      <w:iCs/>
      <w:color w:val="4F81BD"/>
    </w:rPr>
  </w:style>
  <w:style w:type="character" w:customStyle="1" w:styleId="173">
    <w:name w:val="明显引用 Char"/>
    <w:link w:val="172"/>
    <w:qFormat/>
    <w:uiPriority w:val="0"/>
    <w:rPr>
      <w:rFonts w:eastAsia="宋体"/>
      <w:b/>
      <w:bCs/>
      <w:i/>
      <w:iCs/>
      <w:color w:val="4F81BD"/>
      <w:kern w:val="2"/>
      <w:sz w:val="21"/>
      <w:szCs w:val="24"/>
      <w:lang w:val="en-US" w:eastAsia="zh-CN" w:bidi="ar-SA"/>
    </w:rPr>
  </w:style>
  <w:style w:type="character" w:customStyle="1" w:styleId="174">
    <w:name w:val="Char Char3"/>
    <w:qFormat/>
    <w:locked/>
    <w:uiPriority w:val="0"/>
    <w:rPr>
      <w:rFonts w:ascii="Arial" w:hAnsi="Arial" w:eastAsia="黑体"/>
      <w:b/>
      <w:bCs/>
      <w:kern w:val="2"/>
      <w:sz w:val="32"/>
      <w:szCs w:val="32"/>
      <w:lang w:val="en-US" w:eastAsia="zh-CN" w:bidi="ar-SA"/>
    </w:rPr>
  </w:style>
  <w:style w:type="character" w:customStyle="1" w:styleId="175">
    <w:name w:val="页眉 Char"/>
    <w:link w:val="37"/>
    <w:qFormat/>
    <w:locked/>
    <w:uiPriority w:val="0"/>
    <w:rPr>
      <w:rFonts w:eastAsia="宋体"/>
      <w:kern w:val="2"/>
      <w:sz w:val="18"/>
      <w:szCs w:val="18"/>
      <w:lang w:val="en-US" w:eastAsia="zh-CN" w:bidi="ar-SA"/>
    </w:rPr>
  </w:style>
  <w:style w:type="character" w:customStyle="1" w:styleId="176">
    <w:name w:val="Char Char1"/>
    <w:locked/>
    <w:uiPriority w:val="0"/>
    <w:rPr>
      <w:rFonts w:ascii="宋体" w:hAnsi="宋体" w:eastAsia="宋体"/>
      <w:kern w:val="2"/>
      <w:sz w:val="18"/>
      <w:szCs w:val="18"/>
      <w:lang w:val="en-US" w:eastAsia="zh-CN" w:bidi="ar-SA"/>
    </w:rPr>
  </w:style>
  <w:style w:type="character" w:customStyle="1" w:styleId="177">
    <w:name w:val="文档结构图 Char"/>
    <w:link w:val="17"/>
    <w:semiHidden/>
    <w:qFormat/>
    <w:locked/>
    <w:uiPriority w:val="0"/>
    <w:rPr>
      <w:rFonts w:eastAsia="宋体"/>
      <w:kern w:val="2"/>
      <w:sz w:val="21"/>
      <w:szCs w:val="24"/>
      <w:lang w:val="en-US" w:eastAsia="zh-CN" w:bidi="ar-SA"/>
    </w:rPr>
  </w:style>
  <w:style w:type="character" w:customStyle="1" w:styleId="178">
    <w:name w:val="Char Char2"/>
    <w:qFormat/>
    <w:uiPriority w:val="0"/>
    <w:rPr>
      <w:rFonts w:eastAsia="宋体"/>
      <w:kern w:val="2"/>
      <w:sz w:val="18"/>
      <w:szCs w:val="18"/>
      <w:lang w:val="en-US" w:eastAsia="zh-CN" w:bidi="ar-SA"/>
    </w:rPr>
  </w:style>
  <w:style w:type="paragraph" w:customStyle="1" w:styleId="179">
    <w:name w:val="Char1 Char Char Char Char Char Char Char Char Char Char Char Char"/>
    <w:basedOn w:val="1"/>
    <w:qFormat/>
    <w:uiPriority w:val="0"/>
    <w:rPr>
      <w:rFonts w:ascii="仿宋_GB2312" w:eastAsia="仿宋_GB2312"/>
      <w:b/>
      <w:sz w:val="32"/>
      <w:szCs w:val="32"/>
    </w:rPr>
  </w:style>
  <w:style w:type="character" w:customStyle="1" w:styleId="180">
    <w:name w:val="Char Char9"/>
    <w:qFormat/>
    <w:uiPriority w:val="0"/>
    <w:rPr>
      <w:rFonts w:eastAsia="宋体"/>
      <w:b/>
      <w:bCs/>
      <w:kern w:val="2"/>
      <w:sz w:val="24"/>
      <w:szCs w:val="24"/>
      <w:lang w:val="en-US" w:eastAsia="zh-CN" w:bidi="ar-SA"/>
    </w:rPr>
  </w:style>
  <w:style w:type="paragraph" w:customStyle="1" w:styleId="181">
    <w:name w:val="缩进正文"/>
    <w:basedOn w:val="1"/>
    <w:link w:val="182"/>
    <w:qFormat/>
    <w:uiPriority w:val="0"/>
    <w:pPr>
      <w:ind w:firstLine="560" w:firstLineChars="200"/>
    </w:pPr>
    <w:rPr>
      <w:rFonts w:eastAsia="仿宋_GB2312" w:cs="宋体"/>
      <w:sz w:val="28"/>
      <w:szCs w:val="20"/>
    </w:rPr>
  </w:style>
  <w:style w:type="character" w:customStyle="1" w:styleId="182">
    <w:name w:val="缩进正文 Char"/>
    <w:link w:val="181"/>
    <w:qFormat/>
    <w:uiPriority w:val="0"/>
    <w:rPr>
      <w:rFonts w:eastAsia="仿宋_GB2312" w:cs="宋体"/>
      <w:kern w:val="2"/>
      <w:sz w:val="28"/>
      <w:lang w:val="en-US" w:eastAsia="zh-CN" w:bidi="ar-SA"/>
    </w:rPr>
  </w:style>
  <w:style w:type="paragraph" w:customStyle="1" w:styleId="183">
    <w:name w:val="TOC 标题1"/>
    <w:basedOn w:val="2"/>
    <w:next w:val="1"/>
    <w:qFormat/>
    <w:uiPriority w:val="39"/>
    <w:pPr>
      <w:widowControl/>
      <w:spacing w:before="480" w:after="0" w:line="276" w:lineRule="auto"/>
      <w:jc w:val="left"/>
      <w:outlineLvl w:val="9"/>
    </w:pPr>
    <w:rPr>
      <w:rFonts w:ascii="Cambria" w:hAnsi="Cambria" w:eastAsia="宋体"/>
      <w:color w:val="365F91"/>
      <w:kern w:val="0"/>
      <w:szCs w:val="28"/>
    </w:rPr>
  </w:style>
  <w:style w:type="paragraph" w:customStyle="1" w:styleId="184">
    <w:name w:val="Char1"/>
    <w:basedOn w:val="1"/>
    <w:qFormat/>
    <w:uiPriority w:val="0"/>
    <w:pPr>
      <w:widowControl/>
      <w:spacing w:after="160" w:line="240" w:lineRule="exact"/>
      <w:jc w:val="left"/>
    </w:pPr>
    <w:rPr>
      <w:rFonts w:ascii="Verdana" w:hAnsi="Verdana" w:eastAsia="仿宋_GB2312"/>
      <w:kern w:val="0"/>
      <w:sz w:val="24"/>
      <w:szCs w:val="20"/>
      <w:lang w:eastAsia="en-US"/>
    </w:rPr>
  </w:style>
  <w:style w:type="character" w:customStyle="1" w:styleId="185">
    <w:name w:val="h Char"/>
    <w:qFormat/>
    <w:locked/>
    <w:uiPriority w:val="0"/>
    <w:rPr>
      <w:rFonts w:eastAsia="宋体"/>
      <w:kern w:val="2"/>
      <w:sz w:val="18"/>
      <w:szCs w:val="18"/>
      <w:lang w:val="en-US" w:eastAsia="zh-CN" w:bidi="ar-SA"/>
    </w:rPr>
  </w:style>
  <w:style w:type="character" w:customStyle="1" w:styleId="186">
    <w:name w:val="H2 Char1"/>
    <w:qFormat/>
    <w:uiPriority w:val="0"/>
    <w:rPr>
      <w:rFonts w:ascii="宋体" w:hAnsi="宋体" w:eastAsia="宋体"/>
      <w:b/>
      <w:bCs/>
      <w:sz w:val="24"/>
      <w:lang w:val="en-US" w:eastAsia="zh-CN" w:bidi="ar-SA"/>
    </w:rPr>
  </w:style>
  <w:style w:type="character" w:customStyle="1" w:styleId="187">
    <w:name w:val="EHPT Char1"/>
    <w:qFormat/>
    <w:uiPriority w:val="0"/>
    <w:rPr>
      <w:rFonts w:eastAsia="宋体"/>
      <w:b/>
      <w:bCs/>
      <w:kern w:val="2"/>
      <w:sz w:val="24"/>
      <w:szCs w:val="24"/>
      <w:lang w:val="en-US" w:eastAsia="zh-CN" w:bidi="ar-SA"/>
    </w:rPr>
  </w:style>
  <w:style w:type="paragraph" w:customStyle="1" w:styleId="188">
    <w:name w:val="列出段落1"/>
    <w:basedOn w:val="1"/>
    <w:qFormat/>
    <w:uiPriority w:val="0"/>
    <w:pPr>
      <w:spacing w:line="360" w:lineRule="auto"/>
      <w:ind w:firstLine="420" w:firstLineChars="200"/>
    </w:pPr>
    <w:rPr>
      <w:sz w:val="24"/>
    </w:rPr>
  </w:style>
  <w:style w:type="character" w:customStyle="1" w:styleId="189">
    <w:name w:val="批注框文本 Char"/>
    <w:semiHidden/>
    <w:qFormat/>
    <w:uiPriority w:val="0"/>
    <w:rPr>
      <w:rFonts w:ascii="Times New Roman" w:hAnsi="Times New Roman"/>
      <w:kern w:val="2"/>
      <w:sz w:val="18"/>
      <w:szCs w:val="18"/>
    </w:rPr>
  </w:style>
  <w:style w:type="character" w:customStyle="1" w:styleId="190">
    <w:name w:val="正文1"/>
    <w:qFormat/>
    <w:uiPriority w:val="0"/>
    <w:rPr>
      <w:rFonts w:hint="eastAsia" w:ascii="宋体" w:hAnsi="宋体" w:eastAsia="宋体"/>
      <w:color w:val="000000"/>
      <w:sz w:val="24"/>
      <w:szCs w:val="24"/>
    </w:rPr>
  </w:style>
  <w:style w:type="paragraph" w:customStyle="1" w:styleId="191">
    <w:name w:val="默认段落字体 Para Char Char Char Char Char Char Char Char Char"/>
    <w:basedOn w:val="1"/>
    <w:qFormat/>
    <w:uiPriority w:val="0"/>
    <w:rPr>
      <w:rFonts w:ascii="Tahoma" w:hAnsi="Tahoma"/>
      <w:sz w:val="24"/>
      <w:szCs w:val="20"/>
    </w:rPr>
  </w:style>
  <w:style w:type="paragraph" w:customStyle="1" w:styleId="192">
    <w:name w:val="Char Char8 Char Char Char Char Char Char Char Char Char Char"/>
    <w:basedOn w:val="1"/>
    <w:qFormat/>
    <w:uiPriority w:val="0"/>
    <w:pPr>
      <w:widowControl/>
      <w:spacing w:after="160" w:line="240" w:lineRule="exact"/>
      <w:jc w:val="left"/>
    </w:pPr>
    <w:rPr>
      <w:rFonts w:ascii="Verdana" w:hAnsi="Verdana" w:eastAsia="仿宋_GB2312"/>
      <w:kern w:val="0"/>
      <w:sz w:val="24"/>
      <w:szCs w:val="20"/>
      <w:lang w:eastAsia="en-US"/>
    </w:rPr>
  </w:style>
  <w:style w:type="table" w:customStyle="1" w:styleId="193">
    <w:name w:val="网格型1"/>
    <w:basedOn w:val="54"/>
    <w:qFormat/>
    <w:uiPriority w:val="39"/>
    <w:rPr>
      <w:rFonts w:asciiTheme="minorHAnsi" w:hAnsiTheme="minorHAnsi" w:eastAsiaTheme="minorEastAsia" w:cstheme="minorBid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94">
    <w:name w:val="c24"/>
    <w:basedOn w:val="58"/>
    <w:qFormat/>
    <w:uiPriority w:val="0"/>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深圳市清华斯维尔软件科技有限公司</Company>
  <Pages>1</Pages>
  <Words>4700</Words>
  <Characters>26793</Characters>
  <Lines>223</Lines>
  <Paragraphs>62</Paragraphs>
  <TotalTime>12</TotalTime>
  <ScaleCrop>false</ScaleCrop>
  <LinksUpToDate>false</LinksUpToDate>
  <CharactersWithSpaces>31431</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2020-06-24T03:47:00Z</dcterms:created>
  <dc:creator>thsware</dc:creator>
  <cp:lastModifiedBy>sArah-flowers</cp:lastModifiedBy>
  <cp:lastPrinted>2015-06-23T01:32:00Z</cp:lastPrinted>
  <dcterms:modified xsi:type="dcterms:W3CDTF">2020-07-30T13:04:01Z</dcterms:modified>
  <dc:title>招  标　文　件</dc:title>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