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10AC2746" w:rsidR="00AB7628" w:rsidRPr="003E0F72" w:rsidRDefault="003345F9" w:rsidP="00773B85">
      <w:pPr>
        <w:spacing w:beforeLines="100" w:before="312" w:afterLines="100" w:after="312"/>
        <w:jc w:val="center"/>
        <w:rPr>
          <w:color w:val="FF0000"/>
          <w:sz w:val="56"/>
        </w:rPr>
      </w:pPr>
      <w:r>
        <w:rPr>
          <w:rFonts w:hint="eastAsia"/>
          <w:color w:val="FF0000"/>
          <w:sz w:val="56"/>
        </w:rPr>
        <w:t>仓库潜水泵修缮工程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BE1995C" w:rsidR="00AB7628" w:rsidRDefault="00AB7628" w:rsidP="00946AE1">
      <w:pPr>
        <w:jc w:val="center"/>
        <w:rPr>
          <w:color w:val="000000"/>
          <w:sz w:val="30"/>
        </w:rPr>
      </w:pPr>
      <w:r>
        <w:rPr>
          <w:rFonts w:hint="eastAsia"/>
          <w:color w:val="000000"/>
          <w:sz w:val="30"/>
        </w:rPr>
        <w:t>（招标编号：</w:t>
      </w:r>
      <w:r w:rsidR="00F7708D">
        <w:rPr>
          <w:rFonts w:hint="eastAsia"/>
          <w:color w:val="FF0000"/>
          <w:sz w:val="30"/>
        </w:rPr>
        <w:t>SZUCG20190104GC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4718973C"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A66710">
        <w:rPr>
          <w:rFonts w:hint="eastAsia"/>
          <w:color w:val="FF0000"/>
          <w:sz w:val="30"/>
        </w:rPr>
        <w:t>四</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2BE58E23"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3345F9">
        <w:rPr>
          <w:rFonts w:hint="eastAsia"/>
          <w:color w:val="FF0000"/>
          <w:szCs w:val="21"/>
        </w:rPr>
        <w:t>仓库潜水泵修缮工程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423166D2"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F7708D">
        <w:rPr>
          <w:rFonts w:hint="eastAsia"/>
          <w:color w:val="FF0000"/>
          <w:szCs w:val="21"/>
        </w:rPr>
        <w:t>SZUCG20190104GC</w:t>
      </w:r>
    </w:p>
    <w:p w14:paraId="565E6BFC" w14:textId="012108BD"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3345F9">
        <w:rPr>
          <w:rFonts w:hint="eastAsia"/>
          <w:color w:val="FF0000"/>
          <w:szCs w:val="21"/>
        </w:rPr>
        <w:t>仓库潜水泵修缮工程</w:t>
      </w:r>
      <w:r w:rsidR="004F5AFE" w:rsidRPr="004F5AFE">
        <w:rPr>
          <w:rFonts w:hint="eastAsia"/>
          <w:color w:val="FF0000"/>
          <w:szCs w:val="21"/>
        </w:rPr>
        <w:t>项目</w:t>
      </w:r>
    </w:p>
    <w:p w14:paraId="7F6181A1" w14:textId="61C195DB"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8A04D3" w:rsidRPr="008A04D3">
        <w:rPr>
          <w:rFonts w:hint="eastAsia"/>
          <w:color w:val="FF0000"/>
          <w:szCs w:val="21"/>
        </w:rPr>
        <w:t>3.1.</w:t>
      </w:r>
      <w:r w:rsidR="008A04D3" w:rsidRPr="008A04D3">
        <w:rPr>
          <w:rFonts w:hint="eastAsia"/>
          <w:color w:val="FF0000"/>
          <w:szCs w:val="21"/>
        </w:rPr>
        <w:t>拆除潜水泵；</w:t>
      </w:r>
      <w:r w:rsidR="008A04D3">
        <w:rPr>
          <w:rFonts w:hint="eastAsia"/>
          <w:color w:val="FF0000"/>
          <w:szCs w:val="21"/>
        </w:rPr>
        <w:t>3.</w:t>
      </w:r>
      <w:r w:rsidR="008A04D3" w:rsidRPr="008A04D3">
        <w:rPr>
          <w:rFonts w:hint="eastAsia"/>
          <w:color w:val="FF0000"/>
          <w:szCs w:val="21"/>
        </w:rPr>
        <w:t>2.</w:t>
      </w:r>
      <w:r w:rsidR="008A04D3" w:rsidRPr="008A04D3">
        <w:rPr>
          <w:rFonts w:hint="eastAsia"/>
          <w:color w:val="FF0000"/>
          <w:szCs w:val="21"/>
        </w:rPr>
        <w:t>新装潜水泵；</w:t>
      </w:r>
      <w:r w:rsidR="008A04D3">
        <w:rPr>
          <w:rFonts w:hint="eastAsia"/>
          <w:color w:val="FF0000"/>
          <w:szCs w:val="21"/>
        </w:rPr>
        <w:t>3.</w:t>
      </w:r>
      <w:r w:rsidR="008A04D3" w:rsidRPr="008A04D3">
        <w:rPr>
          <w:rFonts w:hint="eastAsia"/>
          <w:color w:val="FF0000"/>
          <w:szCs w:val="21"/>
        </w:rPr>
        <w:t>3.</w:t>
      </w:r>
      <w:r w:rsidR="008A04D3" w:rsidRPr="008A04D3">
        <w:rPr>
          <w:rFonts w:hint="eastAsia"/>
          <w:color w:val="FF0000"/>
          <w:szCs w:val="21"/>
        </w:rPr>
        <w:t>拆除控制箱；</w:t>
      </w:r>
      <w:r w:rsidR="008A04D3">
        <w:rPr>
          <w:rFonts w:hint="eastAsia"/>
          <w:color w:val="FF0000"/>
          <w:szCs w:val="21"/>
        </w:rPr>
        <w:t>3.</w:t>
      </w:r>
      <w:r w:rsidR="008A04D3" w:rsidRPr="008A04D3">
        <w:rPr>
          <w:rFonts w:hint="eastAsia"/>
          <w:color w:val="FF0000"/>
          <w:szCs w:val="21"/>
        </w:rPr>
        <w:t>4.</w:t>
      </w:r>
      <w:r w:rsidR="008A04D3" w:rsidRPr="008A04D3">
        <w:rPr>
          <w:rFonts w:hint="eastAsia"/>
          <w:color w:val="FF0000"/>
          <w:szCs w:val="21"/>
        </w:rPr>
        <w:t>新装水泵控制箱，内配</w:t>
      </w:r>
      <w:r w:rsidR="008A04D3" w:rsidRPr="008A04D3">
        <w:rPr>
          <w:rFonts w:hint="eastAsia"/>
          <w:color w:val="FF0000"/>
          <w:szCs w:val="21"/>
        </w:rPr>
        <w:t>1</w:t>
      </w:r>
      <w:r w:rsidR="008A04D3" w:rsidRPr="008A04D3">
        <w:rPr>
          <w:rFonts w:hint="eastAsia"/>
          <w:color w:val="FF0000"/>
          <w:szCs w:val="21"/>
        </w:rPr>
        <w:t>主</w:t>
      </w:r>
      <w:r w:rsidR="008A04D3" w:rsidRPr="008A04D3">
        <w:rPr>
          <w:rFonts w:hint="eastAsia"/>
          <w:color w:val="FF0000"/>
          <w:szCs w:val="21"/>
        </w:rPr>
        <w:t>1</w:t>
      </w:r>
      <w:r w:rsidR="008A04D3" w:rsidRPr="008A04D3">
        <w:rPr>
          <w:rFonts w:hint="eastAsia"/>
          <w:color w:val="FF0000"/>
          <w:szCs w:val="21"/>
        </w:rPr>
        <w:t>备自动转换水位控制系统，指示灯元件等；</w:t>
      </w:r>
      <w:r w:rsidR="008A04D3">
        <w:rPr>
          <w:rFonts w:hint="eastAsia"/>
          <w:color w:val="FF0000"/>
          <w:szCs w:val="21"/>
        </w:rPr>
        <w:t>3.</w:t>
      </w:r>
      <w:r w:rsidR="008A04D3" w:rsidRPr="008A04D3">
        <w:rPr>
          <w:rFonts w:hint="eastAsia"/>
          <w:color w:val="FF0000"/>
          <w:szCs w:val="21"/>
        </w:rPr>
        <w:t>5.</w:t>
      </w:r>
      <w:r w:rsidR="008A04D3" w:rsidRPr="008A04D3">
        <w:rPr>
          <w:rFonts w:hint="eastAsia"/>
          <w:color w:val="FF0000"/>
          <w:szCs w:val="21"/>
        </w:rPr>
        <w:t>安装</w:t>
      </w:r>
      <w:r w:rsidR="008A04D3" w:rsidRPr="008A04D3">
        <w:rPr>
          <w:rFonts w:hint="eastAsia"/>
          <w:color w:val="FF0000"/>
          <w:szCs w:val="21"/>
        </w:rPr>
        <w:t>PVC</w:t>
      </w:r>
      <w:r w:rsidR="008A04D3" w:rsidRPr="008A04D3">
        <w:rPr>
          <w:rFonts w:hint="eastAsia"/>
          <w:color w:val="FF0000"/>
          <w:szCs w:val="21"/>
        </w:rPr>
        <w:t>透明钢丝管；</w:t>
      </w:r>
      <w:r w:rsidR="008A04D3">
        <w:rPr>
          <w:rFonts w:hint="eastAsia"/>
          <w:color w:val="FF0000"/>
          <w:szCs w:val="21"/>
        </w:rPr>
        <w:t>3.</w:t>
      </w:r>
      <w:r w:rsidR="008A04D3" w:rsidRPr="008A04D3">
        <w:rPr>
          <w:rFonts w:hint="eastAsia"/>
          <w:color w:val="FF0000"/>
          <w:szCs w:val="21"/>
        </w:rPr>
        <w:t>6.</w:t>
      </w:r>
      <w:r w:rsidR="008A04D3" w:rsidRPr="008A04D3">
        <w:rPr>
          <w:rFonts w:hint="eastAsia"/>
          <w:color w:val="FF0000"/>
          <w:szCs w:val="21"/>
        </w:rPr>
        <w:t>旧水管除锈，刷防锈漆</w:t>
      </w:r>
      <w:proofErr w:type="gramStart"/>
      <w:r w:rsidR="008A04D3" w:rsidRPr="008A04D3">
        <w:rPr>
          <w:rFonts w:hint="eastAsia"/>
          <w:color w:val="FF0000"/>
          <w:szCs w:val="21"/>
        </w:rPr>
        <w:t>1</w:t>
      </w:r>
      <w:r w:rsidR="008A04D3" w:rsidRPr="008A04D3">
        <w:rPr>
          <w:rFonts w:hint="eastAsia"/>
          <w:color w:val="FF0000"/>
          <w:szCs w:val="21"/>
        </w:rPr>
        <w:t>遍刷银漆</w:t>
      </w:r>
      <w:proofErr w:type="gramEnd"/>
      <w:r w:rsidR="008A04D3" w:rsidRPr="008A04D3">
        <w:rPr>
          <w:rFonts w:hint="eastAsia"/>
          <w:color w:val="FF0000"/>
          <w:szCs w:val="21"/>
        </w:rPr>
        <w:t>2</w:t>
      </w:r>
      <w:r w:rsidR="008A04D3" w:rsidRPr="008A04D3">
        <w:rPr>
          <w:rFonts w:hint="eastAsia"/>
          <w:color w:val="FF0000"/>
          <w:szCs w:val="21"/>
        </w:rPr>
        <w:t>遍；</w:t>
      </w:r>
      <w:r w:rsidR="008A04D3">
        <w:rPr>
          <w:rFonts w:hint="eastAsia"/>
          <w:color w:val="FF0000"/>
          <w:szCs w:val="21"/>
        </w:rPr>
        <w:t>3.</w:t>
      </w:r>
      <w:r w:rsidR="008A04D3" w:rsidRPr="008A04D3">
        <w:rPr>
          <w:rFonts w:hint="eastAsia"/>
          <w:color w:val="FF0000"/>
          <w:szCs w:val="21"/>
        </w:rPr>
        <w:t>7.</w:t>
      </w:r>
      <w:r w:rsidR="008A04D3" w:rsidRPr="008A04D3">
        <w:rPr>
          <w:rFonts w:hint="eastAsia"/>
          <w:color w:val="FF0000"/>
          <w:szCs w:val="21"/>
        </w:rPr>
        <w:t>明装</w:t>
      </w:r>
      <w:r w:rsidR="008A04D3" w:rsidRPr="008A04D3">
        <w:rPr>
          <w:rFonts w:hint="eastAsia"/>
          <w:color w:val="FF0000"/>
          <w:szCs w:val="21"/>
        </w:rPr>
        <w:t>PVC</w:t>
      </w:r>
      <w:r w:rsidR="008A04D3" w:rsidRPr="008A04D3">
        <w:rPr>
          <w:rFonts w:hint="eastAsia"/>
          <w:color w:val="FF0000"/>
          <w:szCs w:val="21"/>
        </w:rPr>
        <w:t>线槽；</w:t>
      </w:r>
      <w:r w:rsidR="008A04D3">
        <w:rPr>
          <w:rFonts w:hint="eastAsia"/>
          <w:color w:val="FF0000"/>
          <w:szCs w:val="21"/>
        </w:rPr>
        <w:t>3.</w:t>
      </w:r>
      <w:r w:rsidR="008A04D3" w:rsidRPr="008A04D3">
        <w:rPr>
          <w:rFonts w:hint="eastAsia"/>
          <w:color w:val="FF0000"/>
          <w:szCs w:val="21"/>
        </w:rPr>
        <w:t>8.</w:t>
      </w:r>
      <w:r w:rsidR="008A04D3">
        <w:rPr>
          <w:rFonts w:hint="eastAsia"/>
          <w:color w:val="FF0000"/>
          <w:szCs w:val="21"/>
        </w:rPr>
        <w:t>安装多股铜芯线</w:t>
      </w:r>
      <w:r w:rsidR="008A04D3" w:rsidRPr="008A04D3">
        <w:rPr>
          <w:rFonts w:hint="eastAsia"/>
          <w:color w:val="FF0000"/>
          <w:szCs w:val="21"/>
        </w:rPr>
        <w:t>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5A229C92"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8A04D3" w:rsidRPr="008A04D3">
        <w:rPr>
          <w:rFonts w:hint="eastAsia"/>
          <w:color w:val="FF0000"/>
          <w:szCs w:val="21"/>
        </w:rPr>
        <w:t>具有建筑机电安装工程专业承包叁级及以上资质的施工企业</w:t>
      </w:r>
      <w:r w:rsidR="00694DE7" w:rsidRPr="00694DE7">
        <w:rPr>
          <w:rFonts w:hint="eastAsia"/>
          <w:color w:val="FF0000"/>
          <w:szCs w:val="21"/>
        </w:rPr>
        <w:t>。</w:t>
      </w:r>
    </w:p>
    <w:p w14:paraId="0CB8EFBB" w14:textId="5039AFB8"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851598">
        <w:rPr>
          <w:rFonts w:hint="eastAsia"/>
          <w:color w:val="FF0000"/>
          <w:szCs w:val="21"/>
        </w:rPr>
        <w:t>04</w:t>
      </w:r>
      <w:r>
        <w:rPr>
          <w:rFonts w:hint="eastAsia"/>
          <w:color w:val="FF0000"/>
          <w:szCs w:val="21"/>
        </w:rPr>
        <w:t>月</w:t>
      </w:r>
      <w:r w:rsidR="00B81770">
        <w:rPr>
          <w:color w:val="FF0000"/>
          <w:szCs w:val="21"/>
        </w:rPr>
        <w:t>28</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B81770">
        <w:rPr>
          <w:color w:val="FF0000"/>
          <w:szCs w:val="21"/>
        </w:rPr>
        <w:t>05</w:t>
      </w:r>
      <w:r>
        <w:rPr>
          <w:rFonts w:hint="eastAsia"/>
          <w:color w:val="FF0000"/>
          <w:szCs w:val="21"/>
        </w:rPr>
        <w:t>月</w:t>
      </w:r>
      <w:r w:rsidR="00B81770">
        <w:rPr>
          <w:color w:val="FF0000"/>
          <w:szCs w:val="21"/>
        </w:rPr>
        <w:t>14</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8A04D3">
        <w:rPr>
          <w:color w:val="FF0000"/>
          <w:szCs w:val="21"/>
        </w:rPr>
        <w:t>131,633.00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66400603"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proofErr w:type="gramStart"/>
      <w:r w:rsidR="00533D23">
        <w:rPr>
          <w:rFonts w:hint="eastAsia"/>
          <w:color w:val="FF0000"/>
          <w:szCs w:val="21"/>
        </w:rPr>
        <w:t>王</w:t>
      </w:r>
      <w:r w:rsidR="00694DE7">
        <w:rPr>
          <w:rFonts w:hint="eastAsia"/>
          <w:color w:val="FF0000"/>
          <w:szCs w:val="21"/>
        </w:rPr>
        <w:t>工</w:t>
      </w:r>
      <w:proofErr w:type="gramEnd"/>
      <w:r w:rsidR="006F0EF9" w:rsidRPr="006F0EF9">
        <w:rPr>
          <w:rFonts w:hint="eastAsia"/>
          <w:color w:val="FF0000"/>
          <w:szCs w:val="21"/>
        </w:rPr>
        <w:t xml:space="preserve">  </w:t>
      </w:r>
      <w:r w:rsidR="006F0EF9" w:rsidRPr="006F0EF9">
        <w:rPr>
          <w:rFonts w:hint="eastAsia"/>
          <w:color w:val="FF0000"/>
          <w:szCs w:val="21"/>
        </w:rPr>
        <w:t>联系电话：</w:t>
      </w:r>
      <w:r w:rsidR="00533D23">
        <w:rPr>
          <w:color w:val="FF0000"/>
          <w:szCs w:val="21"/>
        </w:rPr>
        <w:t>26534478</w:t>
      </w:r>
    </w:p>
    <w:p w14:paraId="7C8428B9" w14:textId="0533F82F"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B81770">
        <w:rPr>
          <w:color w:val="FF0000"/>
          <w:kern w:val="0"/>
          <w:szCs w:val="21"/>
        </w:rPr>
        <w:t>05</w:t>
      </w:r>
      <w:r w:rsidR="00316062">
        <w:rPr>
          <w:rFonts w:hint="eastAsia"/>
          <w:color w:val="FF0000"/>
          <w:kern w:val="0"/>
          <w:szCs w:val="21"/>
        </w:rPr>
        <w:t>月</w:t>
      </w:r>
      <w:r w:rsidR="00B81770">
        <w:rPr>
          <w:color w:val="FF0000"/>
          <w:kern w:val="0"/>
          <w:szCs w:val="21"/>
        </w:rPr>
        <w:t>15</w:t>
      </w:r>
      <w:r w:rsidR="006D6E8C">
        <w:rPr>
          <w:rFonts w:hint="eastAsia"/>
          <w:color w:val="FF0000"/>
          <w:kern w:val="0"/>
          <w:szCs w:val="21"/>
        </w:rPr>
        <w:t>日（星期</w:t>
      </w:r>
      <w:r w:rsidR="00B81770">
        <w:rPr>
          <w:rFonts w:hint="eastAsia"/>
          <w:color w:val="FF0000"/>
          <w:kern w:val="0"/>
          <w:szCs w:val="21"/>
        </w:rPr>
        <w:t>三</w:t>
      </w:r>
      <w:r w:rsidR="00316062">
        <w:rPr>
          <w:rFonts w:hint="eastAsia"/>
          <w:color w:val="FF0000"/>
          <w:kern w:val="0"/>
          <w:szCs w:val="21"/>
        </w:rPr>
        <w:t>）</w:t>
      </w:r>
      <w:r w:rsidR="00B81770">
        <w:rPr>
          <w:color w:val="FF0000"/>
          <w:kern w:val="0"/>
          <w:szCs w:val="21"/>
        </w:rPr>
        <w:t>15</w:t>
      </w:r>
      <w:r w:rsidR="00316062">
        <w:rPr>
          <w:color w:val="FF0000"/>
          <w:kern w:val="0"/>
          <w:szCs w:val="21"/>
        </w:rPr>
        <w:t>:</w:t>
      </w:r>
      <w:r w:rsidR="00B81770">
        <w:rPr>
          <w:color w:val="FF0000"/>
          <w:kern w:val="0"/>
          <w:szCs w:val="21"/>
        </w:rPr>
        <w:t>00</w:t>
      </w:r>
      <w:r w:rsidR="00316062">
        <w:rPr>
          <w:rFonts w:hint="eastAsia"/>
          <w:color w:val="FF0000"/>
          <w:kern w:val="0"/>
          <w:szCs w:val="21"/>
        </w:rPr>
        <w:t>（北京时间）</w:t>
      </w:r>
    </w:p>
    <w:p w14:paraId="751B3724" w14:textId="548D7BAF" w:rsidR="001459DC" w:rsidRPr="00851598"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B81770">
        <w:rPr>
          <w:color w:val="FF0000"/>
          <w:kern w:val="0"/>
          <w:szCs w:val="21"/>
        </w:rPr>
        <w:t>2019</w:t>
      </w:r>
      <w:r w:rsidR="00B81770">
        <w:rPr>
          <w:rFonts w:hint="eastAsia"/>
          <w:color w:val="FF0000"/>
          <w:kern w:val="0"/>
          <w:szCs w:val="21"/>
        </w:rPr>
        <w:t>年</w:t>
      </w:r>
      <w:r w:rsidR="00B81770">
        <w:rPr>
          <w:color w:val="FF0000"/>
          <w:kern w:val="0"/>
          <w:szCs w:val="21"/>
        </w:rPr>
        <w:t>05</w:t>
      </w:r>
      <w:r w:rsidR="00B81770">
        <w:rPr>
          <w:rFonts w:hint="eastAsia"/>
          <w:color w:val="FF0000"/>
          <w:kern w:val="0"/>
          <w:szCs w:val="21"/>
        </w:rPr>
        <w:t>月</w:t>
      </w:r>
      <w:r w:rsidR="00B81770">
        <w:rPr>
          <w:color w:val="FF0000"/>
          <w:kern w:val="0"/>
          <w:szCs w:val="21"/>
        </w:rPr>
        <w:t>15</w:t>
      </w:r>
      <w:r w:rsidR="00B81770">
        <w:rPr>
          <w:rFonts w:hint="eastAsia"/>
          <w:color w:val="FF0000"/>
          <w:kern w:val="0"/>
          <w:szCs w:val="21"/>
        </w:rPr>
        <w:t>日（星期三）</w:t>
      </w:r>
      <w:r w:rsidR="00B81770">
        <w:rPr>
          <w:color w:val="FF0000"/>
          <w:kern w:val="0"/>
          <w:szCs w:val="21"/>
        </w:rPr>
        <w:t>15:00</w:t>
      </w:r>
      <w:r w:rsidR="00B81770">
        <w:rPr>
          <w:rFonts w:hint="eastAsia"/>
          <w:color w:val="FF0000"/>
          <w:kern w:val="0"/>
          <w:szCs w:val="21"/>
        </w:rPr>
        <w:t>（北京时间）</w:t>
      </w:r>
      <w:bookmarkStart w:id="1" w:name="_GoBack"/>
      <w:bookmarkEnd w:id="1"/>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4C43E61" w14:textId="77777777" w:rsidR="008A04D3" w:rsidRPr="00694DE7" w:rsidRDefault="008A04D3" w:rsidP="008A04D3">
      <w:pPr>
        <w:spacing w:line="360" w:lineRule="auto"/>
        <w:jc w:val="left"/>
        <w:rPr>
          <w:color w:val="FF0000"/>
          <w:szCs w:val="21"/>
        </w:rPr>
      </w:pPr>
      <w:r w:rsidRPr="008A04D3">
        <w:rPr>
          <w:rFonts w:hint="eastAsia"/>
          <w:color w:val="FF0000"/>
          <w:szCs w:val="21"/>
        </w:rPr>
        <w:t>具有建筑机电安装工程专业承包叁级及以上资质的施工企业</w:t>
      </w:r>
      <w:r w:rsidRPr="00694DE7">
        <w:rPr>
          <w:rFonts w:hint="eastAsia"/>
          <w:color w:val="FF0000"/>
          <w:szCs w:val="21"/>
        </w:rPr>
        <w:t>。</w:t>
      </w:r>
    </w:p>
    <w:p w14:paraId="3528FFBD" w14:textId="715734DC"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533D23">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Pr="00533D23"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四、投标报价说明：</w:t>
      </w:r>
    </w:p>
    <w:p w14:paraId="3125C094" w14:textId="579742DA" w:rsidR="00AB7628" w:rsidRPr="00533D23" w:rsidRDefault="00AB7628" w:rsidP="00946AE1">
      <w:pPr>
        <w:jc w:val="left"/>
        <w:rPr>
          <w:rFonts w:ascii="宋体" w:eastAsia="宋体" w:hAnsi="宋体" w:cs="宋体"/>
          <w:color w:val="FF0000"/>
          <w:kern w:val="0"/>
          <w:sz w:val="22"/>
        </w:rPr>
      </w:pPr>
      <w:r w:rsidRPr="00533D23">
        <w:rPr>
          <w:rFonts w:ascii="仿宋" w:eastAsia="仿宋" w:hint="eastAsia"/>
          <w:color w:val="000000"/>
          <w:sz w:val="24"/>
        </w:rPr>
        <w:t xml:space="preserve">　　1、投标报价统一以 "20</w:t>
      </w:r>
      <w:r w:rsidRPr="00533D23">
        <w:rPr>
          <w:rFonts w:ascii="仿宋" w:eastAsia="仿宋"/>
          <w:color w:val="000000"/>
          <w:sz w:val="24"/>
        </w:rPr>
        <w:t>1</w:t>
      </w:r>
      <w:r w:rsidRPr="00533D23">
        <w:rPr>
          <w:rFonts w:ascii="仿宋" w:eastAsia="仿宋" w:hint="eastAsia"/>
          <w:color w:val="000000"/>
          <w:sz w:val="24"/>
        </w:rPr>
        <w:t>3国标清单"形式进行编制，参考定额"2003深圳市装饰（安装或建筑）工程综合价格"的四类取费，参考</w:t>
      </w:r>
      <w:proofErr w:type="gramStart"/>
      <w:r w:rsidRPr="00533D23">
        <w:rPr>
          <w:rFonts w:ascii="仿宋" w:eastAsia="仿宋" w:hint="eastAsia"/>
          <w:color w:val="000000"/>
          <w:sz w:val="24"/>
        </w:rPr>
        <w:t>信息价</w:t>
      </w:r>
      <w:proofErr w:type="gramEnd"/>
      <w:r w:rsidRPr="00533D23">
        <w:rPr>
          <w:rFonts w:ascii="仿宋" w:eastAsia="仿宋" w:hint="eastAsia"/>
          <w:color w:val="000000"/>
          <w:sz w:val="24"/>
        </w:rPr>
        <w:t>"深圳市价格信息（</w:t>
      </w:r>
      <w:r w:rsidR="00B97328" w:rsidRPr="00533D23">
        <w:rPr>
          <w:rFonts w:ascii="宋体" w:eastAsia="宋体" w:hAnsi="宋体" w:cs="宋体"/>
          <w:color w:val="FF0000"/>
          <w:kern w:val="0"/>
          <w:sz w:val="22"/>
        </w:rPr>
        <w:t>2018</w:t>
      </w:r>
      <w:r w:rsidRPr="00533D23">
        <w:rPr>
          <w:rFonts w:ascii="宋体" w:eastAsia="宋体" w:hAnsi="宋体" w:cs="宋体" w:hint="eastAsia"/>
          <w:color w:val="FF0000"/>
          <w:kern w:val="0"/>
          <w:sz w:val="22"/>
        </w:rPr>
        <w:t xml:space="preserve">年第 </w:t>
      </w:r>
      <w:r w:rsidR="00B97328" w:rsidRPr="00533D23">
        <w:rPr>
          <w:rFonts w:ascii="宋体" w:eastAsia="宋体" w:hAnsi="宋体" w:cs="宋体"/>
          <w:color w:val="FF0000"/>
          <w:kern w:val="0"/>
          <w:sz w:val="22"/>
        </w:rPr>
        <w:t>1</w:t>
      </w:r>
      <w:r w:rsidRPr="00533D23">
        <w:rPr>
          <w:rFonts w:ascii="宋体" w:eastAsia="宋体" w:hAnsi="宋体" w:cs="宋体" w:hint="eastAsia"/>
          <w:color w:val="FF0000"/>
          <w:kern w:val="0"/>
          <w:sz w:val="22"/>
        </w:rPr>
        <w:t xml:space="preserve"> 期</w:t>
      </w:r>
      <w:r w:rsidRPr="00533D23">
        <w:rPr>
          <w:rFonts w:ascii="仿宋" w:eastAsia="仿宋" w:hint="eastAsia"/>
          <w:color w:val="000000"/>
          <w:sz w:val="24"/>
        </w:rPr>
        <w:t>）"。（投标报价书格式见附表）</w:t>
      </w:r>
    </w:p>
    <w:p w14:paraId="1059C2AA" w14:textId="77777777" w:rsidR="00AB7628" w:rsidRPr="00533D23"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sidRPr="00533D23">
        <w:rPr>
          <w:rFonts w:ascii="仿宋" w:eastAsia="仿宋" w:hint="eastAsia"/>
          <w:color w:val="000000"/>
          <w:sz w:val="24"/>
        </w:rPr>
        <w:lastRenderedPageBreak/>
        <w:t>子目录”。</w:t>
      </w:r>
    </w:p>
    <w:p w14:paraId="5E8D9F84" w14:textId="77777777" w:rsidR="00AB7628" w:rsidRPr="00533D23"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 xml:space="preserve">　　3、如“工程量清单”中未列入的工作内容，但现场施工时又不可避免发生的工程量视为</w:t>
      </w:r>
      <w:proofErr w:type="gramStart"/>
      <w:r w:rsidRPr="00533D23">
        <w:rPr>
          <w:rFonts w:ascii="仿宋" w:eastAsia="仿宋" w:hint="eastAsia"/>
          <w:color w:val="000000"/>
          <w:sz w:val="24"/>
        </w:rPr>
        <w:t>已综合</w:t>
      </w:r>
      <w:proofErr w:type="gramEnd"/>
      <w:r w:rsidRPr="00533D23">
        <w:rPr>
          <w:rFonts w:ascii="仿宋" w:eastAsia="仿宋" w:hint="eastAsia"/>
          <w:color w:val="000000"/>
          <w:sz w:val="24"/>
        </w:rPr>
        <w:t>考虑在其它工作中，</w:t>
      </w:r>
      <w:proofErr w:type="gramStart"/>
      <w:r w:rsidRPr="00533D23">
        <w:rPr>
          <w:rFonts w:ascii="仿宋" w:eastAsia="仿宋" w:hint="eastAsia"/>
          <w:color w:val="000000"/>
          <w:sz w:val="24"/>
        </w:rPr>
        <w:t>即施工</w:t>
      </w:r>
      <w:proofErr w:type="gramEnd"/>
      <w:r w:rsidRPr="00533D23">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533D23">
        <w:rPr>
          <w:rFonts w:ascii="仿宋" w:eastAsia="仿宋" w:hint="eastAsia"/>
          <w:b/>
          <w:color w:val="000000"/>
          <w:sz w:val="24"/>
        </w:rPr>
        <w:t>缺少上述任</w:t>
      </w:r>
      <w:proofErr w:type="gramStart"/>
      <w:r w:rsidRPr="00533D23">
        <w:rPr>
          <w:rFonts w:ascii="仿宋" w:eastAsia="仿宋" w:hint="eastAsia"/>
          <w:b/>
          <w:color w:val="000000"/>
          <w:sz w:val="24"/>
        </w:rPr>
        <w:t>一</w:t>
      </w:r>
      <w:proofErr w:type="gramEnd"/>
      <w:r w:rsidRPr="00533D23">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38AC7D9"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533D23">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533D23">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05F4ACF7"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一、本工程不支付预付款，当工程完工通过验收经审计完毕后，提交保修款后一次性付清。</w:t>
      </w:r>
    </w:p>
    <w:p w14:paraId="169C37B4"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二、质量保修的支付：</w:t>
      </w:r>
    </w:p>
    <w:p w14:paraId="0211C22C"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 xml:space="preserve">　　1.本工程约定的工程质量保修金为施工合同价款的3%；</w:t>
      </w:r>
    </w:p>
    <w:p w14:paraId="7E52B3EC"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533D23">
        <w:rPr>
          <w:rFonts w:ascii="宋体" w:eastAsia="宋体" w:hAnsi="宋体" w:cs="宋体" w:hint="eastAsia"/>
          <w:color w:val="0033CC"/>
          <w:kern w:val="0"/>
          <w:sz w:val="24"/>
          <w:szCs w:val="24"/>
        </w:rPr>
        <w:t>转帐</w:t>
      </w:r>
      <w:proofErr w:type="gramEnd"/>
      <w:r w:rsidRPr="00533D23">
        <w:rPr>
          <w:rFonts w:ascii="宋体" w:eastAsia="宋体" w:hAnsi="宋体" w:cs="宋体" w:hint="eastAsia"/>
          <w:color w:val="0033CC"/>
          <w:kern w:val="0"/>
          <w:sz w:val="24"/>
          <w:szCs w:val="24"/>
        </w:rPr>
        <w:t>方式转入甲方</w:t>
      </w:r>
      <w:proofErr w:type="gramStart"/>
      <w:r w:rsidRPr="00533D23">
        <w:rPr>
          <w:rFonts w:ascii="宋体" w:eastAsia="宋体" w:hAnsi="宋体" w:cs="宋体" w:hint="eastAsia"/>
          <w:color w:val="0033CC"/>
          <w:kern w:val="0"/>
          <w:sz w:val="24"/>
          <w:szCs w:val="24"/>
        </w:rPr>
        <w:t>帐号</w:t>
      </w:r>
      <w:proofErr w:type="gramEnd"/>
      <w:r w:rsidRPr="00533D23">
        <w:rPr>
          <w:rFonts w:ascii="宋体" w:eastAsia="宋体" w:hAnsi="宋体" w:cs="宋体" w:hint="eastAsia"/>
          <w:color w:val="0033CC"/>
          <w:kern w:val="0"/>
          <w:sz w:val="24"/>
          <w:szCs w:val="24"/>
        </w:rPr>
        <w:t>。</w:t>
      </w:r>
    </w:p>
    <w:p w14:paraId="7547012F" w14:textId="77777777" w:rsid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三、合同文本条款与“补充条款”约定有冲突时，以补充条款为准。</w:t>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9112A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9112A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26695" w14:textId="77777777" w:rsidR="009112AC" w:rsidRDefault="009112AC" w:rsidP="00953664">
      <w:r>
        <w:separator/>
      </w:r>
    </w:p>
  </w:endnote>
  <w:endnote w:type="continuationSeparator" w:id="0">
    <w:p w14:paraId="495ABC9D" w14:textId="77777777" w:rsidR="009112AC" w:rsidRDefault="009112A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A04D3" w:rsidRPr="000320FA" w:rsidRDefault="008A04D3" w:rsidP="00946AE1">
    <w:pPr>
      <w:pStyle w:val="a4"/>
    </w:pPr>
    <w:r>
      <w:rPr>
        <w:rFonts w:hint="eastAsia"/>
      </w:rPr>
      <w:t xml:space="preserve">　　　　　　　　　　　　　　　　　　　　　　</w:t>
    </w:r>
    <w:r>
      <w:fldChar w:fldCharType="begin"/>
    </w:r>
    <w:r>
      <w:instrText xml:space="preserve"> PAGE  \* Arabic  \* MERGEFORMAT </w:instrText>
    </w:r>
    <w:r>
      <w:fldChar w:fldCharType="separate"/>
    </w:r>
    <w:r w:rsidR="00B81770">
      <w:rPr>
        <w:noProof/>
      </w:rPr>
      <w:t>9</w:t>
    </w:r>
    <w:r>
      <w:fldChar w:fldCharType="end"/>
    </w:r>
    <w:r>
      <w:t xml:space="preserve"> / </w:t>
    </w:r>
    <w:r>
      <w:rPr>
        <w:noProof/>
      </w:rPr>
      <w:fldChar w:fldCharType="begin"/>
    </w:r>
    <w:r>
      <w:rPr>
        <w:noProof/>
      </w:rPr>
      <w:instrText xml:space="preserve"> NUMPAGES  \* Arabic  \* MERGEFORMAT </w:instrText>
    </w:r>
    <w:r>
      <w:rPr>
        <w:noProof/>
      </w:rPr>
      <w:fldChar w:fldCharType="separate"/>
    </w:r>
    <w:r w:rsidR="00B81770">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D1C6" w14:textId="77777777" w:rsidR="009112AC" w:rsidRDefault="009112AC" w:rsidP="00953664">
      <w:r>
        <w:separator/>
      </w:r>
    </w:p>
  </w:footnote>
  <w:footnote w:type="continuationSeparator" w:id="0">
    <w:p w14:paraId="3DD82EEF" w14:textId="77777777" w:rsidR="009112AC" w:rsidRDefault="009112A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08363A4F" w:rsidR="008A04D3" w:rsidRPr="00EC0467" w:rsidRDefault="008A04D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20190104</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1E48E2"/>
    <w:rsid w:val="0020159B"/>
    <w:rsid w:val="002015F7"/>
    <w:rsid w:val="00205DA8"/>
    <w:rsid w:val="00210C5A"/>
    <w:rsid w:val="00211957"/>
    <w:rsid w:val="00222336"/>
    <w:rsid w:val="00227985"/>
    <w:rsid w:val="00241DCF"/>
    <w:rsid w:val="00244383"/>
    <w:rsid w:val="0027434A"/>
    <w:rsid w:val="002A395A"/>
    <w:rsid w:val="002E4205"/>
    <w:rsid w:val="00316062"/>
    <w:rsid w:val="00321AA9"/>
    <w:rsid w:val="003303E7"/>
    <w:rsid w:val="003345F9"/>
    <w:rsid w:val="00337216"/>
    <w:rsid w:val="00392EC4"/>
    <w:rsid w:val="003A18C3"/>
    <w:rsid w:val="003B0155"/>
    <w:rsid w:val="003B332A"/>
    <w:rsid w:val="003D42D2"/>
    <w:rsid w:val="003E0F72"/>
    <w:rsid w:val="003E42E7"/>
    <w:rsid w:val="003E4487"/>
    <w:rsid w:val="003F3A04"/>
    <w:rsid w:val="0046551F"/>
    <w:rsid w:val="00466593"/>
    <w:rsid w:val="00480854"/>
    <w:rsid w:val="00497563"/>
    <w:rsid w:val="004B2DDA"/>
    <w:rsid w:val="004C626F"/>
    <w:rsid w:val="004D5430"/>
    <w:rsid w:val="004D66C8"/>
    <w:rsid w:val="004F2853"/>
    <w:rsid w:val="004F5AFE"/>
    <w:rsid w:val="00520045"/>
    <w:rsid w:val="00533D23"/>
    <w:rsid w:val="005474F4"/>
    <w:rsid w:val="00550B13"/>
    <w:rsid w:val="0055269A"/>
    <w:rsid w:val="00563889"/>
    <w:rsid w:val="00573373"/>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1598"/>
    <w:rsid w:val="008579E6"/>
    <w:rsid w:val="0086037A"/>
    <w:rsid w:val="00884793"/>
    <w:rsid w:val="008A04D3"/>
    <w:rsid w:val="008B0D8E"/>
    <w:rsid w:val="008C3CB4"/>
    <w:rsid w:val="008E584B"/>
    <w:rsid w:val="008E6533"/>
    <w:rsid w:val="008F74A9"/>
    <w:rsid w:val="0090290B"/>
    <w:rsid w:val="0090441B"/>
    <w:rsid w:val="00910894"/>
    <w:rsid w:val="009112AC"/>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66710"/>
    <w:rsid w:val="00A84CCF"/>
    <w:rsid w:val="00AB7628"/>
    <w:rsid w:val="00AC1FD9"/>
    <w:rsid w:val="00AE28F1"/>
    <w:rsid w:val="00AE65E4"/>
    <w:rsid w:val="00B02BD9"/>
    <w:rsid w:val="00B34F9A"/>
    <w:rsid w:val="00B552C6"/>
    <w:rsid w:val="00B71951"/>
    <w:rsid w:val="00B81770"/>
    <w:rsid w:val="00B85135"/>
    <w:rsid w:val="00B97328"/>
    <w:rsid w:val="00BB1C1E"/>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13E60"/>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63F77"/>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7708D"/>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4D3"/>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9B8E-BF0B-4D16-BF5C-BE590B7B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1346</Words>
  <Characters>7673</Characters>
  <Application>Microsoft Office Word</Application>
  <DocSecurity>0</DocSecurity>
  <Lines>63</Lines>
  <Paragraphs>18</Paragraphs>
  <ScaleCrop>false</ScaleCrop>
  <Company>Microsoft</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329</cp:revision>
  <dcterms:created xsi:type="dcterms:W3CDTF">2017-09-01T01:13:00Z</dcterms:created>
  <dcterms:modified xsi:type="dcterms:W3CDTF">2019-04-28T03:18:00Z</dcterms:modified>
</cp:coreProperties>
</file>