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56"/>
        </w:rPr>
      </w:pPr>
      <w:r>
        <w:rPr>
          <w:rFonts w:hint="eastAsia"/>
          <w:sz w:val="56"/>
        </w:rPr>
        <w:tab/>
      </w:r>
      <w:r>
        <w:rPr>
          <w:sz w:val="56"/>
        </w:rPr>
        <w:tab/>
      </w:r>
      <w:r>
        <w:rPr>
          <w:rFonts w:hint="eastAsia"/>
          <w:sz w:val="56"/>
        </w:rPr>
        <w:tab/>
      </w:r>
      <w:r>
        <w:rPr>
          <w:sz w:val="56"/>
        </w:rPr>
        <w:tab/>
      </w:r>
      <w:r>
        <w:rPr>
          <w:rFonts w:hint="eastAsia"/>
          <w:sz w:val="56"/>
        </w:rPr>
        <w:tab/>
      </w:r>
    </w:p>
    <w:p>
      <w:pPr>
        <w:jc w:val="center"/>
        <w:rPr>
          <w:sz w:val="56"/>
        </w:rPr>
      </w:pPr>
    </w:p>
    <w:p>
      <w:pPr>
        <w:jc w:val="center"/>
        <w:rPr>
          <w:sz w:val="56"/>
        </w:rPr>
      </w:pPr>
    </w:p>
    <w:p>
      <w:pPr>
        <w:jc w:val="center"/>
        <w:rPr>
          <w:sz w:val="52"/>
          <w:szCs w:val="22"/>
        </w:rPr>
      </w:pPr>
      <w:r>
        <w:rPr>
          <w:rFonts w:hint="eastAsia"/>
          <w:sz w:val="52"/>
          <w:szCs w:val="22"/>
        </w:rPr>
        <w:t>深大乒乓项目综合服务中心</w:t>
      </w:r>
    </w:p>
    <w:p>
      <w:pPr>
        <w:jc w:val="center"/>
        <w:rPr>
          <w:sz w:val="56"/>
        </w:rPr>
      </w:pPr>
      <w:r>
        <w:rPr>
          <w:rFonts w:hint="eastAsia"/>
          <w:sz w:val="52"/>
          <w:szCs w:val="22"/>
        </w:rPr>
        <w:t>（华侨城</w:t>
      </w:r>
      <w:r>
        <w:rPr>
          <w:rFonts w:hint="eastAsia"/>
          <w:sz w:val="52"/>
          <w:szCs w:val="22"/>
          <w:lang w:eastAsia="zh-CN"/>
        </w:rPr>
        <w:t>基地</w:t>
      </w:r>
      <w:r>
        <w:rPr>
          <w:rFonts w:hint="eastAsia"/>
          <w:sz w:val="52"/>
          <w:szCs w:val="22"/>
        </w:rPr>
        <w:t>）装修工程</w:t>
      </w:r>
    </w:p>
    <w:p>
      <w:pPr>
        <w:jc w:val="center"/>
        <w:rPr>
          <w:b/>
          <w:sz w:val="90"/>
        </w:rPr>
      </w:pPr>
      <w:r>
        <w:rPr>
          <w:rFonts w:hint="eastAsia"/>
          <w:b/>
          <w:sz w:val="90"/>
        </w:rPr>
        <w:t>招标文件</w:t>
      </w:r>
    </w:p>
    <w:p>
      <w:pPr>
        <w:jc w:val="center"/>
        <w:rPr>
          <w:sz w:val="30"/>
        </w:rPr>
      </w:pPr>
      <w:r>
        <w:rPr>
          <w:rFonts w:hint="eastAsia"/>
          <w:sz w:val="30"/>
        </w:rPr>
        <w:t>（</w:t>
      </w:r>
      <w:r>
        <w:rPr>
          <w:rFonts w:hint="eastAsia"/>
          <w:color w:val="FF0000"/>
          <w:sz w:val="30"/>
        </w:rPr>
        <w:t>招标编号：</w:t>
      </w:r>
      <w:r>
        <w:rPr>
          <w:rFonts w:hint="eastAsia"/>
          <w:color w:val="FF0000"/>
          <w:sz w:val="30"/>
          <w:lang w:eastAsia="zh-CN"/>
        </w:rPr>
        <w:t>SZUTT2021001GC</w:t>
      </w:r>
      <w:r>
        <w:rPr>
          <w:rFonts w:hint="eastAsia"/>
          <w:sz w:val="30"/>
        </w:rPr>
        <w:t>）</w:t>
      </w:r>
    </w:p>
    <w:p>
      <w:pPr>
        <w:jc w:val="center"/>
        <w:rPr>
          <w:sz w:val="90"/>
        </w:rPr>
      </w:pPr>
    </w:p>
    <w:p>
      <w:pPr>
        <w:jc w:val="center"/>
        <w:rPr>
          <w:sz w:val="90"/>
        </w:rPr>
      </w:pPr>
    </w:p>
    <w:p>
      <w:pPr>
        <w:jc w:val="center"/>
        <w:rPr>
          <w:sz w:val="90"/>
        </w:rPr>
      </w:pPr>
    </w:p>
    <w:p>
      <w:pPr>
        <w:jc w:val="center"/>
        <w:rPr>
          <w:sz w:val="90"/>
        </w:rPr>
      </w:pPr>
    </w:p>
    <w:p>
      <w:pPr>
        <w:jc w:val="center"/>
        <w:rPr>
          <w:sz w:val="90"/>
        </w:rPr>
      </w:pPr>
    </w:p>
    <w:p>
      <w:pPr>
        <w:spacing w:line="360" w:lineRule="auto"/>
        <w:jc w:val="center"/>
        <w:rPr>
          <w:sz w:val="90"/>
        </w:rPr>
      </w:pPr>
    </w:p>
    <w:p>
      <w:pPr>
        <w:spacing w:line="360" w:lineRule="auto"/>
        <w:jc w:val="center"/>
        <w:rPr>
          <w:sz w:val="30"/>
        </w:rPr>
      </w:pPr>
      <w:r>
        <w:rPr>
          <w:rFonts w:hint="eastAsia"/>
          <w:sz w:val="30"/>
        </w:rPr>
        <w:t>深圳市深大体育文化发展有限公司</w:t>
      </w:r>
    </w:p>
    <w:p>
      <w:pPr>
        <w:spacing w:line="360" w:lineRule="auto"/>
        <w:jc w:val="center"/>
        <w:rPr>
          <w:sz w:val="30"/>
        </w:rPr>
      </w:pPr>
      <w:r>
        <w:rPr>
          <w:rFonts w:hint="eastAsia"/>
          <w:sz w:val="30"/>
        </w:rPr>
        <w:t>二零二</w:t>
      </w:r>
      <w:r>
        <w:rPr>
          <w:rFonts w:hint="eastAsia"/>
          <w:sz w:val="30"/>
          <w:lang w:eastAsia="zh-CN"/>
        </w:rPr>
        <w:t>一</w:t>
      </w:r>
      <w:r>
        <w:rPr>
          <w:rFonts w:hint="eastAsia"/>
          <w:sz w:val="30"/>
        </w:rPr>
        <w:t>年</w:t>
      </w:r>
      <w:r>
        <w:rPr>
          <w:rFonts w:hint="eastAsia"/>
          <w:sz w:val="30"/>
          <w:lang w:eastAsia="zh-CN"/>
        </w:rPr>
        <w:t>一</w:t>
      </w:r>
      <w:r>
        <w:rPr>
          <w:rFonts w:hint="eastAsia"/>
          <w:sz w:val="30"/>
        </w:rPr>
        <w:t>月</w:t>
      </w:r>
    </w:p>
    <w:p/>
    <w:p>
      <w:pPr>
        <w:pStyle w:val="2"/>
        <w:rPr>
          <w:rFonts w:ascii="华文新魏" w:hAnsi="华文新魏" w:eastAsia="华文新魏" w:cs="华文新魏"/>
          <w:sz w:val="52"/>
          <w:szCs w:val="52"/>
        </w:rPr>
      </w:pPr>
    </w:p>
    <w:p>
      <w:pPr>
        <w:pStyle w:val="2"/>
        <w:rPr>
          <w:rFonts w:ascii="华文新魏" w:hAnsi="华文新魏" w:eastAsia="华文新魏" w:cs="华文新魏"/>
          <w:sz w:val="52"/>
          <w:szCs w:val="52"/>
        </w:rPr>
      </w:pPr>
      <w:r>
        <w:rPr>
          <w:rFonts w:hint="eastAsia" w:ascii="华文新魏" w:hAnsi="华文新魏" w:eastAsia="华文新魏" w:cs="华文新魏"/>
          <w:sz w:val="52"/>
          <w:szCs w:val="52"/>
        </w:rPr>
        <w:t>关键信息</w:t>
      </w:r>
    </w:p>
    <w:p>
      <w:pPr>
        <w:pStyle w:val="5"/>
        <w:spacing w:line="360" w:lineRule="auto"/>
        <w:rPr>
          <w:sz w:val="36"/>
          <w:szCs w:val="36"/>
        </w:rPr>
      </w:pPr>
      <w:r>
        <w:rPr>
          <w:rFonts w:hint="eastAsia"/>
          <w:sz w:val="36"/>
          <w:szCs w:val="36"/>
        </w:rPr>
        <w:t>项目信息</w:t>
      </w:r>
    </w:p>
    <w:p>
      <w:pPr>
        <w:spacing w:line="360" w:lineRule="auto"/>
        <w:rPr>
          <w:rFonts w:hint="eastAsia" w:ascii="宋体" w:hAnsi="宋体" w:eastAsia="宋体"/>
          <w:color w:val="auto"/>
          <w:sz w:val="32"/>
          <w:lang w:eastAsia="zh-CN"/>
        </w:rPr>
      </w:pPr>
      <w:r>
        <w:rPr>
          <w:rFonts w:ascii="宋体" w:hAnsi="宋体"/>
          <w:sz w:val="32"/>
        </w:rPr>
        <w:t xml:space="preserve">      项目编号</w:t>
      </w:r>
      <w:r>
        <w:rPr>
          <w:rFonts w:ascii="宋体" w:hAnsi="宋体"/>
          <w:color w:val="auto"/>
          <w:sz w:val="32"/>
        </w:rPr>
        <w:t xml:space="preserve">：  </w:t>
      </w:r>
      <w:r>
        <w:rPr>
          <w:rFonts w:hint="eastAsia" w:ascii="宋体" w:hAnsi="宋体"/>
          <w:color w:val="auto"/>
          <w:sz w:val="32"/>
          <w:lang w:eastAsia="zh-CN"/>
        </w:rPr>
        <w:t>SZUTT2021001GC</w:t>
      </w:r>
    </w:p>
    <w:p>
      <w:pPr>
        <w:spacing w:line="360" w:lineRule="auto"/>
        <w:ind w:firstLine="960" w:firstLineChars="300"/>
        <w:rPr>
          <w:rFonts w:hint="eastAsia" w:ascii="宋体" w:hAnsi="宋体"/>
          <w:color w:val="auto"/>
          <w:sz w:val="32"/>
          <w:szCs w:val="32"/>
        </w:rPr>
      </w:pPr>
      <w:r>
        <w:rPr>
          <w:rFonts w:ascii="宋体" w:hAnsi="宋体"/>
          <w:color w:val="auto"/>
          <w:sz w:val="32"/>
        </w:rPr>
        <w:t xml:space="preserve">项目名称：  </w:t>
      </w:r>
      <w:r>
        <w:rPr>
          <w:rFonts w:hint="eastAsia" w:ascii="宋体" w:hAnsi="宋体"/>
          <w:color w:val="auto"/>
          <w:sz w:val="32"/>
          <w:szCs w:val="32"/>
        </w:rPr>
        <w:t>深大乒乓项目综合服务中心（华侨城</w:t>
      </w:r>
    </w:p>
    <w:p>
      <w:pPr>
        <w:spacing w:line="360" w:lineRule="auto"/>
        <w:ind w:firstLine="2880" w:firstLineChars="900"/>
        <w:rPr>
          <w:rFonts w:ascii="宋体" w:hAnsi="宋体"/>
          <w:color w:val="auto"/>
          <w:sz w:val="32"/>
        </w:rPr>
      </w:pPr>
      <w:r>
        <w:rPr>
          <w:rFonts w:hint="eastAsia" w:ascii="宋体" w:hAnsi="宋体"/>
          <w:color w:val="auto"/>
          <w:sz w:val="32"/>
          <w:szCs w:val="32"/>
          <w:lang w:eastAsia="zh-CN"/>
        </w:rPr>
        <w:t>基地</w:t>
      </w:r>
      <w:r>
        <w:rPr>
          <w:rFonts w:hint="eastAsia" w:ascii="宋体" w:hAnsi="宋体"/>
          <w:color w:val="auto"/>
          <w:sz w:val="32"/>
          <w:szCs w:val="32"/>
        </w:rPr>
        <w:t>）装修工程</w:t>
      </w:r>
    </w:p>
    <w:p>
      <w:pPr>
        <w:spacing w:line="360" w:lineRule="auto"/>
        <w:rPr>
          <w:rFonts w:ascii="宋体" w:hAnsi="宋体"/>
          <w:sz w:val="32"/>
        </w:rPr>
      </w:pPr>
      <w:r>
        <w:rPr>
          <w:rFonts w:ascii="宋体" w:hAnsi="宋体"/>
          <w:sz w:val="32"/>
        </w:rPr>
        <w:t xml:space="preserve">      包   号：   </w:t>
      </w:r>
      <w:r>
        <w:rPr>
          <w:rFonts w:hint="eastAsia" w:ascii="宋体" w:hAnsi="宋体"/>
          <w:sz w:val="32"/>
        </w:rPr>
        <w:t>A</w:t>
      </w:r>
    </w:p>
    <w:p>
      <w:pPr>
        <w:spacing w:line="360" w:lineRule="auto"/>
        <w:rPr>
          <w:rFonts w:ascii="宋体" w:hAnsi="宋体"/>
          <w:sz w:val="32"/>
        </w:rPr>
      </w:pPr>
      <w:r>
        <w:rPr>
          <w:rFonts w:ascii="宋体" w:hAnsi="宋体"/>
          <w:sz w:val="32"/>
        </w:rPr>
        <w:t xml:space="preserve">      项目类型：  </w:t>
      </w:r>
      <w:r>
        <w:rPr>
          <w:rFonts w:hint="eastAsia" w:ascii="宋体" w:hAnsi="宋体"/>
          <w:sz w:val="32"/>
        </w:rPr>
        <w:t>工程</w:t>
      </w:r>
      <w:r>
        <w:rPr>
          <w:rFonts w:ascii="宋体" w:hAnsi="宋体"/>
          <w:sz w:val="32"/>
        </w:rPr>
        <w:t>类</w:t>
      </w:r>
    </w:p>
    <w:p>
      <w:pPr>
        <w:spacing w:line="360" w:lineRule="auto"/>
        <w:rPr>
          <w:rFonts w:ascii="宋体" w:hAnsi="宋体"/>
          <w:sz w:val="32"/>
        </w:rPr>
      </w:pPr>
      <w:r>
        <w:rPr>
          <w:rFonts w:ascii="宋体" w:hAnsi="宋体"/>
          <w:sz w:val="32"/>
        </w:rPr>
        <w:t xml:space="preserve">      采购方式：  公开招标</w:t>
      </w:r>
    </w:p>
    <w:p>
      <w:pPr>
        <w:spacing w:line="360" w:lineRule="auto"/>
        <w:rPr>
          <w:rFonts w:ascii="宋体" w:hAnsi="宋体"/>
          <w:sz w:val="32"/>
        </w:rPr>
      </w:pPr>
      <w:r>
        <w:rPr>
          <w:rFonts w:ascii="宋体" w:hAnsi="宋体"/>
          <w:sz w:val="32"/>
        </w:rPr>
        <w:t xml:space="preserve">      货币类型：  人民币</w:t>
      </w:r>
    </w:p>
    <w:p>
      <w:pPr>
        <w:spacing w:line="360" w:lineRule="auto"/>
        <w:rPr>
          <w:rFonts w:ascii="宋体" w:hAnsi="宋体"/>
          <w:sz w:val="32"/>
        </w:rPr>
      </w:pPr>
      <w:r>
        <w:rPr>
          <w:rFonts w:hint="eastAsia" w:ascii="宋体" w:hAnsi="宋体"/>
          <w:sz w:val="32"/>
        </w:rPr>
        <w:t xml:space="preserve">      评标方法：</w:t>
      </w:r>
      <w:r>
        <w:rPr>
          <w:rFonts w:hint="eastAsia" w:ascii="宋体" w:hAnsi="宋体"/>
          <w:sz w:val="32"/>
        </w:rPr>
        <w:tab/>
      </w:r>
      <w:r>
        <w:rPr>
          <w:rFonts w:hint="eastAsia" w:ascii="宋体" w:hAnsi="宋体"/>
          <w:sz w:val="32"/>
        </w:rPr>
        <w:t>综合评分法</w:t>
      </w:r>
    </w:p>
    <w:p>
      <w:pPr>
        <w:spacing w:line="360" w:lineRule="auto"/>
        <w:ind w:firstLine="551" w:firstLineChars="196"/>
        <w:rPr>
          <w:b/>
          <w:color w:val="FF0000"/>
          <w:sz w:val="28"/>
          <w:szCs w:val="28"/>
        </w:rPr>
      </w:pPr>
    </w:p>
    <w:p>
      <w:pPr>
        <w:rPr>
          <w:rFonts w:ascii="宋体" w:hAnsi="宋体"/>
          <w:sz w:val="28"/>
          <w:szCs w:val="28"/>
        </w:rPr>
      </w:pPr>
    </w:p>
    <w:p>
      <w:pPr>
        <w:rPr>
          <w:rFonts w:ascii="宋体" w:hAnsi="宋体"/>
          <w:sz w:val="28"/>
          <w:szCs w:val="28"/>
        </w:rPr>
      </w:pPr>
    </w:p>
    <w:p>
      <w:pPr>
        <w:rPr>
          <w:rFonts w:ascii="宋体" w:hAnsi="宋体"/>
          <w:sz w:val="28"/>
          <w:szCs w:val="28"/>
        </w:rPr>
      </w:pPr>
    </w:p>
    <w:p>
      <w:pPr>
        <w:rPr>
          <w:rFonts w:ascii="宋体" w:hAnsi="宋体"/>
          <w:sz w:val="28"/>
          <w:szCs w:val="28"/>
        </w:rPr>
      </w:pPr>
    </w:p>
    <w:p>
      <w:pPr>
        <w:rPr>
          <w:rFonts w:ascii="宋体" w:hAnsi="宋体"/>
          <w:sz w:val="28"/>
          <w:szCs w:val="28"/>
        </w:rPr>
      </w:pPr>
    </w:p>
    <w:p>
      <w:pPr>
        <w:rPr>
          <w:rFonts w:ascii="宋体" w:hAnsi="宋体"/>
          <w:sz w:val="28"/>
          <w:szCs w:val="28"/>
        </w:rPr>
      </w:pPr>
    </w:p>
    <w:p>
      <w:pPr>
        <w:rPr>
          <w:rFonts w:ascii="宋体" w:hAnsi="宋体"/>
          <w:sz w:val="28"/>
          <w:szCs w:val="28"/>
        </w:rPr>
      </w:pPr>
    </w:p>
    <w:p>
      <w:pPr>
        <w:rPr>
          <w:rFonts w:ascii="宋体" w:hAnsi="宋体"/>
          <w:sz w:val="28"/>
          <w:szCs w:val="28"/>
        </w:rPr>
      </w:pPr>
    </w:p>
    <w:p>
      <w:pPr>
        <w:rPr>
          <w:rFonts w:ascii="宋体" w:hAnsi="宋体"/>
          <w:sz w:val="28"/>
          <w:szCs w:val="28"/>
        </w:rPr>
      </w:pPr>
    </w:p>
    <w:p>
      <w:pPr>
        <w:rPr>
          <w:rFonts w:ascii="宋体" w:hAnsi="宋体"/>
          <w:sz w:val="28"/>
          <w:szCs w:val="28"/>
        </w:rPr>
      </w:pPr>
    </w:p>
    <w:p>
      <w:pPr>
        <w:rPr>
          <w:rFonts w:ascii="宋体" w:hAnsi="宋体"/>
          <w:sz w:val="28"/>
          <w:szCs w:val="28"/>
        </w:rPr>
      </w:pPr>
    </w:p>
    <w:p>
      <w:pPr>
        <w:rPr>
          <w:rFonts w:ascii="宋体" w:hAnsi="宋体"/>
          <w:sz w:val="28"/>
          <w:szCs w:val="28"/>
        </w:rPr>
      </w:pPr>
    </w:p>
    <w:p>
      <w:pPr>
        <w:keepNext/>
        <w:keepLines/>
        <w:adjustRightInd w:val="0"/>
        <w:spacing w:before="260" w:after="260"/>
        <w:jc w:val="center"/>
        <w:textAlignment w:val="baseline"/>
        <w:outlineLvl w:val="1"/>
        <w:rPr>
          <w:rFonts w:ascii="华文新魏" w:hAnsi="华文新魏" w:eastAsia="华文新魏" w:cs="华文新魏"/>
          <w:b/>
          <w:bCs/>
          <w:kern w:val="0"/>
          <w:sz w:val="44"/>
          <w:szCs w:val="44"/>
        </w:rPr>
      </w:pPr>
      <w:r>
        <w:rPr>
          <w:rFonts w:hint="eastAsia" w:ascii="华文新魏" w:hAnsi="华文新魏" w:eastAsia="华文新魏" w:cs="华文新魏"/>
          <w:b/>
          <w:bCs/>
          <w:kern w:val="0"/>
          <w:sz w:val="44"/>
          <w:szCs w:val="44"/>
        </w:rPr>
        <w:t>投标文件初审表</w:t>
      </w:r>
    </w:p>
    <w:p>
      <w:pPr>
        <w:jc w:val="center"/>
        <w:rPr>
          <w:b/>
        </w:rPr>
      </w:pPr>
      <w:r>
        <w:rPr>
          <w:rFonts w:hint="eastAsia"/>
          <w:b/>
        </w:rPr>
        <w:t>（凡有下列情形之一的，按</w:t>
      </w:r>
      <w:r>
        <w:rPr>
          <w:rFonts w:hint="eastAsia"/>
          <w:b/>
          <w:highlight w:val="yellow"/>
        </w:rPr>
        <w:t>投标无效</w:t>
      </w:r>
      <w:r>
        <w:rPr>
          <w:rFonts w:hint="eastAsia"/>
          <w:b/>
        </w:rPr>
        <w:t>处理）</w:t>
      </w:r>
    </w:p>
    <w:tbl>
      <w:tblPr>
        <w:tblStyle w:val="54"/>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9"/>
        <w:gridCol w:w="69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96" w:type="dxa"/>
            <w:gridSpan w:val="2"/>
          </w:tcPr>
          <w:p>
            <w:pPr>
              <w:spacing w:line="360" w:lineRule="auto"/>
              <w:jc w:val="center"/>
            </w:pPr>
            <w:r>
              <w:rPr>
                <w:rFonts w:hint="eastAsia"/>
              </w:rPr>
              <w:t>资格性检查表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89" w:type="dxa"/>
            <w:vAlign w:val="center"/>
          </w:tcPr>
          <w:p>
            <w:pPr>
              <w:spacing w:line="360" w:lineRule="auto"/>
              <w:jc w:val="center"/>
            </w:pPr>
            <w:r>
              <w:t>1</w:t>
            </w:r>
          </w:p>
        </w:tc>
        <w:tc>
          <w:tcPr>
            <w:tcW w:w="6907" w:type="dxa"/>
          </w:tcPr>
          <w:p>
            <w:pPr>
              <w:spacing w:line="360" w:lineRule="auto"/>
            </w:pPr>
            <w:r>
              <w:rPr>
                <w:rFonts w:hint="eastAsia"/>
              </w:rPr>
              <w:t>投标人不具备招标文件所列的资格要求，并未提交相应的资格证明资料（详见招标公告投标人资格要求）；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96" w:type="dxa"/>
            <w:gridSpan w:val="2"/>
            <w:vAlign w:val="center"/>
          </w:tcPr>
          <w:p>
            <w:pPr>
              <w:spacing w:line="360" w:lineRule="auto"/>
              <w:jc w:val="center"/>
            </w:pPr>
            <w:r>
              <w:rPr>
                <w:rFonts w:hint="eastAsia"/>
              </w:rPr>
              <w:t>符合性检查表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89" w:type="dxa"/>
            <w:vAlign w:val="center"/>
          </w:tcPr>
          <w:p>
            <w:pPr>
              <w:spacing w:line="360" w:lineRule="auto"/>
              <w:jc w:val="center"/>
            </w:pPr>
            <w:r>
              <w:t>2</w:t>
            </w:r>
          </w:p>
        </w:tc>
        <w:tc>
          <w:tcPr>
            <w:tcW w:w="6907" w:type="dxa"/>
            <w:vAlign w:val="center"/>
          </w:tcPr>
          <w:p>
            <w:pPr>
              <w:adjustRightInd w:val="0"/>
              <w:snapToGrid w:val="0"/>
              <w:spacing w:line="360" w:lineRule="auto"/>
              <w:jc w:val="left"/>
            </w:pPr>
            <w:r>
              <w:rPr>
                <w:rFonts w:hint="eastAsia"/>
              </w:rPr>
              <w:t>将一个包或一个标段的内容拆开投标；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89" w:type="dxa"/>
            <w:vAlign w:val="center"/>
          </w:tcPr>
          <w:p>
            <w:pPr>
              <w:spacing w:line="360" w:lineRule="auto"/>
              <w:jc w:val="center"/>
            </w:pPr>
            <w:r>
              <w:t>3</w:t>
            </w:r>
          </w:p>
        </w:tc>
        <w:tc>
          <w:tcPr>
            <w:tcW w:w="6907" w:type="dxa"/>
            <w:vAlign w:val="center"/>
          </w:tcPr>
          <w:p>
            <w:pPr>
              <w:adjustRightInd w:val="0"/>
              <w:snapToGrid w:val="0"/>
              <w:spacing w:line="360" w:lineRule="auto"/>
              <w:jc w:val="left"/>
            </w:pPr>
            <w:r>
              <w:rPr>
                <w:rFonts w:hint="eastAsia"/>
              </w:rPr>
              <w:t>招标文件未规定允许有替代方案时，对同一服务投标时，提供两套以上的投标方案；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89" w:type="dxa"/>
            <w:vAlign w:val="center"/>
          </w:tcPr>
          <w:p>
            <w:pPr>
              <w:spacing w:line="360" w:lineRule="auto"/>
              <w:jc w:val="center"/>
            </w:pPr>
            <w:r>
              <w:t>4</w:t>
            </w:r>
          </w:p>
        </w:tc>
        <w:tc>
          <w:tcPr>
            <w:tcW w:w="6907" w:type="dxa"/>
            <w:vAlign w:val="center"/>
          </w:tcPr>
          <w:p>
            <w:pPr>
              <w:adjustRightInd w:val="0"/>
              <w:snapToGrid w:val="0"/>
              <w:spacing w:line="360" w:lineRule="auto"/>
              <w:jc w:val="left"/>
            </w:pPr>
            <w:r>
              <w:rPr>
                <w:rFonts w:hint="eastAsia"/>
              </w:rPr>
              <w:t>投标总价或分项报价高于财政预算限额；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89" w:type="dxa"/>
            <w:vAlign w:val="center"/>
          </w:tcPr>
          <w:p>
            <w:pPr>
              <w:spacing w:line="360" w:lineRule="auto"/>
              <w:jc w:val="center"/>
            </w:pPr>
            <w:r>
              <w:t>5</w:t>
            </w:r>
          </w:p>
        </w:tc>
        <w:tc>
          <w:tcPr>
            <w:tcW w:w="6907" w:type="dxa"/>
            <w:vAlign w:val="center"/>
          </w:tcPr>
          <w:p>
            <w:pPr>
              <w:adjustRightInd w:val="0"/>
              <w:snapToGrid w:val="0"/>
              <w:spacing w:line="360" w:lineRule="auto"/>
              <w:jc w:val="left"/>
            </w:pPr>
            <w:r>
              <w:rPr>
                <w:rFonts w:hint="eastAsia"/>
              </w:rPr>
              <w:t>同一项目出现两个以上报价；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89" w:type="dxa"/>
            <w:vAlign w:val="center"/>
          </w:tcPr>
          <w:p>
            <w:pPr>
              <w:spacing w:line="360" w:lineRule="auto"/>
              <w:jc w:val="center"/>
            </w:pPr>
            <w:r>
              <w:rPr>
                <w:rFonts w:hint="eastAsia"/>
              </w:rPr>
              <w:t>6</w:t>
            </w:r>
          </w:p>
        </w:tc>
        <w:tc>
          <w:tcPr>
            <w:tcW w:w="6907" w:type="dxa"/>
            <w:vAlign w:val="center"/>
          </w:tcPr>
          <w:p>
            <w:pPr>
              <w:adjustRightInd w:val="0"/>
              <w:snapToGrid w:val="0"/>
              <w:spacing w:line="360" w:lineRule="auto"/>
              <w:jc w:val="left"/>
            </w:pPr>
            <w:r>
              <w:rPr>
                <w:rFonts w:hint="eastAsia"/>
              </w:rPr>
              <w:t>投标人的报价明显低于其他通过符合性审查投标人的报价，有可能影响产品质量或者不能诚信履约的，且投标人不能证明其报价合理性；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89" w:type="dxa"/>
            <w:vAlign w:val="center"/>
          </w:tcPr>
          <w:p>
            <w:pPr>
              <w:spacing w:line="360" w:lineRule="auto"/>
              <w:jc w:val="center"/>
            </w:pPr>
            <w:r>
              <w:t>7</w:t>
            </w:r>
          </w:p>
        </w:tc>
        <w:tc>
          <w:tcPr>
            <w:tcW w:w="6907" w:type="dxa"/>
            <w:vAlign w:val="center"/>
          </w:tcPr>
          <w:p>
            <w:pPr>
              <w:adjustRightInd w:val="0"/>
              <w:snapToGrid w:val="0"/>
              <w:spacing w:line="360" w:lineRule="auto"/>
              <w:jc w:val="left"/>
            </w:pPr>
            <w:r>
              <w:rPr>
                <w:rFonts w:hint="eastAsia"/>
              </w:rPr>
              <w:t>投标文件载明的招标项目服务期限不满足招标文件要求；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89" w:type="dxa"/>
            <w:vAlign w:val="center"/>
          </w:tcPr>
          <w:p>
            <w:pPr>
              <w:spacing w:line="360" w:lineRule="auto"/>
              <w:jc w:val="center"/>
            </w:pPr>
            <w:r>
              <w:t>8</w:t>
            </w:r>
          </w:p>
        </w:tc>
        <w:tc>
          <w:tcPr>
            <w:tcW w:w="6907" w:type="dxa"/>
            <w:vAlign w:val="center"/>
          </w:tcPr>
          <w:p>
            <w:pPr>
              <w:adjustRightInd w:val="0"/>
              <w:snapToGrid w:val="0"/>
              <w:spacing w:line="360" w:lineRule="auto"/>
              <w:jc w:val="left"/>
            </w:pPr>
            <w:r>
              <w:rPr>
                <w:rFonts w:hint="eastAsia"/>
              </w:rPr>
              <w:t>所投投标方案、服务内容在质量、技术、方案等方面没有实质性满足招标文件要求的（是否实质性满足招标文件要求，由评标委员会来做出评判）；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89" w:type="dxa"/>
            <w:vAlign w:val="center"/>
          </w:tcPr>
          <w:p>
            <w:pPr>
              <w:spacing w:line="360" w:lineRule="auto"/>
              <w:jc w:val="center"/>
            </w:pPr>
            <w:r>
              <w:t>9</w:t>
            </w:r>
          </w:p>
        </w:tc>
        <w:tc>
          <w:tcPr>
            <w:tcW w:w="6907" w:type="dxa"/>
            <w:vAlign w:val="center"/>
          </w:tcPr>
          <w:p>
            <w:pPr>
              <w:adjustRightInd w:val="0"/>
              <w:snapToGrid w:val="0"/>
              <w:spacing w:line="360" w:lineRule="auto"/>
              <w:jc w:val="left"/>
            </w:pPr>
            <w:r>
              <w:rPr>
                <w:rFonts w:hint="eastAsia"/>
              </w:rPr>
              <w:t>未按招标文件所提供的样式填写投标函，或未按招标文件对投标文件组成的要求提供投标文件的（投标文件组成不完整）；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89" w:type="dxa"/>
            <w:vAlign w:val="center"/>
          </w:tcPr>
          <w:p>
            <w:pPr>
              <w:spacing w:line="360" w:lineRule="auto"/>
              <w:jc w:val="center"/>
            </w:pPr>
            <w:r>
              <w:t>10</w:t>
            </w:r>
          </w:p>
        </w:tc>
        <w:tc>
          <w:tcPr>
            <w:tcW w:w="6907" w:type="dxa"/>
            <w:vAlign w:val="center"/>
          </w:tcPr>
          <w:p>
            <w:pPr>
              <w:adjustRightInd w:val="0"/>
              <w:snapToGrid w:val="0"/>
              <w:spacing w:line="360" w:lineRule="auto"/>
              <w:jc w:val="left"/>
            </w:pPr>
            <w:r>
              <w:rPr>
                <w:rFonts w:hint="eastAsia"/>
              </w:rPr>
              <w:t>投标报价有严重缺漏项目或对招标文件规定的服务清单项目及数量进行修改；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89" w:type="dxa"/>
            <w:vAlign w:val="center"/>
          </w:tcPr>
          <w:p>
            <w:pPr>
              <w:spacing w:line="360" w:lineRule="auto"/>
              <w:jc w:val="center"/>
            </w:pPr>
            <w:r>
              <w:rPr>
                <w:rFonts w:hint="eastAsia"/>
              </w:rPr>
              <w:t>1</w:t>
            </w:r>
            <w:r>
              <w:t>1</w:t>
            </w:r>
          </w:p>
        </w:tc>
        <w:tc>
          <w:tcPr>
            <w:tcW w:w="6907" w:type="dxa"/>
            <w:vAlign w:val="center"/>
          </w:tcPr>
          <w:p>
            <w:pPr>
              <w:spacing w:line="360" w:lineRule="auto"/>
            </w:pPr>
            <w:r>
              <w:rPr>
                <w:rFonts w:hint="eastAsia"/>
              </w:rPr>
              <w:t>法律、法规规定的其他情形。</w:t>
            </w:r>
          </w:p>
        </w:tc>
      </w:tr>
    </w:tbl>
    <w:p/>
    <w:p>
      <w:pPr>
        <w:rPr>
          <w:color w:val="000000"/>
        </w:rPr>
      </w:pPr>
    </w:p>
    <w:p>
      <w:pPr>
        <w:ind w:firstLine="420" w:firstLineChars="200"/>
      </w:pPr>
    </w:p>
    <w:p>
      <w:pPr>
        <w:pStyle w:val="5"/>
        <w:rPr>
          <w:color w:val="0000FF"/>
          <w:sz w:val="36"/>
        </w:rPr>
      </w:pPr>
    </w:p>
    <w:p>
      <w:pPr>
        <w:pStyle w:val="4"/>
      </w:pPr>
    </w:p>
    <w:p/>
    <w:p>
      <w:pPr>
        <w:pStyle w:val="5"/>
        <w:rPr>
          <w:rFonts w:ascii="华文新魏" w:hAnsi="华文新魏" w:eastAsia="华文新魏" w:cs="华文新魏"/>
          <w:sz w:val="44"/>
          <w:szCs w:val="44"/>
        </w:rPr>
      </w:pPr>
      <w:r>
        <w:rPr>
          <w:rFonts w:hint="eastAsia" w:ascii="华文新魏" w:hAnsi="华文新魏" w:eastAsia="华文新魏" w:cs="华文新魏"/>
          <w:sz w:val="44"/>
          <w:szCs w:val="44"/>
        </w:rPr>
        <w:t>评标信息</w:t>
      </w:r>
    </w:p>
    <w:p>
      <w:pPr>
        <w:adjustRightInd w:val="0"/>
        <w:snapToGrid w:val="0"/>
        <w:spacing w:line="276" w:lineRule="auto"/>
        <w:rPr>
          <w:b/>
        </w:rPr>
      </w:pPr>
    </w:p>
    <w:p>
      <w:pPr>
        <w:adjustRightInd w:val="0"/>
        <w:snapToGrid w:val="0"/>
        <w:spacing w:line="276" w:lineRule="auto"/>
        <w:rPr>
          <w:b/>
          <w:color w:val="auto"/>
        </w:rPr>
      </w:pPr>
      <w:r>
        <w:rPr>
          <w:b/>
          <w:color w:val="auto"/>
        </w:rPr>
        <w:t xml:space="preserve">评标方法： 综合评分法 </w:t>
      </w:r>
    </w:p>
    <w:p>
      <w:pPr>
        <w:adjustRightInd w:val="0"/>
        <w:snapToGrid w:val="0"/>
        <w:spacing w:line="360" w:lineRule="auto"/>
        <w:ind w:firstLine="420" w:firstLineChars="200"/>
        <w:jc w:val="left"/>
      </w:pPr>
      <w:r>
        <w:t>综合评分法，是指在最大限度满足招标文件实质性要求前提下，按照招标文件规定的各项因素进行量化打分，以评标总得分最高的投标供应商作为中标候选供应商或中标供应商的评标方法。评标方法说明：</w:t>
      </w:r>
    </w:p>
    <w:p>
      <w:pPr>
        <w:adjustRightInd w:val="0"/>
        <w:snapToGrid w:val="0"/>
        <w:spacing w:line="360" w:lineRule="auto"/>
        <w:jc w:val="left"/>
      </w:pPr>
    </w:p>
    <w:p>
      <w:pPr>
        <w:adjustRightInd w:val="0"/>
        <w:snapToGrid w:val="0"/>
        <w:spacing w:line="360" w:lineRule="auto"/>
        <w:ind w:firstLine="420" w:firstLineChars="200"/>
        <w:jc w:val="left"/>
      </w:pPr>
      <w:r>
        <w:rPr>
          <w:rFonts w:hint="eastAsia"/>
        </w:rPr>
        <w:t>价格分采用低价优先法计算，即满足招标文件要求且投标价格最低的投标报价为评标基准价，其价格分为满分。其他投标人的价格分按照下列公式计算：</w:t>
      </w:r>
    </w:p>
    <w:p>
      <w:pPr>
        <w:adjustRightInd w:val="0"/>
        <w:snapToGrid w:val="0"/>
        <w:spacing w:line="360" w:lineRule="auto"/>
        <w:ind w:firstLine="420" w:firstLineChars="200"/>
        <w:jc w:val="left"/>
      </w:pPr>
      <w:r>
        <w:rPr>
          <w:rFonts w:hint="eastAsia"/>
        </w:rPr>
        <w:t>价格分 =(评标基准价／投标报价)×100</w:t>
      </w:r>
    </w:p>
    <w:p>
      <w:pPr>
        <w:adjustRightInd w:val="0"/>
        <w:snapToGrid w:val="0"/>
        <w:spacing w:line="360" w:lineRule="auto"/>
        <w:ind w:firstLine="420" w:firstLineChars="200"/>
        <w:jc w:val="left"/>
      </w:pPr>
      <w:r>
        <w:rPr>
          <w:rFonts w:hint="eastAsia"/>
        </w:rPr>
        <w:t>评标总得分＝F1×A1＋F2×A2＋……＋Fn×An</w:t>
      </w:r>
    </w:p>
    <w:p>
      <w:pPr>
        <w:adjustRightInd w:val="0"/>
        <w:snapToGrid w:val="0"/>
        <w:spacing w:line="360" w:lineRule="auto"/>
        <w:ind w:firstLine="420" w:firstLineChars="200"/>
        <w:jc w:val="left"/>
      </w:pPr>
      <w:r>
        <w:rPr>
          <w:rFonts w:hint="eastAsia"/>
        </w:rPr>
        <w:t>F1、F2……Fn分别为各项评审因素的得分；</w:t>
      </w:r>
    </w:p>
    <w:p>
      <w:pPr>
        <w:adjustRightInd w:val="0"/>
        <w:snapToGrid w:val="0"/>
        <w:spacing w:line="360" w:lineRule="auto"/>
        <w:ind w:firstLine="420" w:firstLineChars="200"/>
        <w:jc w:val="left"/>
      </w:pPr>
      <w:r>
        <w:rPr>
          <w:rFonts w:hint="eastAsia"/>
        </w:rPr>
        <w:t>A1、A2、……An 分别为各项评审因素所占的权重(A1＋A2＋……＋An＝1)。</w:t>
      </w:r>
    </w:p>
    <w:p>
      <w:pPr>
        <w:adjustRightInd w:val="0"/>
        <w:snapToGrid w:val="0"/>
        <w:spacing w:line="360" w:lineRule="auto"/>
        <w:ind w:firstLine="420" w:firstLineChars="200"/>
        <w:jc w:val="left"/>
      </w:pPr>
      <w:r>
        <w:rPr>
          <w:rFonts w:hint="eastAsia"/>
        </w:rPr>
        <w:t>主观</w:t>
      </w:r>
      <w:r>
        <w:t>评分的评审</w:t>
      </w:r>
      <w:r>
        <w:rPr>
          <w:rFonts w:hint="eastAsia"/>
        </w:rPr>
        <w:t>因素</w:t>
      </w:r>
      <w:r>
        <w:t>的得分</w:t>
      </w:r>
      <w:r>
        <w:rPr>
          <w:rFonts w:hint="eastAsia"/>
        </w:rPr>
        <w:t>是</w:t>
      </w:r>
      <w:r>
        <w:t>所有评委</w:t>
      </w:r>
      <w:r>
        <w:rPr>
          <w:rFonts w:hint="eastAsia"/>
        </w:rPr>
        <w:t>打分</w:t>
      </w:r>
      <w:r>
        <w:t>的算数平均值（</w:t>
      </w:r>
      <w:r>
        <w:rPr>
          <w:rFonts w:hint="eastAsia"/>
        </w:rPr>
        <w:t>不得</w:t>
      </w:r>
      <w:r>
        <w:t>扣除最高分和最低分）</w:t>
      </w:r>
      <w:r>
        <w:rPr>
          <w:rFonts w:hint="eastAsia"/>
        </w:rPr>
        <w:t>。</w:t>
      </w:r>
    </w:p>
    <w:tbl>
      <w:tblPr>
        <w:tblStyle w:val="54"/>
        <w:tblW w:w="869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4"/>
        <w:gridCol w:w="564"/>
        <w:gridCol w:w="1683"/>
        <w:gridCol w:w="811"/>
        <w:gridCol w:w="703"/>
        <w:gridCol w:w="42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04" w:type="dxa"/>
            <w:tcMar>
              <w:left w:w="108" w:type="dxa"/>
              <w:right w:w="108" w:type="dxa"/>
            </w:tcMar>
            <w:vAlign w:val="center"/>
          </w:tcPr>
          <w:p>
            <w:pPr>
              <w:adjustRightInd w:val="0"/>
              <w:snapToGrid w:val="0"/>
              <w:jc w:val="center"/>
              <w:rPr>
                <w:color w:val="000000" w:themeColor="text1"/>
                <w14:textFill>
                  <w14:solidFill>
                    <w14:schemeClr w14:val="tx1"/>
                  </w14:solidFill>
                </w14:textFill>
              </w:rPr>
            </w:pPr>
            <w:r>
              <w:rPr>
                <w:color w:val="000000" w:themeColor="text1"/>
                <w:szCs w:val="21"/>
                <w14:textFill>
                  <w14:solidFill>
                    <w14:schemeClr w14:val="tx1"/>
                  </w14:solidFill>
                </w14:textFill>
              </w:rPr>
              <w:t>序号</w:t>
            </w:r>
          </w:p>
        </w:tc>
        <w:tc>
          <w:tcPr>
            <w:tcW w:w="3761" w:type="dxa"/>
            <w:gridSpan w:val="4"/>
            <w:tcMar>
              <w:left w:w="108" w:type="dxa"/>
              <w:right w:w="108" w:type="dxa"/>
            </w:tcMar>
            <w:vAlign w:val="center"/>
          </w:tcPr>
          <w:p>
            <w:pPr>
              <w:adjustRightInd w:val="0"/>
              <w:snapToGrid w:val="0"/>
              <w:jc w:val="center"/>
              <w:rPr>
                <w:color w:val="000000" w:themeColor="text1"/>
                <w14:textFill>
                  <w14:solidFill>
                    <w14:schemeClr w14:val="tx1"/>
                  </w14:solidFill>
                </w14:textFill>
              </w:rPr>
            </w:pPr>
            <w:r>
              <w:rPr>
                <w:color w:val="000000" w:themeColor="text1"/>
                <w:szCs w:val="21"/>
                <w14:textFill>
                  <w14:solidFill>
                    <w14:schemeClr w14:val="tx1"/>
                  </w14:solidFill>
                </w14:textFill>
              </w:rPr>
              <w:t>评分项</w:t>
            </w:r>
          </w:p>
        </w:tc>
        <w:tc>
          <w:tcPr>
            <w:tcW w:w="4226" w:type="dxa"/>
            <w:tcMar>
              <w:left w:w="108" w:type="dxa"/>
              <w:right w:w="108" w:type="dxa"/>
            </w:tcMar>
            <w:vAlign w:val="center"/>
          </w:tcPr>
          <w:p>
            <w:pPr>
              <w:adjustRightInd w:val="0"/>
              <w:snapToGrid w:val="0"/>
              <w:jc w:val="center"/>
              <w:rPr>
                <w:color w:val="000000" w:themeColor="text1"/>
                <w14:textFill>
                  <w14:solidFill>
                    <w14:schemeClr w14:val="tx1"/>
                  </w14:solidFill>
                </w14:textFill>
              </w:rPr>
            </w:pPr>
            <w:r>
              <w:rPr>
                <w:color w:val="000000" w:themeColor="text1"/>
                <w:szCs w:val="21"/>
                <w14:textFill>
                  <w14:solidFill>
                    <w14:schemeClr w14:val="tx1"/>
                  </w14:solidFill>
                </w14:textFill>
              </w:rPr>
              <w:t>权重（%）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04" w:type="dxa"/>
            <w:tcMar>
              <w:left w:w="108" w:type="dxa"/>
              <w:right w:w="108" w:type="dxa"/>
            </w:tcMar>
            <w:vAlign w:val="center"/>
          </w:tcPr>
          <w:p>
            <w:pPr>
              <w:adjustRightInd w:val="0"/>
              <w:snapToGrid w:val="0"/>
              <w:jc w:val="center"/>
              <w:rPr>
                <w:color w:val="000000" w:themeColor="text1"/>
                <w14:textFill>
                  <w14:solidFill>
                    <w14:schemeClr w14:val="tx1"/>
                  </w14:solidFill>
                </w14:textFill>
              </w:rPr>
            </w:pPr>
            <w:r>
              <w:rPr>
                <w:color w:val="000000" w:themeColor="text1"/>
                <w:szCs w:val="21"/>
                <w14:textFill>
                  <w14:solidFill>
                    <w14:schemeClr w14:val="tx1"/>
                  </w14:solidFill>
                </w14:textFill>
              </w:rPr>
              <w:t>1</w:t>
            </w:r>
          </w:p>
        </w:tc>
        <w:tc>
          <w:tcPr>
            <w:tcW w:w="3761" w:type="dxa"/>
            <w:gridSpan w:val="4"/>
            <w:tcMar>
              <w:left w:w="108" w:type="dxa"/>
              <w:right w:w="108" w:type="dxa"/>
            </w:tcMar>
            <w:vAlign w:val="center"/>
          </w:tcPr>
          <w:p>
            <w:pPr>
              <w:adjustRightInd w:val="0"/>
              <w:snapToGrid w:val="0"/>
              <w:jc w:val="center"/>
              <w:rPr>
                <w:color w:val="000000" w:themeColor="text1"/>
                <w14:textFill>
                  <w14:solidFill>
                    <w14:schemeClr w14:val="tx1"/>
                  </w14:solidFill>
                </w14:textFill>
              </w:rPr>
            </w:pPr>
            <w:r>
              <w:rPr>
                <w:color w:val="000000" w:themeColor="text1"/>
                <w:szCs w:val="21"/>
                <w14:textFill>
                  <w14:solidFill>
                    <w14:schemeClr w14:val="tx1"/>
                  </w14:solidFill>
                </w14:textFill>
              </w:rPr>
              <w:t>价格</w:t>
            </w:r>
          </w:p>
        </w:tc>
        <w:tc>
          <w:tcPr>
            <w:tcW w:w="4226" w:type="dxa"/>
            <w:tcMar>
              <w:left w:w="108" w:type="dxa"/>
              <w:right w:w="108" w:type="dxa"/>
            </w:tcMar>
            <w:vAlign w:val="center"/>
          </w:tcPr>
          <w:p>
            <w:pPr>
              <w:adjustRightInd w:val="0"/>
              <w:snapToGrid w:val="0"/>
              <w:jc w:val="center"/>
              <w:rPr>
                <w:color w:val="000000" w:themeColor="text1"/>
                <w14:textFill>
                  <w14:solidFill>
                    <w14:schemeClr w14:val="tx1"/>
                  </w14:solidFill>
                </w14:textFill>
              </w:rPr>
            </w:pPr>
            <w:r>
              <w:rPr>
                <w:rFonts w:hint="eastAsia"/>
                <w:color w:val="000000" w:themeColor="text1"/>
                <w:szCs w:val="21"/>
                <w14:textFill>
                  <w14:solidFill>
                    <w14:schemeClr w14:val="tx1"/>
                  </w14:solidFill>
                </w14:textFill>
              </w:rPr>
              <w:t>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04" w:type="dxa"/>
            <w:tcMar>
              <w:left w:w="108" w:type="dxa"/>
              <w:right w:w="108" w:type="dxa"/>
            </w:tcMar>
            <w:vAlign w:val="center"/>
          </w:tcPr>
          <w:p>
            <w:pPr>
              <w:adjustRightInd w:val="0"/>
              <w:snapToGrid w:val="0"/>
              <w:jc w:val="center"/>
              <w:rPr>
                <w:color w:val="000000" w:themeColor="text1"/>
                <w14:textFill>
                  <w14:solidFill>
                    <w14:schemeClr w14:val="tx1"/>
                  </w14:solidFill>
                </w14:textFill>
              </w:rPr>
            </w:pPr>
            <w:r>
              <w:rPr>
                <w:color w:val="000000" w:themeColor="text1"/>
                <w:szCs w:val="21"/>
                <w14:textFill>
                  <w14:solidFill>
                    <w14:schemeClr w14:val="tx1"/>
                  </w14:solidFill>
                </w14:textFill>
              </w:rPr>
              <w:t>2</w:t>
            </w:r>
          </w:p>
        </w:tc>
        <w:tc>
          <w:tcPr>
            <w:tcW w:w="3761" w:type="dxa"/>
            <w:gridSpan w:val="4"/>
            <w:tcMar>
              <w:left w:w="108" w:type="dxa"/>
              <w:right w:w="108" w:type="dxa"/>
            </w:tcMar>
            <w:vAlign w:val="center"/>
          </w:tcPr>
          <w:p>
            <w:pPr>
              <w:adjustRightInd w:val="0"/>
              <w:snapToGrid w:val="0"/>
              <w:jc w:val="center"/>
              <w:rPr>
                <w:b w:val="0"/>
                <w:bCs w:val="0"/>
                <w:color w:val="auto"/>
              </w:rPr>
            </w:pPr>
            <w:r>
              <w:rPr>
                <w:b w:val="0"/>
                <w:bCs w:val="0"/>
                <w:color w:val="auto"/>
                <w:szCs w:val="21"/>
              </w:rPr>
              <w:t>技术部分</w:t>
            </w:r>
          </w:p>
        </w:tc>
        <w:tc>
          <w:tcPr>
            <w:tcW w:w="4226" w:type="dxa"/>
            <w:tcMar>
              <w:left w:w="108" w:type="dxa"/>
              <w:right w:w="108" w:type="dxa"/>
            </w:tcMar>
            <w:vAlign w:val="center"/>
          </w:tcPr>
          <w:p>
            <w:pPr>
              <w:adjustRightInd w:val="0"/>
              <w:snapToGrid w:val="0"/>
              <w:jc w:val="center"/>
              <w:rPr>
                <w:b w:val="0"/>
                <w:bCs w:val="0"/>
                <w:color w:val="auto"/>
              </w:rPr>
            </w:pPr>
            <w:r>
              <w:rPr>
                <w:rFonts w:hint="eastAsia"/>
                <w:b w:val="0"/>
                <w:bCs w:val="0"/>
                <w:color w:val="auto"/>
                <w:szCs w:val="21"/>
              </w:rPr>
              <w:t>35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04" w:type="dxa"/>
            <w:vMerge w:val="restart"/>
            <w:tcMar>
              <w:left w:w="108" w:type="dxa"/>
              <w:right w:w="108" w:type="dxa"/>
            </w:tcMar>
            <w:vAlign w:val="center"/>
          </w:tcPr>
          <w:p>
            <w:pPr>
              <w:snapToGrid w:val="0"/>
              <w:spacing w:line="360" w:lineRule="auto"/>
              <w:jc w:val="left"/>
              <w:rPr>
                <w:color w:val="000000" w:themeColor="text1"/>
                <w14:textFill>
                  <w14:solidFill>
                    <w14:schemeClr w14:val="tx1"/>
                  </w14:solidFill>
                </w14:textFill>
              </w:rPr>
            </w:pPr>
          </w:p>
        </w:tc>
        <w:tc>
          <w:tcPr>
            <w:tcW w:w="564" w:type="dxa"/>
            <w:tcMar>
              <w:left w:w="108" w:type="dxa"/>
              <w:right w:w="108" w:type="dxa"/>
            </w:tcMar>
            <w:vAlign w:val="center"/>
          </w:tcPr>
          <w:p>
            <w:pPr>
              <w:snapToGrid w:val="0"/>
              <w:spacing w:line="360" w:lineRule="auto"/>
              <w:jc w:val="center"/>
              <w:rPr>
                <w:color w:val="000000" w:themeColor="text1"/>
                <w14:textFill>
                  <w14:solidFill>
                    <w14:schemeClr w14:val="tx1"/>
                  </w14:solidFill>
                </w14:textFill>
              </w:rPr>
            </w:pPr>
            <w:r>
              <w:rPr>
                <w:color w:val="000000" w:themeColor="text1"/>
                <w:szCs w:val="21"/>
                <w14:textFill>
                  <w14:solidFill>
                    <w14:schemeClr w14:val="tx1"/>
                  </w14:solidFill>
                </w14:textFill>
              </w:rPr>
              <w:t>序号</w:t>
            </w:r>
          </w:p>
        </w:tc>
        <w:tc>
          <w:tcPr>
            <w:tcW w:w="1683" w:type="dxa"/>
            <w:tcMar>
              <w:left w:w="108" w:type="dxa"/>
              <w:right w:w="108" w:type="dxa"/>
            </w:tcMar>
            <w:vAlign w:val="center"/>
          </w:tcPr>
          <w:p>
            <w:pPr>
              <w:snapToGrid w:val="0"/>
              <w:spacing w:line="360" w:lineRule="auto"/>
              <w:jc w:val="center"/>
              <w:rPr>
                <w:color w:val="000000" w:themeColor="text1"/>
                <w14:textFill>
                  <w14:solidFill>
                    <w14:schemeClr w14:val="tx1"/>
                  </w14:solidFill>
                </w14:textFill>
              </w:rPr>
            </w:pPr>
            <w:r>
              <w:rPr>
                <w:color w:val="000000" w:themeColor="text1"/>
                <w:szCs w:val="21"/>
                <w14:textFill>
                  <w14:solidFill>
                    <w14:schemeClr w14:val="tx1"/>
                  </w14:solidFill>
                </w14:textFill>
              </w:rPr>
              <w:t>评分因素</w:t>
            </w:r>
          </w:p>
        </w:tc>
        <w:tc>
          <w:tcPr>
            <w:tcW w:w="811" w:type="dxa"/>
            <w:tcMar>
              <w:left w:w="108" w:type="dxa"/>
              <w:right w:w="108" w:type="dxa"/>
            </w:tcMar>
            <w:vAlign w:val="center"/>
          </w:tcPr>
          <w:p>
            <w:pPr>
              <w:snapToGrid w:val="0"/>
              <w:spacing w:line="360" w:lineRule="auto"/>
              <w:jc w:val="center"/>
              <w:rPr>
                <w:color w:val="000000" w:themeColor="text1"/>
                <w14:textFill>
                  <w14:solidFill>
                    <w14:schemeClr w14:val="tx1"/>
                  </w14:solidFill>
                </w14:textFill>
              </w:rPr>
            </w:pPr>
            <w:r>
              <w:rPr>
                <w:color w:val="000000" w:themeColor="text1"/>
                <w:szCs w:val="21"/>
                <w14:textFill>
                  <w14:solidFill>
                    <w14:schemeClr w14:val="tx1"/>
                  </w14:solidFill>
                </w14:textFill>
              </w:rPr>
              <w:t>权重（%）</w:t>
            </w:r>
          </w:p>
        </w:tc>
        <w:tc>
          <w:tcPr>
            <w:tcW w:w="703" w:type="dxa"/>
            <w:tcMar>
              <w:left w:w="108" w:type="dxa"/>
              <w:right w:w="108" w:type="dxa"/>
            </w:tcMar>
            <w:vAlign w:val="center"/>
          </w:tcPr>
          <w:p>
            <w:pPr>
              <w:snapToGrid w:val="0"/>
              <w:spacing w:line="360" w:lineRule="auto"/>
              <w:jc w:val="center"/>
              <w:rPr>
                <w:color w:val="000000" w:themeColor="text1"/>
                <w14:textFill>
                  <w14:solidFill>
                    <w14:schemeClr w14:val="tx1"/>
                  </w14:solidFill>
                </w14:textFill>
              </w:rPr>
            </w:pPr>
            <w:r>
              <w:rPr>
                <w:color w:val="000000" w:themeColor="text1"/>
                <w:szCs w:val="21"/>
                <w14:textFill>
                  <w14:solidFill>
                    <w14:schemeClr w14:val="tx1"/>
                  </w14:solidFill>
                </w14:textFill>
              </w:rPr>
              <w:t>评分方式</w:t>
            </w:r>
          </w:p>
        </w:tc>
        <w:tc>
          <w:tcPr>
            <w:tcW w:w="4226" w:type="dxa"/>
            <w:tcMar>
              <w:left w:w="108" w:type="dxa"/>
              <w:right w:w="108" w:type="dxa"/>
            </w:tcMar>
            <w:vAlign w:val="center"/>
          </w:tcPr>
          <w:p>
            <w:pPr>
              <w:snapToGrid w:val="0"/>
              <w:spacing w:line="360" w:lineRule="auto"/>
              <w:jc w:val="center"/>
              <w:rPr>
                <w:color w:val="000000" w:themeColor="text1"/>
                <w14:textFill>
                  <w14:solidFill>
                    <w14:schemeClr w14:val="tx1"/>
                  </w14:solidFill>
                </w14:textFill>
              </w:rPr>
            </w:pPr>
            <w:r>
              <w:rPr>
                <w:color w:val="000000" w:themeColor="text1"/>
                <w:szCs w:val="21"/>
                <w14:textFill>
                  <w14:solidFill>
                    <w14:schemeClr w14:val="tx1"/>
                  </w14:solidFill>
                </w14:textFill>
              </w:rPr>
              <w:t>评分准则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04" w:type="dxa"/>
            <w:vMerge w:val="continue"/>
            <w:vAlign w:val="center"/>
          </w:tcPr>
          <w:p>
            <w:pPr>
              <w:snapToGrid w:val="0"/>
              <w:spacing w:line="360" w:lineRule="auto"/>
              <w:jc w:val="left"/>
              <w:rPr>
                <w:color w:val="000000" w:themeColor="text1"/>
                <w14:textFill>
                  <w14:solidFill>
                    <w14:schemeClr w14:val="tx1"/>
                  </w14:solidFill>
                </w14:textFill>
              </w:rPr>
            </w:pPr>
          </w:p>
        </w:tc>
        <w:tc>
          <w:tcPr>
            <w:tcW w:w="564" w:type="dxa"/>
            <w:tcMar>
              <w:left w:w="108" w:type="dxa"/>
              <w:right w:w="108" w:type="dxa"/>
            </w:tcMar>
            <w:vAlign w:val="center"/>
          </w:tcPr>
          <w:p>
            <w:pPr>
              <w:snapToGrid w:val="0"/>
              <w:spacing w:line="360" w:lineRule="auto"/>
              <w:jc w:val="center"/>
              <w:rPr>
                <w:color w:val="000000" w:themeColor="text1"/>
                <w14:textFill>
                  <w14:solidFill>
                    <w14:schemeClr w14:val="tx1"/>
                  </w14:solidFill>
                </w14:textFill>
              </w:rPr>
            </w:pPr>
            <w:r>
              <w:rPr>
                <w:color w:val="000000" w:themeColor="text1"/>
                <w:szCs w:val="21"/>
                <w14:textFill>
                  <w14:solidFill>
                    <w14:schemeClr w14:val="tx1"/>
                  </w14:solidFill>
                </w14:textFill>
              </w:rPr>
              <w:t>1</w:t>
            </w:r>
          </w:p>
        </w:tc>
        <w:tc>
          <w:tcPr>
            <w:tcW w:w="1683" w:type="dxa"/>
            <w:tcMar>
              <w:left w:w="108" w:type="dxa"/>
              <w:right w:w="108" w:type="dxa"/>
            </w:tcMar>
            <w:vAlign w:val="center"/>
          </w:tcPr>
          <w:p>
            <w:pPr>
              <w:snapToGrid w:val="0"/>
              <w:spacing w:line="360" w:lineRule="auto"/>
              <w:jc w:val="left"/>
              <w:rPr>
                <w:b w:val="0"/>
                <w:bCs w:val="0"/>
                <w:color w:val="auto"/>
              </w:rPr>
            </w:pPr>
            <w:r>
              <w:rPr>
                <w:b w:val="0"/>
                <w:bCs w:val="0"/>
                <w:color w:val="auto"/>
                <w:szCs w:val="21"/>
              </w:rPr>
              <w:t>项目总体概述及理解</w:t>
            </w:r>
          </w:p>
        </w:tc>
        <w:tc>
          <w:tcPr>
            <w:tcW w:w="811" w:type="dxa"/>
            <w:tcMar>
              <w:left w:w="108" w:type="dxa"/>
              <w:right w:w="108" w:type="dxa"/>
            </w:tcMar>
            <w:vAlign w:val="center"/>
          </w:tcPr>
          <w:p>
            <w:pPr>
              <w:snapToGrid w:val="0"/>
              <w:spacing w:line="360" w:lineRule="auto"/>
              <w:jc w:val="center"/>
              <w:rPr>
                <w:b w:val="0"/>
                <w:bCs w:val="0"/>
                <w:color w:val="auto"/>
              </w:rPr>
            </w:pPr>
            <w:r>
              <w:rPr>
                <w:rFonts w:hint="eastAsia"/>
                <w:b w:val="0"/>
                <w:bCs w:val="0"/>
                <w:color w:val="auto"/>
                <w:szCs w:val="21"/>
              </w:rPr>
              <w:t>5</w:t>
            </w:r>
          </w:p>
        </w:tc>
        <w:tc>
          <w:tcPr>
            <w:tcW w:w="703" w:type="dxa"/>
            <w:tcMar>
              <w:left w:w="108" w:type="dxa"/>
              <w:right w:w="108" w:type="dxa"/>
            </w:tcMar>
            <w:vAlign w:val="center"/>
          </w:tcPr>
          <w:p>
            <w:pPr>
              <w:snapToGrid w:val="0"/>
              <w:spacing w:line="360" w:lineRule="auto"/>
              <w:jc w:val="center"/>
              <w:rPr>
                <w:color w:val="000000" w:themeColor="text1"/>
                <w14:textFill>
                  <w14:solidFill>
                    <w14:schemeClr w14:val="tx1"/>
                  </w14:solidFill>
                </w14:textFill>
              </w:rPr>
            </w:pPr>
            <w:r>
              <w:rPr>
                <w:color w:val="000000" w:themeColor="text1"/>
                <w:szCs w:val="21"/>
                <w14:textFill>
                  <w14:solidFill>
                    <w14:schemeClr w14:val="tx1"/>
                  </w14:solidFill>
                </w14:textFill>
              </w:rPr>
              <w:t>专家打分</w:t>
            </w:r>
          </w:p>
        </w:tc>
        <w:tc>
          <w:tcPr>
            <w:tcW w:w="4226" w:type="dxa"/>
            <w:tcMar>
              <w:left w:w="108" w:type="dxa"/>
              <w:right w:w="108" w:type="dxa"/>
            </w:tcMar>
            <w:vAlign w:val="center"/>
          </w:tcPr>
          <w:p>
            <w:pPr>
              <w:snapToGrid w:val="0"/>
              <w:spacing w:line="360" w:lineRule="auto"/>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t>评审内容：要求详细说明投标人对本项目总体要求的理解情况，评审委员会根据响应情况评分，优良中差评分标准：</w:t>
            </w:r>
          </w:p>
          <w:p>
            <w:pPr>
              <w:snapToGrid w:val="0"/>
              <w:spacing w:line="360" w:lineRule="auto"/>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t>（1）项目总体概述全面；</w:t>
            </w:r>
          </w:p>
          <w:p>
            <w:pPr>
              <w:snapToGrid w:val="0"/>
              <w:spacing w:line="360" w:lineRule="auto"/>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t>（2）项目总体理解准确；</w:t>
            </w:r>
          </w:p>
          <w:p>
            <w:pPr>
              <w:snapToGrid w:val="0"/>
              <w:spacing w:line="360" w:lineRule="auto"/>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t>（3）项目总体理解透彻。</w:t>
            </w:r>
          </w:p>
          <w:p>
            <w:pPr>
              <w:snapToGrid w:val="0"/>
              <w:spacing w:line="360" w:lineRule="auto"/>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t>满足以上三项要求为优，满足以上两项要求为良，满足以上一项要求为中，其它情况不得分。</w:t>
            </w:r>
          </w:p>
          <w:p>
            <w:pPr>
              <w:snapToGrid w:val="0"/>
              <w:spacing w:line="360" w:lineRule="auto"/>
              <w:jc w:val="left"/>
              <w:rPr>
                <w:color w:val="000000" w:themeColor="text1"/>
                <w14:textFill>
                  <w14:solidFill>
                    <w14:schemeClr w14:val="tx1"/>
                  </w14:solidFill>
                </w14:textFill>
              </w:rPr>
            </w:pPr>
            <w:r>
              <w:rPr>
                <w:color w:val="000000" w:themeColor="text1"/>
                <w:szCs w:val="21"/>
                <w14:textFill>
                  <w14:solidFill>
                    <w14:schemeClr w14:val="tx1"/>
                  </w14:solidFill>
                </w14:textFill>
              </w:rPr>
              <w:t>要求详细说明投标人对本项目总体要求的理解情况，在投标文件中详细说明响应情况，评标委员会根据响应情况评分：优100分，良75分，中50分，差不得分。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04" w:type="dxa"/>
            <w:vMerge w:val="continue"/>
            <w:vAlign w:val="center"/>
          </w:tcPr>
          <w:p>
            <w:pPr>
              <w:snapToGrid w:val="0"/>
              <w:spacing w:line="360" w:lineRule="auto"/>
              <w:jc w:val="left"/>
              <w:rPr>
                <w:color w:val="000000" w:themeColor="text1"/>
                <w14:textFill>
                  <w14:solidFill>
                    <w14:schemeClr w14:val="tx1"/>
                  </w14:solidFill>
                </w14:textFill>
              </w:rPr>
            </w:pPr>
          </w:p>
        </w:tc>
        <w:tc>
          <w:tcPr>
            <w:tcW w:w="564" w:type="dxa"/>
            <w:tcMar>
              <w:left w:w="108" w:type="dxa"/>
              <w:right w:w="108" w:type="dxa"/>
            </w:tcMar>
            <w:vAlign w:val="center"/>
          </w:tcPr>
          <w:p>
            <w:pPr>
              <w:snapToGrid w:val="0"/>
              <w:spacing w:line="360" w:lineRule="auto"/>
              <w:jc w:val="center"/>
              <w:rPr>
                <w:color w:val="000000" w:themeColor="text1"/>
                <w14:textFill>
                  <w14:solidFill>
                    <w14:schemeClr w14:val="tx1"/>
                  </w14:solidFill>
                </w14:textFill>
              </w:rPr>
            </w:pPr>
            <w:r>
              <w:rPr>
                <w:color w:val="000000" w:themeColor="text1"/>
                <w:szCs w:val="21"/>
                <w14:textFill>
                  <w14:solidFill>
                    <w14:schemeClr w14:val="tx1"/>
                  </w14:solidFill>
                </w14:textFill>
              </w:rPr>
              <w:t>2</w:t>
            </w:r>
          </w:p>
        </w:tc>
        <w:tc>
          <w:tcPr>
            <w:tcW w:w="1683" w:type="dxa"/>
            <w:tcMar>
              <w:left w:w="108" w:type="dxa"/>
              <w:right w:w="108" w:type="dxa"/>
            </w:tcMar>
            <w:vAlign w:val="center"/>
          </w:tcPr>
          <w:p>
            <w:pPr>
              <w:snapToGrid w:val="0"/>
              <w:spacing w:line="360" w:lineRule="auto"/>
              <w:jc w:val="left"/>
              <w:rPr>
                <w:color w:val="000000" w:themeColor="text1"/>
                <w14:textFill>
                  <w14:solidFill>
                    <w14:schemeClr w14:val="tx1"/>
                  </w14:solidFill>
                </w14:textFill>
              </w:rPr>
            </w:pPr>
            <w:r>
              <w:rPr>
                <w:color w:val="000000" w:themeColor="text1"/>
                <w:szCs w:val="21"/>
                <w14:textFill>
                  <w14:solidFill>
                    <w14:schemeClr w14:val="tx1"/>
                  </w14:solidFill>
                </w14:textFill>
              </w:rPr>
              <w:t>施工组织计划、施工技术、施工工艺及相关的合理化建议</w:t>
            </w:r>
          </w:p>
        </w:tc>
        <w:tc>
          <w:tcPr>
            <w:tcW w:w="811" w:type="dxa"/>
            <w:tcMar>
              <w:left w:w="108" w:type="dxa"/>
              <w:right w:w="108" w:type="dxa"/>
            </w:tcMar>
            <w:vAlign w:val="center"/>
          </w:tcPr>
          <w:p>
            <w:pPr>
              <w:snapToGrid w:val="0"/>
              <w:spacing w:line="360" w:lineRule="auto"/>
              <w:jc w:val="center"/>
              <w:rPr>
                <w:color w:val="000000" w:themeColor="text1"/>
                <w14:textFill>
                  <w14:solidFill>
                    <w14:schemeClr w14:val="tx1"/>
                  </w14:solidFill>
                </w14:textFill>
              </w:rPr>
            </w:pPr>
            <w:r>
              <w:rPr>
                <w:rFonts w:hint="eastAsia"/>
                <w:color w:val="000000" w:themeColor="text1"/>
                <w:szCs w:val="21"/>
                <w14:textFill>
                  <w14:solidFill>
                    <w14:schemeClr w14:val="tx1"/>
                  </w14:solidFill>
                </w14:textFill>
              </w:rPr>
              <w:t>8</w:t>
            </w:r>
          </w:p>
        </w:tc>
        <w:tc>
          <w:tcPr>
            <w:tcW w:w="703" w:type="dxa"/>
            <w:tcMar>
              <w:left w:w="108" w:type="dxa"/>
              <w:right w:w="108" w:type="dxa"/>
            </w:tcMar>
            <w:vAlign w:val="center"/>
          </w:tcPr>
          <w:p>
            <w:pPr>
              <w:snapToGrid w:val="0"/>
              <w:spacing w:line="360" w:lineRule="auto"/>
              <w:jc w:val="center"/>
              <w:rPr>
                <w:color w:val="000000" w:themeColor="text1"/>
                <w14:textFill>
                  <w14:solidFill>
                    <w14:schemeClr w14:val="tx1"/>
                  </w14:solidFill>
                </w14:textFill>
              </w:rPr>
            </w:pPr>
            <w:r>
              <w:rPr>
                <w:color w:val="000000" w:themeColor="text1"/>
                <w:szCs w:val="21"/>
                <w14:textFill>
                  <w14:solidFill>
                    <w14:schemeClr w14:val="tx1"/>
                  </w14:solidFill>
                </w14:textFill>
              </w:rPr>
              <w:t>专家打分</w:t>
            </w:r>
          </w:p>
        </w:tc>
        <w:tc>
          <w:tcPr>
            <w:tcW w:w="4226" w:type="dxa"/>
            <w:tcMar>
              <w:left w:w="108" w:type="dxa"/>
              <w:right w:w="108" w:type="dxa"/>
            </w:tcMar>
            <w:vAlign w:val="center"/>
          </w:tcPr>
          <w:p>
            <w:pPr>
              <w:snapToGrid w:val="0"/>
              <w:spacing w:line="360" w:lineRule="auto"/>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t>评审内容：要求关键线路清晰、准确、完整、计划编制合理、可行，劳动力及材料的投入计划与进度计划呼应，满足施工需要：</w:t>
            </w:r>
          </w:p>
          <w:p>
            <w:pPr>
              <w:snapToGrid w:val="0"/>
              <w:spacing w:line="360" w:lineRule="auto"/>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t>（1）施工组织计划非常完整清晰；</w:t>
            </w:r>
          </w:p>
          <w:p>
            <w:pPr>
              <w:snapToGrid w:val="0"/>
              <w:spacing w:line="360" w:lineRule="auto"/>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t>（2）列明主要施工技术要求；</w:t>
            </w:r>
          </w:p>
          <w:p>
            <w:pPr>
              <w:snapToGrid w:val="0"/>
              <w:spacing w:line="360" w:lineRule="auto"/>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t>（3）施工工艺规范完整；</w:t>
            </w:r>
          </w:p>
          <w:p>
            <w:pPr>
              <w:snapToGrid w:val="0"/>
              <w:spacing w:line="360" w:lineRule="auto"/>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t>（4）能对项目提出非常有建设性的建议。</w:t>
            </w:r>
          </w:p>
          <w:p>
            <w:pPr>
              <w:snapToGrid w:val="0"/>
              <w:spacing w:line="360" w:lineRule="auto"/>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t>满足以上四项要求为优，满足以上三项要求为良，满足以上两项要求为中，其它情况不得分。</w:t>
            </w:r>
          </w:p>
          <w:p>
            <w:pPr>
              <w:snapToGrid w:val="0"/>
              <w:spacing w:line="360" w:lineRule="auto"/>
              <w:jc w:val="left"/>
              <w:rPr>
                <w:color w:val="000000" w:themeColor="text1"/>
                <w14:textFill>
                  <w14:solidFill>
                    <w14:schemeClr w14:val="tx1"/>
                  </w14:solidFill>
                </w14:textFill>
              </w:rPr>
            </w:pPr>
            <w:r>
              <w:rPr>
                <w:color w:val="000000" w:themeColor="text1"/>
                <w:szCs w:val="21"/>
                <w14:textFill>
                  <w14:solidFill>
                    <w14:schemeClr w14:val="tx1"/>
                  </w14:solidFill>
                </w14:textFill>
              </w:rPr>
              <w:t>在投标文件中详细说明响应情况，评标委员会根据响应情况评分：优100分，良75分，中50分，差不得分。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04" w:type="dxa"/>
            <w:vMerge w:val="continue"/>
            <w:vAlign w:val="center"/>
          </w:tcPr>
          <w:p>
            <w:pPr>
              <w:snapToGrid w:val="0"/>
              <w:spacing w:line="360" w:lineRule="auto"/>
              <w:jc w:val="left"/>
              <w:rPr>
                <w:color w:val="000000" w:themeColor="text1"/>
                <w14:textFill>
                  <w14:solidFill>
                    <w14:schemeClr w14:val="tx1"/>
                  </w14:solidFill>
                </w14:textFill>
              </w:rPr>
            </w:pPr>
          </w:p>
        </w:tc>
        <w:tc>
          <w:tcPr>
            <w:tcW w:w="564" w:type="dxa"/>
            <w:tcMar>
              <w:left w:w="108" w:type="dxa"/>
              <w:right w:w="108" w:type="dxa"/>
            </w:tcMar>
            <w:vAlign w:val="center"/>
          </w:tcPr>
          <w:p>
            <w:pPr>
              <w:snapToGrid w:val="0"/>
              <w:spacing w:line="360" w:lineRule="auto"/>
              <w:jc w:val="center"/>
              <w:rPr>
                <w:color w:val="000000" w:themeColor="text1"/>
                <w14:textFill>
                  <w14:solidFill>
                    <w14:schemeClr w14:val="tx1"/>
                  </w14:solidFill>
                </w14:textFill>
              </w:rPr>
            </w:pPr>
            <w:r>
              <w:rPr>
                <w:color w:val="000000" w:themeColor="text1"/>
                <w:szCs w:val="21"/>
                <w14:textFill>
                  <w14:solidFill>
                    <w14:schemeClr w14:val="tx1"/>
                  </w14:solidFill>
                </w14:textFill>
              </w:rPr>
              <w:t>3</w:t>
            </w:r>
          </w:p>
        </w:tc>
        <w:tc>
          <w:tcPr>
            <w:tcW w:w="1683" w:type="dxa"/>
            <w:tcMar>
              <w:left w:w="108" w:type="dxa"/>
              <w:right w:w="108" w:type="dxa"/>
            </w:tcMar>
            <w:vAlign w:val="center"/>
          </w:tcPr>
          <w:p>
            <w:pPr>
              <w:snapToGrid w:val="0"/>
              <w:spacing w:line="360" w:lineRule="auto"/>
              <w:jc w:val="left"/>
              <w:rPr>
                <w:color w:val="000000" w:themeColor="text1"/>
                <w14:textFill>
                  <w14:solidFill>
                    <w14:schemeClr w14:val="tx1"/>
                  </w14:solidFill>
                </w14:textFill>
              </w:rPr>
            </w:pPr>
            <w:r>
              <w:rPr>
                <w:color w:val="000000" w:themeColor="text1"/>
                <w:szCs w:val="21"/>
                <w14:textFill>
                  <w14:solidFill>
                    <w14:schemeClr w14:val="tx1"/>
                  </w14:solidFill>
                </w14:textFill>
              </w:rPr>
              <w:t>项目实施关键施工技术（重点难点）分析及解决方案</w:t>
            </w:r>
          </w:p>
        </w:tc>
        <w:tc>
          <w:tcPr>
            <w:tcW w:w="811" w:type="dxa"/>
            <w:tcMar>
              <w:left w:w="108" w:type="dxa"/>
              <w:right w:w="108" w:type="dxa"/>
            </w:tcMar>
            <w:vAlign w:val="center"/>
          </w:tcPr>
          <w:p>
            <w:pPr>
              <w:snapToGrid w:val="0"/>
              <w:spacing w:line="360" w:lineRule="auto"/>
              <w:jc w:val="center"/>
              <w:rPr>
                <w:color w:val="000000" w:themeColor="text1"/>
                <w14:textFill>
                  <w14:solidFill>
                    <w14:schemeClr w14:val="tx1"/>
                  </w14:solidFill>
                </w14:textFill>
              </w:rPr>
            </w:pPr>
            <w:r>
              <w:rPr>
                <w:rFonts w:hint="eastAsia"/>
                <w:color w:val="000000" w:themeColor="text1"/>
                <w:szCs w:val="21"/>
                <w14:textFill>
                  <w14:solidFill>
                    <w14:schemeClr w14:val="tx1"/>
                  </w14:solidFill>
                </w14:textFill>
              </w:rPr>
              <w:t>8</w:t>
            </w:r>
          </w:p>
        </w:tc>
        <w:tc>
          <w:tcPr>
            <w:tcW w:w="703" w:type="dxa"/>
            <w:tcMar>
              <w:left w:w="108" w:type="dxa"/>
              <w:right w:w="108" w:type="dxa"/>
            </w:tcMar>
            <w:vAlign w:val="center"/>
          </w:tcPr>
          <w:p>
            <w:pPr>
              <w:snapToGrid w:val="0"/>
              <w:spacing w:line="360" w:lineRule="auto"/>
              <w:jc w:val="center"/>
              <w:rPr>
                <w:color w:val="000000" w:themeColor="text1"/>
                <w14:textFill>
                  <w14:solidFill>
                    <w14:schemeClr w14:val="tx1"/>
                  </w14:solidFill>
                </w14:textFill>
              </w:rPr>
            </w:pPr>
            <w:r>
              <w:rPr>
                <w:color w:val="000000" w:themeColor="text1"/>
                <w:szCs w:val="21"/>
                <w14:textFill>
                  <w14:solidFill>
                    <w14:schemeClr w14:val="tx1"/>
                  </w14:solidFill>
                </w14:textFill>
              </w:rPr>
              <w:t>专家打分</w:t>
            </w:r>
          </w:p>
        </w:tc>
        <w:tc>
          <w:tcPr>
            <w:tcW w:w="4226" w:type="dxa"/>
            <w:tcMar>
              <w:left w:w="108" w:type="dxa"/>
              <w:right w:w="108" w:type="dxa"/>
            </w:tcMar>
          </w:tcPr>
          <w:p>
            <w:pPr>
              <w:snapToGrid w:val="0"/>
              <w:spacing w:line="360" w:lineRule="auto"/>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评审内容：项目实施关键点（重点难点）分析及解决方案包括但不限于：</w:t>
            </w:r>
          </w:p>
          <w:p>
            <w:pPr>
              <w:snapToGrid w:val="0"/>
              <w:spacing w:line="360" w:lineRule="auto"/>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（1）整体施工方案完整清晰；</w:t>
            </w:r>
          </w:p>
          <w:p>
            <w:pPr>
              <w:snapToGrid w:val="0"/>
              <w:spacing w:line="360" w:lineRule="auto"/>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（2）拆除改造安全措施解决方案完整清晰；</w:t>
            </w:r>
          </w:p>
          <w:p>
            <w:pPr>
              <w:snapToGrid w:val="0"/>
              <w:spacing w:line="360" w:lineRule="auto"/>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（3）门窗施工技术完整清晰；</w:t>
            </w:r>
          </w:p>
          <w:p>
            <w:pPr>
              <w:snapToGrid w:val="0"/>
              <w:spacing w:line="360" w:lineRule="auto"/>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（4）弱电工程施工技术完整清晰；</w:t>
            </w:r>
          </w:p>
          <w:p>
            <w:pPr>
              <w:snapToGrid w:val="0"/>
              <w:spacing w:line="360" w:lineRule="auto"/>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（5）装修工程重点难点解决方案。</w:t>
            </w:r>
          </w:p>
          <w:p>
            <w:pPr>
              <w:snapToGrid w:val="0"/>
              <w:spacing w:line="360" w:lineRule="auto"/>
              <w:jc w:val="left"/>
              <w:rPr>
                <w:rFonts w:hint="eastAsia" w:ascii="宋体" w:hAnsi="宋体" w:eastAsia="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14:textFill>
                  <w14:solidFill>
                    <w14:schemeClr w14:val="tx1"/>
                  </w14:solidFill>
                </w14:textFill>
              </w:rPr>
              <w:t>满足以上五项要求得优，满足以上四项要求得良，满足以上三项要求得中，其它情况不得分</w:t>
            </w:r>
            <w:r>
              <w:rPr>
                <w:rFonts w:hint="eastAsia" w:ascii="宋体" w:hAnsi="宋体" w:cs="宋体"/>
                <w:color w:val="000000" w:themeColor="text1"/>
                <w:szCs w:val="21"/>
                <w:lang w:eastAsia="zh-CN"/>
                <w14:textFill>
                  <w14:solidFill>
                    <w14:schemeClr w14:val="tx1"/>
                  </w14:solidFill>
                </w14:textFill>
              </w:rPr>
              <w:t>。</w:t>
            </w:r>
          </w:p>
          <w:p>
            <w:pPr>
              <w:snapToGrid w:val="0"/>
              <w:spacing w:line="360" w:lineRule="auto"/>
              <w:jc w:val="left"/>
              <w:rPr>
                <w:color w:val="000000" w:themeColor="text1"/>
                <w14:textFill>
                  <w14:solidFill>
                    <w14:schemeClr w14:val="tx1"/>
                  </w14:solidFill>
                </w14:textFill>
              </w:rPr>
            </w:pPr>
            <w:r>
              <w:rPr>
                <w:color w:val="000000" w:themeColor="text1"/>
                <w:szCs w:val="21"/>
                <w14:textFill>
                  <w14:solidFill>
                    <w14:schemeClr w14:val="tx1"/>
                  </w14:solidFill>
                </w14:textFill>
              </w:rPr>
              <w:t>在投标文件中详细说明响应情况，评标委员会根据响应情况评分：优100分，良75分，中50分，差不得分。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04" w:type="dxa"/>
            <w:vMerge w:val="continue"/>
            <w:vAlign w:val="center"/>
          </w:tcPr>
          <w:p>
            <w:pPr>
              <w:snapToGrid w:val="0"/>
              <w:spacing w:line="360" w:lineRule="auto"/>
              <w:jc w:val="left"/>
              <w:rPr>
                <w:color w:val="000000" w:themeColor="text1"/>
                <w14:textFill>
                  <w14:solidFill>
                    <w14:schemeClr w14:val="tx1"/>
                  </w14:solidFill>
                </w14:textFill>
              </w:rPr>
            </w:pPr>
          </w:p>
        </w:tc>
        <w:tc>
          <w:tcPr>
            <w:tcW w:w="564" w:type="dxa"/>
            <w:tcMar>
              <w:left w:w="108" w:type="dxa"/>
              <w:right w:w="108" w:type="dxa"/>
            </w:tcMar>
            <w:vAlign w:val="center"/>
          </w:tcPr>
          <w:p>
            <w:pPr>
              <w:snapToGrid w:val="0"/>
              <w:spacing w:line="360" w:lineRule="auto"/>
              <w:jc w:val="center"/>
              <w:rPr>
                <w:color w:val="000000" w:themeColor="text1"/>
                <w14:textFill>
                  <w14:solidFill>
                    <w14:schemeClr w14:val="tx1"/>
                  </w14:solidFill>
                </w14:textFill>
              </w:rPr>
            </w:pPr>
            <w:r>
              <w:rPr>
                <w:color w:val="000000" w:themeColor="text1"/>
                <w:szCs w:val="21"/>
                <w14:textFill>
                  <w14:solidFill>
                    <w14:schemeClr w14:val="tx1"/>
                  </w14:solidFill>
                </w14:textFill>
              </w:rPr>
              <w:t>4</w:t>
            </w:r>
          </w:p>
        </w:tc>
        <w:tc>
          <w:tcPr>
            <w:tcW w:w="1683" w:type="dxa"/>
            <w:tcMar>
              <w:left w:w="108" w:type="dxa"/>
              <w:right w:w="108" w:type="dxa"/>
            </w:tcMar>
            <w:vAlign w:val="center"/>
          </w:tcPr>
          <w:p>
            <w:pPr>
              <w:snapToGrid w:val="0"/>
              <w:spacing w:line="360" w:lineRule="auto"/>
              <w:jc w:val="left"/>
              <w:rPr>
                <w:color w:val="000000" w:themeColor="text1"/>
                <w14:textFill>
                  <w14:solidFill>
                    <w14:schemeClr w14:val="tx1"/>
                  </w14:solidFill>
                </w14:textFill>
              </w:rPr>
            </w:pPr>
            <w:r>
              <w:rPr>
                <w:color w:val="000000" w:themeColor="text1"/>
                <w:szCs w:val="21"/>
                <w14:textFill>
                  <w14:solidFill>
                    <w14:schemeClr w14:val="tx1"/>
                  </w14:solidFill>
                </w14:textFill>
              </w:rPr>
              <w:t>拟采用设备（材料）的性能（节能环保情况）、档次及质量可靠性</w:t>
            </w:r>
          </w:p>
        </w:tc>
        <w:tc>
          <w:tcPr>
            <w:tcW w:w="811" w:type="dxa"/>
            <w:tcMar>
              <w:left w:w="108" w:type="dxa"/>
              <w:right w:w="108" w:type="dxa"/>
            </w:tcMar>
            <w:vAlign w:val="center"/>
          </w:tcPr>
          <w:p>
            <w:pPr>
              <w:snapToGrid w:val="0"/>
              <w:spacing w:line="360" w:lineRule="auto"/>
              <w:jc w:val="center"/>
              <w:rPr>
                <w:color w:val="000000" w:themeColor="text1"/>
                <w14:textFill>
                  <w14:solidFill>
                    <w14:schemeClr w14:val="tx1"/>
                  </w14:solidFill>
                </w14:textFill>
              </w:rPr>
            </w:pPr>
            <w:r>
              <w:rPr>
                <w:rFonts w:hint="eastAsia"/>
                <w:color w:val="000000" w:themeColor="text1"/>
                <w:szCs w:val="21"/>
                <w14:textFill>
                  <w14:solidFill>
                    <w14:schemeClr w14:val="tx1"/>
                  </w14:solidFill>
                </w14:textFill>
              </w:rPr>
              <w:t>8</w:t>
            </w:r>
          </w:p>
        </w:tc>
        <w:tc>
          <w:tcPr>
            <w:tcW w:w="703" w:type="dxa"/>
            <w:tcMar>
              <w:left w:w="108" w:type="dxa"/>
              <w:right w:w="108" w:type="dxa"/>
            </w:tcMar>
            <w:vAlign w:val="center"/>
          </w:tcPr>
          <w:p>
            <w:pPr>
              <w:snapToGrid w:val="0"/>
              <w:spacing w:line="360" w:lineRule="auto"/>
              <w:jc w:val="center"/>
              <w:rPr>
                <w:color w:val="000000" w:themeColor="text1"/>
                <w14:textFill>
                  <w14:solidFill>
                    <w14:schemeClr w14:val="tx1"/>
                  </w14:solidFill>
                </w14:textFill>
              </w:rPr>
            </w:pPr>
            <w:r>
              <w:rPr>
                <w:color w:val="000000" w:themeColor="text1"/>
                <w:szCs w:val="21"/>
                <w14:textFill>
                  <w14:solidFill>
                    <w14:schemeClr w14:val="tx1"/>
                  </w14:solidFill>
                </w14:textFill>
              </w:rPr>
              <w:t>专家打分</w:t>
            </w:r>
          </w:p>
        </w:tc>
        <w:tc>
          <w:tcPr>
            <w:tcW w:w="4226" w:type="dxa"/>
            <w:tcMar>
              <w:left w:w="108" w:type="dxa"/>
              <w:right w:w="108" w:type="dxa"/>
            </w:tcMar>
          </w:tcPr>
          <w:p>
            <w:pPr>
              <w:snapToGrid w:val="0"/>
              <w:spacing w:line="360" w:lineRule="auto"/>
              <w:jc w:val="left"/>
              <w:rPr>
                <w:rFonts w:hint="eastAsia" w:eastAsia="宋体"/>
                <w:color w:val="000000" w:themeColor="text1"/>
                <w:szCs w:val="21"/>
                <w:lang w:eastAsia="zh-CN"/>
                <w14:textFill>
                  <w14:solidFill>
                    <w14:schemeClr w14:val="tx1"/>
                  </w14:solidFill>
                </w14:textFill>
              </w:rPr>
            </w:pPr>
            <w:r>
              <w:rPr>
                <w:rFonts w:hint="eastAsia"/>
                <w:color w:val="000000" w:themeColor="text1"/>
                <w:szCs w:val="21"/>
                <w14:textFill>
                  <w14:solidFill>
                    <w14:schemeClr w14:val="tx1"/>
                  </w14:solidFill>
                </w14:textFill>
              </w:rPr>
              <w:t>评审内容：拟采用设备（材料）的性能（节能环保情况）、档次及质量可靠性</w:t>
            </w:r>
            <w:r>
              <w:rPr>
                <w:rFonts w:hint="eastAsia"/>
                <w:color w:val="000000" w:themeColor="text1"/>
                <w:szCs w:val="21"/>
                <w:lang w:eastAsia="zh-CN"/>
                <w14:textFill>
                  <w14:solidFill>
                    <w14:schemeClr w14:val="tx1"/>
                  </w14:solidFill>
                </w14:textFill>
              </w:rPr>
              <w:t>：</w:t>
            </w:r>
          </w:p>
          <w:p>
            <w:pPr>
              <w:snapToGrid w:val="0"/>
              <w:spacing w:line="360" w:lineRule="auto"/>
              <w:jc w:val="left"/>
              <w:rPr>
                <w:rFonts w:hint="eastAsia" w:ascii="宋体" w:hAnsi="宋体" w:eastAsia="宋体" w:cs="宋体"/>
                <w:szCs w:val="21"/>
                <w:lang w:val="en-US" w:eastAsia="zh-CN"/>
              </w:rPr>
            </w:pPr>
            <w:r>
              <w:rPr>
                <w:rFonts w:hint="eastAsia" w:ascii="宋体" w:hAnsi="宋体" w:cs="宋体"/>
                <w:szCs w:val="21"/>
              </w:rPr>
              <w:t>（1）提供内墙涂料检测报告并且检验结果合格得25分</w:t>
            </w:r>
            <w:r>
              <w:rPr>
                <w:rFonts w:hint="eastAsia" w:ascii="宋体" w:hAnsi="宋体" w:cs="宋体"/>
                <w:szCs w:val="21"/>
                <w:lang w:eastAsia="zh-CN"/>
              </w:rPr>
              <w:t>；</w:t>
            </w:r>
          </w:p>
          <w:p>
            <w:pPr>
              <w:snapToGrid w:val="0"/>
              <w:spacing w:line="360" w:lineRule="auto"/>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（2）提供防水材料检测报告并且检验结果合格得25分；</w:t>
            </w:r>
          </w:p>
          <w:p>
            <w:pPr>
              <w:snapToGrid w:val="0"/>
              <w:spacing w:line="360" w:lineRule="auto"/>
              <w:jc w:val="left"/>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（3）提供瓷砖检测报告并且检验结果合格得25分。</w:t>
            </w:r>
          </w:p>
          <w:p>
            <w:pPr>
              <w:snapToGrid w:val="0"/>
              <w:spacing w:line="360" w:lineRule="auto"/>
              <w:jc w:val="left"/>
              <w:rPr>
                <w:color w:val="000000" w:themeColor="text1"/>
                <w14:textFill>
                  <w14:solidFill>
                    <w14:schemeClr w14:val="tx1"/>
                  </w14:solidFill>
                </w14:textFill>
              </w:rPr>
            </w:pPr>
            <w:r>
              <w:rPr>
                <w:rFonts w:hint="eastAsia"/>
                <w:color w:val="000000" w:themeColor="text1"/>
                <w:szCs w:val="21"/>
                <w14:textFill>
                  <w14:solidFill>
                    <w14:schemeClr w14:val="tx1"/>
                  </w14:solidFill>
                </w14:textFill>
              </w:rPr>
              <w:t>（4）提供电线电缆检测报告并且检验结果合格得25分。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04" w:type="dxa"/>
            <w:vMerge w:val="continue"/>
            <w:vAlign w:val="center"/>
          </w:tcPr>
          <w:p>
            <w:pPr>
              <w:snapToGrid w:val="0"/>
              <w:spacing w:line="360" w:lineRule="auto"/>
              <w:jc w:val="left"/>
              <w:rPr>
                <w:color w:val="000000" w:themeColor="text1"/>
                <w14:textFill>
                  <w14:solidFill>
                    <w14:schemeClr w14:val="tx1"/>
                  </w14:solidFill>
                </w14:textFill>
              </w:rPr>
            </w:pPr>
          </w:p>
        </w:tc>
        <w:tc>
          <w:tcPr>
            <w:tcW w:w="564" w:type="dxa"/>
            <w:tcMar>
              <w:left w:w="108" w:type="dxa"/>
              <w:right w:w="108" w:type="dxa"/>
            </w:tcMar>
            <w:vAlign w:val="center"/>
          </w:tcPr>
          <w:p>
            <w:pPr>
              <w:snapToGrid w:val="0"/>
              <w:spacing w:line="360" w:lineRule="auto"/>
              <w:jc w:val="center"/>
              <w:rPr>
                <w:color w:val="000000" w:themeColor="text1"/>
                <w14:textFill>
                  <w14:solidFill>
                    <w14:schemeClr w14:val="tx1"/>
                  </w14:solidFill>
                </w14:textFill>
              </w:rPr>
            </w:pPr>
            <w:r>
              <w:rPr>
                <w:color w:val="000000" w:themeColor="text1"/>
                <w:szCs w:val="21"/>
                <w14:textFill>
                  <w14:solidFill>
                    <w14:schemeClr w14:val="tx1"/>
                  </w14:solidFill>
                </w14:textFill>
              </w:rPr>
              <w:t>5</w:t>
            </w:r>
          </w:p>
        </w:tc>
        <w:tc>
          <w:tcPr>
            <w:tcW w:w="1683" w:type="dxa"/>
            <w:tcMar>
              <w:left w:w="108" w:type="dxa"/>
              <w:right w:w="108" w:type="dxa"/>
            </w:tcMar>
            <w:vAlign w:val="center"/>
          </w:tcPr>
          <w:p>
            <w:pPr>
              <w:snapToGrid w:val="0"/>
              <w:spacing w:line="360" w:lineRule="auto"/>
              <w:jc w:val="left"/>
              <w:rPr>
                <w:color w:val="000000" w:themeColor="text1"/>
                <w14:textFill>
                  <w14:solidFill>
                    <w14:schemeClr w14:val="tx1"/>
                  </w14:solidFill>
                </w14:textFill>
              </w:rPr>
            </w:pPr>
            <w:r>
              <w:rPr>
                <w:color w:val="000000" w:themeColor="text1"/>
                <w:szCs w:val="21"/>
                <w14:textFill>
                  <w14:solidFill>
                    <w14:schemeClr w14:val="tx1"/>
                  </w14:solidFill>
                </w14:textFill>
              </w:rPr>
              <w:t>施工质量（安全、环保、工期、售后服务）保障措施及相关的违约承诺</w:t>
            </w:r>
          </w:p>
        </w:tc>
        <w:tc>
          <w:tcPr>
            <w:tcW w:w="811" w:type="dxa"/>
            <w:tcMar>
              <w:left w:w="108" w:type="dxa"/>
              <w:right w:w="108" w:type="dxa"/>
            </w:tcMar>
            <w:vAlign w:val="center"/>
          </w:tcPr>
          <w:p>
            <w:pPr>
              <w:snapToGrid w:val="0"/>
              <w:spacing w:line="360" w:lineRule="auto"/>
              <w:jc w:val="center"/>
              <w:rPr>
                <w:color w:val="000000" w:themeColor="text1"/>
                <w14:textFill>
                  <w14:solidFill>
                    <w14:schemeClr w14:val="tx1"/>
                  </w14:solidFill>
                </w14:textFill>
              </w:rPr>
            </w:pPr>
            <w:r>
              <w:rPr>
                <w:rFonts w:hint="eastAsia"/>
                <w:color w:val="000000" w:themeColor="text1"/>
                <w:szCs w:val="21"/>
                <w14:textFill>
                  <w14:solidFill>
                    <w14:schemeClr w14:val="tx1"/>
                  </w14:solidFill>
                </w14:textFill>
              </w:rPr>
              <w:t>6</w:t>
            </w:r>
          </w:p>
        </w:tc>
        <w:tc>
          <w:tcPr>
            <w:tcW w:w="703" w:type="dxa"/>
            <w:tcMar>
              <w:left w:w="108" w:type="dxa"/>
              <w:right w:w="108" w:type="dxa"/>
            </w:tcMar>
            <w:vAlign w:val="center"/>
          </w:tcPr>
          <w:p>
            <w:pPr>
              <w:snapToGrid w:val="0"/>
              <w:spacing w:line="360" w:lineRule="auto"/>
              <w:jc w:val="center"/>
              <w:rPr>
                <w:color w:val="000000" w:themeColor="text1"/>
                <w14:textFill>
                  <w14:solidFill>
                    <w14:schemeClr w14:val="tx1"/>
                  </w14:solidFill>
                </w14:textFill>
              </w:rPr>
            </w:pPr>
            <w:r>
              <w:rPr>
                <w:color w:val="000000" w:themeColor="text1"/>
                <w:szCs w:val="21"/>
                <w14:textFill>
                  <w14:solidFill>
                    <w14:schemeClr w14:val="tx1"/>
                  </w14:solidFill>
                </w14:textFill>
              </w:rPr>
              <w:t>专家评分</w:t>
            </w:r>
          </w:p>
        </w:tc>
        <w:tc>
          <w:tcPr>
            <w:tcW w:w="4226" w:type="dxa"/>
            <w:tcMar>
              <w:left w:w="108" w:type="dxa"/>
              <w:right w:w="108" w:type="dxa"/>
            </w:tcMar>
            <w:vAlign w:val="center"/>
          </w:tcPr>
          <w:p>
            <w:pPr>
              <w:snapToGrid w:val="0"/>
              <w:spacing w:line="360" w:lineRule="auto"/>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t>评审内容：施工质量（安全、环保、工期、售后服务）保障措施及相关的违约承诺</w:t>
            </w:r>
          </w:p>
          <w:p>
            <w:pPr>
              <w:snapToGrid w:val="0"/>
              <w:spacing w:line="360" w:lineRule="auto"/>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t>（1）施工安全保障措施完整；</w:t>
            </w:r>
          </w:p>
          <w:p>
            <w:pPr>
              <w:snapToGrid w:val="0"/>
              <w:spacing w:line="360" w:lineRule="auto"/>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t>（2）施工工期保障有力；</w:t>
            </w:r>
          </w:p>
          <w:p>
            <w:pPr>
              <w:snapToGrid w:val="0"/>
              <w:spacing w:line="360" w:lineRule="auto"/>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t>（3）保修服务切实可行。</w:t>
            </w:r>
          </w:p>
          <w:p>
            <w:pPr>
              <w:snapToGrid w:val="0"/>
              <w:spacing w:line="360" w:lineRule="auto"/>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t>评标委员会根据响应情况评分：满足以上三项得优，满足两项得良，满足一项得中，其他情况不得分。</w:t>
            </w:r>
          </w:p>
          <w:p>
            <w:pPr>
              <w:snapToGrid w:val="0"/>
              <w:spacing w:line="360" w:lineRule="auto"/>
              <w:jc w:val="left"/>
              <w:rPr>
                <w:color w:val="000000" w:themeColor="text1"/>
                <w14:textFill>
                  <w14:solidFill>
                    <w14:schemeClr w14:val="tx1"/>
                  </w14:solidFill>
                </w14:textFill>
              </w:rPr>
            </w:pPr>
            <w:r>
              <w:rPr>
                <w:color w:val="000000" w:themeColor="text1"/>
                <w:szCs w:val="21"/>
                <w14:textFill>
                  <w14:solidFill>
                    <w14:schemeClr w14:val="tx1"/>
                  </w14:solidFill>
                </w14:textFill>
              </w:rPr>
              <w:t>在投标文件中详细说明响应情况，评标委员会根据响应情况评分：优100分，良75分，中50分，差不得分。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04" w:type="dxa"/>
            <w:tcMar>
              <w:left w:w="108" w:type="dxa"/>
              <w:right w:w="108" w:type="dxa"/>
            </w:tcMar>
            <w:vAlign w:val="center"/>
          </w:tcPr>
          <w:p>
            <w:pPr>
              <w:snapToGrid w:val="0"/>
              <w:spacing w:line="360" w:lineRule="auto"/>
              <w:jc w:val="center"/>
              <w:rPr>
                <w:color w:val="000000" w:themeColor="text1"/>
                <w14:textFill>
                  <w14:solidFill>
                    <w14:schemeClr w14:val="tx1"/>
                  </w14:solidFill>
                </w14:textFill>
              </w:rPr>
            </w:pPr>
            <w:r>
              <w:rPr>
                <w:color w:val="000000" w:themeColor="text1"/>
                <w:szCs w:val="21"/>
                <w14:textFill>
                  <w14:solidFill>
                    <w14:schemeClr w14:val="tx1"/>
                  </w14:solidFill>
                </w14:textFill>
              </w:rPr>
              <w:t>3</w:t>
            </w:r>
          </w:p>
        </w:tc>
        <w:tc>
          <w:tcPr>
            <w:tcW w:w="3761" w:type="dxa"/>
            <w:gridSpan w:val="4"/>
            <w:tcMar>
              <w:left w:w="108" w:type="dxa"/>
              <w:right w:w="108" w:type="dxa"/>
            </w:tcMar>
            <w:vAlign w:val="center"/>
          </w:tcPr>
          <w:p>
            <w:pPr>
              <w:snapToGrid w:val="0"/>
              <w:spacing w:line="360" w:lineRule="auto"/>
              <w:jc w:val="center"/>
              <w:rPr>
                <w:color w:val="000000" w:themeColor="text1"/>
                <w14:textFill>
                  <w14:solidFill>
                    <w14:schemeClr w14:val="tx1"/>
                  </w14:solidFill>
                </w14:textFill>
              </w:rPr>
            </w:pPr>
            <w:r>
              <w:rPr>
                <w:color w:val="000000" w:themeColor="text1"/>
                <w:szCs w:val="21"/>
                <w14:textFill>
                  <w14:solidFill>
                    <w14:schemeClr w14:val="tx1"/>
                  </w14:solidFill>
                </w14:textFill>
              </w:rPr>
              <w:t>综合实力部分</w:t>
            </w:r>
          </w:p>
        </w:tc>
        <w:tc>
          <w:tcPr>
            <w:tcW w:w="4226" w:type="dxa"/>
            <w:tcMar>
              <w:left w:w="108" w:type="dxa"/>
              <w:right w:w="108" w:type="dxa"/>
            </w:tcMar>
            <w:vAlign w:val="center"/>
          </w:tcPr>
          <w:p>
            <w:pPr>
              <w:snapToGrid w:val="0"/>
              <w:spacing w:line="360" w:lineRule="auto"/>
              <w:jc w:val="center"/>
              <w:rPr>
                <w:color w:val="000000" w:themeColor="text1"/>
                <w14:textFill>
                  <w14:solidFill>
                    <w14:schemeClr w14:val="tx1"/>
                  </w14:solidFill>
                </w14:textFill>
              </w:rPr>
            </w:pPr>
            <w:r>
              <w:rPr>
                <w:rFonts w:hint="eastAsia"/>
                <w:color w:val="000000" w:themeColor="text1"/>
                <w:szCs w:val="21"/>
                <w14:textFill>
                  <w14:solidFill>
                    <w14:schemeClr w14:val="tx1"/>
                  </w14:solidFill>
                </w14:textFill>
              </w:rPr>
              <w:t>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04" w:type="dxa"/>
            <w:vMerge w:val="restart"/>
            <w:tcMar>
              <w:left w:w="108" w:type="dxa"/>
              <w:right w:w="108" w:type="dxa"/>
            </w:tcMar>
            <w:vAlign w:val="center"/>
          </w:tcPr>
          <w:p>
            <w:pPr>
              <w:snapToGrid w:val="0"/>
              <w:spacing w:line="360" w:lineRule="auto"/>
              <w:jc w:val="left"/>
              <w:rPr>
                <w:color w:val="000000" w:themeColor="text1"/>
                <w14:textFill>
                  <w14:solidFill>
                    <w14:schemeClr w14:val="tx1"/>
                  </w14:solidFill>
                </w14:textFill>
              </w:rPr>
            </w:pPr>
          </w:p>
        </w:tc>
        <w:tc>
          <w:tcPr>
            <w:tcW w:w="564" w:type="dxa"/>
            <w:tcMar>
              <w:left w:w="108" w:type="dxa"/>
              <w:right w:w="108" w:type="dxa"/>
            </w:tcMar>
            <w:vAlign w:val="center"/>
          </w:tcPr>
          <w:p>
            <w:pPr>
              <w:snapToGrid w:val="0"/>
              <w:spacing w:line="360" w:lineRule="auto"/>
              <w:jc w:val="center"/>
              <w:rPr>
                <w:color w:val="000000" w:themeColor="text1"/>
                <w14:textFill>
                  <w14:solidFill>
                    <w14:schemeClr w14:val="tx1"/>
                  </w14:solidFill>
                </w14:textFill>
              </w:rPr>
            </w:pPr>
            <w:r>
              <w:rPr>
                <w:color w:val="000000" w:themeColor="text1"/>
                <w:szCs w:val="21"/>
                <w14:textFill>
                  <w14:solidFill>
                    <w14:schemeClr w14:val="tx1"/>
                  </w14:solidFill>
                </w14:textFill>
              </w:rPr>
              <w:t>序号</w:t>
            </w:r>
          </w:p>
        </w:tc>
        <w:tc>
          <w:tcPr>
            <w:tcW w:w="1683" w:type="dxa"/>
            <w:tcMar>
              <w:left w:w="108" w:type="dxa"/>
              <w:right w:w="108" w:type="dxa"/>
            </w:tcMar>
            <w:vAlign w:val="center"/>
          </w:tcPr>
          <w:p>
            <w:pPr>
              <w:snapToGrid w:val="0"/>
              <w:spacing w:line="360" w:lineRule="auto"/>
              <w:jc w:val="center"/>
              <w:rPr>
                <w:color w:val="000000" w:themeColor="text1"/>
                <w14:textFill>
                  <w14:solidFill>
                    <w14:schemeClr w14:val="tx1"/>
                  </w14:solidFill>
                </w14:textFill>
              </w:rPr>
            </w:pPr>
            <w:r>
              <w:rPr>
                <w:color w:val="000000" w:themeColor="text1"/>
                <w:szCs w:val="21"/>
                <w14:textFill>
                  <w14:solidFill>
                    <w14:schemeClr w14:val="tx1"/>
                  </w14:solidFill>
                </w14:textFill>
              </w:rPr>
              <w:t>评分因素</w:t>
            </w:r>
          </w:p>
        </w:tc>
        <w:tc>
          <w:tcPr>
            <w:tcW w:w="811" w:type="dxa"/>
            <w:tcMar>
              <w:left w:w="108" w:type="dxa"/>
              <w:right w:w="108" w:type="dxa"/>
            </w:tcMar>
            <w:vAlign w:val="center"/>
          </w:tcPr>
          <w:p>
            <w:pPr>
              <w:snapToGrid w:val="0"/>
              <w:spacing w:line="360" w:lineRule="auto"/>
              <w:jc w:val="center"/>
              <w:rPr>
                <w:color w:val="000000" w:themeColor="text1"/>
                <w14:textFill>
                  <w14:solidFill>
                    <w14:schemeClr w14:val="tx1"/>
                  </w14:solidFill>
                </w14:textFill>
              </w:rPr>
            </w:pPr>
            <w:r>
              <w:rPr>
                <w:color w:val="000000" w:themeColor="text1"/>
                <w:szCs w:val="21"/>
                <w14:textFill>
                  <w14:solidFill>
                    <w14:schemeClr w14:val="tx1"/>
                  </w14:solidFill>
                </w14:textFill>
              </w:rPr>
              <w:t>权重（%）</w:t>
            </w:r>
          </w:p>
        </w:tc>
        <w:tc>
          <w:tcPr>
            <w:tcW w:w="703" w:type="dxa"/>
            <w:tcMar>
              <w:left w:w="108" w:type="dxa"/>
              <w:right w:w="108" w:type="dxa"/>
            </w:tcMar>
            <w:vAlign w:val="center"/>
          </w:tcPr>
          <w:p>
            <w:pPr>
              <w:snapToGrid w:val="0"/>
              <w:spacing w:line="360" w:lineRule="auto"/>
              <w:jc w:val="center"/>
              <w:rPr>
                <w:color w:val="000000" w:themeColor="text1"/>
                <w14:textFill>
                  <w14:solidFill>
                    <w14:schemeClr w14:val="tx1"/>
                  </w14:solidFill>
                </w14:textFill>
              </w:rPr>
            </w:pPr>
            <w:r>
              <w:rPr>
                <w:color w:val="000000" w:themeColor="text1"/>
                <w:szCs w:val="21"/>
                <w14:textFill>
                  <w14:solidFill>
                    <w14:schemeClr w14:val="tx1"/>
                  </w14:solidFill>
                </w14:textFill>
              </w:rPr>
              <w:t>评分方式</w:t>
            </w:r>
          </w:p>
        </w:tc>
        <w:tc>
          <w:tcPr>
            <w:tcW w:w="4226" w:type="dxa"/>
            <w:tcMar>
              <w:left w:w="108" w:type="dxa"/>
              <w:right w:w="108" w:type="dxa"/>
            </w:tcMar>
            <w:vAlign w:val="center"/>
          </w:tcPr>
          <w:p>
            <w:pPr>
              <w:snapToGrid w:val="0"/>
              <w:spacing w:line="360" w:lineRule="auto"/>
              <w:jc w:val="center"/>
              <w:rPr>
                <w:color w:val="000000" w:themeColor="text1"/>
                <w14:textFill>
                  <w14:solidFill>
                    <w14:schemeClr w14:val="tx1"/>
                  </w14:solidFill>
                </w14:textFill>
              </w:rPr>
            </w:pPr>
            <w:bookmarkStart w:id="0" w:name="OLE_LINK8"/>
            <w:r>
              <w:rPr>
                <w:color w:val="000000" w:themeColor="text1"/>
                <w:szCs w:val="21"/>
                <w14:textFill>
                  <w14:solidFill>
                    <w14:schemeClr w14:val="tx1"/>
                  </w14:solidFill>
                </w14:textFill>
              </w:rPr>
              <w:t>评分准则</w:t>
            </w:r>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04" w:type="dxa"/>
            <w:vMerge w:val="continue"/>
            <w:tcMar>
              <w:left w:w="108" w:type="dxa"/>
              <w:right w:w="108" w:type="dxa"/>
            </w:tcMar>
            <w:vAlign w:val="center"/>
          </w:tcPr>
          <w:p>
            <w:pPr>
              <w:snapToGrid w:val="0"/>
              <w:spacing w:line="360" w:lineRule="auto"/>
              <w:jc w:val="left"/>
              <w:rPr>
                <w:color w:val="000000" w:themeColor="text1"/>
                <w14:textFill>
                  <w14:solidFill>
                    <w14:schemeClr w14:val="tx1"/>
                  </w14:solidFill>
                </w14:textFill>
              </w:rPr>
            </w:pPr>
          </w:p>
        </w:tc>
        <w:tc>
          <w:tcPr>
            <w:tcW w:w="564" w:type="dxa"/>
            <w:tcMar>
              <w:left w:w="108" w:type="dxa"/>
              <w:right w:w="108" w:type="dxa"/>
            </w:tcMar>
            <w:vAlign w:val="center"/>
          </w:tcPr>
          <w:p>
            <w:pPr>
              <w:snapToGrid w:val="0"/>
              <w:spacing w:line="360" w:lineRule="auto"/>
              <w:jc w:val="center"/>
              <w:rPr>
                <w:color w:val="000000" w:themeColor="text1"/>
                <w:szCs w:val="21"/>
                <w14:textFill>
                  <w14:solidFill>
                    <w14:schemeClr w14:val="tx1"/>
                  </w14:solidFill>
                </w14:textFill>
              </w:rPr>
            </w:pPr>
            <w:r>
              <w:t>1</w:t>
            </w:r>
          </w:p>
        </w:tc>
        <w:tc>
          <w:tcPr>
            <w:tcW w:w="1683" w:type="dxa"/>
            <w:tcMar>
              <w:left w:w="108" w:type="dxa"/>
              <w:right w:w="108" w:type="dxa"/>
            </w:tcMar>
            <w:vAlign w:val="center"/>
          </w:tcPr>
          <w:p>
            <w:pPr>
              <w:snapToGrid w:val="0"/>
              <w:spacing w:line="36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投标人通过相关认证情况</w:t>
            </w:r>
          </w:p>
        </w:tc>
        <w:tc>
          <w:tcPr>
            <w:tcW w:w="811" w:type="dxa"/>
            <w:tcMar>
              <w:left w:w="108" w:type="dxa"/>
              <w:right w:w="108" w:type="dxa"/>
            </w:tcMar>
            <w:vAlign w:val="center"/>
          </w:tcPr>
          <w:p>
            <w:pPr>
              <w:snapToGrid w:val="0"/>
              <w:spacing w:line="360" w:lineRule="auto"/>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5</w:t>
            </w:r>
          </w:p>
        </w:tc>
        <w:tc>
          <w:tcPr>
            <w:tcW w:w="703" w:type="dxa"/>
            <w:tcMar>
              <w:left w:w="108" w:type="dxa"/>
              <w:right w:w="108" w:type="dxa"/>
            </w:tcMar>
            <w:vAlign w:val="center"/>
          </w:tcPr>
          <w:p>
            <w:pPr>
              <w:snapToGrid w:val="0"/>
              <w:spacing w:line="36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专家打分</w:t>
            </w:r>
          </w:p>
        </w:tc>
        <w:tc>
          <w:tcPr>
            <w:tcW w:w="4226" w:type="dxa"/>
            <w:tcMar>
              <w:left w:w="108" w:type="dxa"/>
              <w:right w:w="108" w:type="dxa"/>
            </w:tcMar>
          </w:tcPr>
          <w:p>
            <w:pPr>
              <w:adjustRightInd w:val="0"/>
              <w:snapToGrid w:val="0"/>
              <w:spacing w:line="360" w:lineRule="auto"/>
              <w:jc w:val="left"/>
              <w:rPr>
                <w:szCs w:val="21"/>
              </w:rPr>
            </w:pPr>
            <w:r>
              <w:rPr>
                <w:szCs w:val="21"/>
              </w:rPr>
              <w:t>1.具有建筑工程施工总承包壹级资质得30分，贰级得15分，叁级得5分；</w:t>
            </w:r>
          </w:p>
          <w:p>
            <w:pPr>
              <w:adjustRightInd w:val="0"/>
              <w:snapToGrid w:val="0"/>
              <w:spacing w:line="360" w:lineRule="auto"/>
              <w:jc w:val="left"/>
              <w:rPr>
                <w:szCs w:val="21"/>
              </w:rPr>
            </w:pPr>
            <w:r>
              <w:rPr>
                <w:szCs w:val="21"/>
              </w:rPr>
              <w:t>2.具有机电设备安装工程专业承包壹级资质得30分，贰级得15分，叁级得5分；</w:t>
            </w:r>
          </w:p>
          <w:p>
            <w:pPr>
              <w:adjustRightInd w:val="0"/>
              <w:snapToGrid w:val="0"/>
              <w:spacing w:line="360" w:lineRule="auto"/>
              <w:jc w:val="left"/>
              <w:rPr>
                <w:szCs w:val="21"/>
              </w:rPr>
            </w:pPr>
            <w:r>
              <w:rPr>
                <w:szCs w:val="21"/>
              </w:rPr>
              <w:t>3.具有质量管理体系认证证书、环境管理体系认证证书、职业健康安全管理体系认证证书，三证齐全得40分，缺一项不得分。</w:t>
            </w:r>
          </w:p>
          <w:p>
            <w:pPr>
              <w:adjustRightInd w:val="0"/>
              <w:snapToGrid w:val="0"/>
              <w:spacing w:line="360" w:lineRule="auto"/>
              <w:jc w:val="left"/>
              <w:rPr>
                <w:szCs w:val="21"/>
              </w:rPr>
            </w:pPr>
            <w:r>
              <w:rPr>
                <w:szCs w:val="21"/>
              </w:rPr>
              <w:t>以上三项累计得分，最高得100%的分数。</w:t>
            </w:r>
          </w:p>
          <w:p>
            <w:pPr>
              <w:adjustRightInd w:val="0"/>
              <w:snapToGrid w:val="0"/>
              <w:spacing w:line="360" w:lineRule="auto"/>
              <w:jc w:val="left"/>
              <w:rPr>
                <w:szCs w:val="21"/>
              </w:rPr>
            </w:pPr>
            <w:r>
              <w:rPr>
                <w:szCs w:val="21"/>
              </w:rPr>
              <w:t>评分依据：</w:t>
            </w:r>
          </w:p>
          <w:p>
            <w:pPr>
              <w:adjustRightInd w:val="0"/>
              <w:snapToGrid w:val="0"/>
              <w:spacing w:line="360" w:lineRule="auto"/>
              <w:jc w:val="left"/>
              <w:rPr>
                <w:szCs w:val="21"/>
              </w:rPr>
            </w:pPr>
            <w:r>
              <w:rPr>
                <w:szCs w:val="21"/>
              </w:rPr>
              <w:t>1.要求提供有效的认证证书作为得分依据。</w:t>
            </w:r>
          </w:p>
          <w:p>
            <w:pPr>
              <w:widowControl/>
              <w:adjustRightInd w:val="0"/>
              <w:snapToGrid w:val="0"/>
              <w:spacing w:line="360" w:lineRule="auto"/>
              <w:rPr>
                <w:color w:val="555555"/>
                <w:kern w:val="0"/>
                <w:szCs w:val="21"/>
              </w:rPr>
            </w:pPr>
            <w:r>
              <w:rPr>
                <w:szCs w:val="21"/>
              </w:rPr>
              <w:t>2.以上资料均要求提供扫描件并加盖投标人公章。</w:t>
            </w:r>
          </w:p>
          <w:p>
            <w:pPr>
              <w:widowControl/>
              <w:adjustRightInd w:val="0"/>
              <w:snapToGrid w:val="0"/>
              <w:spacing w:line="360" w:lineRule="auto"/>
              <w:rPr>
                <w:rFonts w:ascii="宋体" w:hAnsi="宋体" w:cs="宋体"/>
                <w:kern w:val="0"/>
                <w:szCs w:val="21"/>
              </w:rPr>
            </w:pPr>
            <w:r>
              <w:rPr>
                <w:kern w:val="0"/>
                <w:szCs w:val="21"/>
              </w:rPr>
              <w:t>要求提供相关资格（认证）证书扫描件（原件备查）作为得分依据。评分中出现无证明资料或专家无法凭所提供资料判断是否得分的情况，一律作不得分处理。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04" w:type="dxa"/>
            <w:vMerge w:val="continue"/>
            <w:vAlign w:val="center"/>
          </w:tcPr>
          <w:p>
            <w:pPr>
              <w:snapToGrid w:val="0"/>
              <w:spacing w:line="360" w:lineRule="auto"/>
              <w:jc w:val="left"/>
              <w:rPr>
                <w:color w:val="000000" w:themeColor="text1"/>
                <w14:textFill>
                  <w14:solidFill>
                    <w14:schemeClr w14:val="tx1"/>
                  </w14:solidFill>
                </w14:textFill>
              </w:rPr>
            </w:pPr>
          </w:p>
        </w:tc>
        <w:tc>
          <w:tcPr>
            <w:tcW w:w="564" w:type="dxa"/>
            <w:tcMar>
              <w:left w:w="108" w:type="dxa"/>
              <w:right w:w="108" w:type="dxa"/>
            </w:tcMar>
            <w:vAlign w:val="center"/>
          </w:tcPr>
          <w:p>
            <w:pPr>
              <w:snapToGrid w:val="0"/>
              <w:spacing w:line="36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2</w:t>
            </w:r>
          </w:p>
        </w:tc>
        <w:tc>
          <w:tcPr>
            <w:tcW w:w="1683" w:type="dxa"/>
            <w:tcMar>
              <w:left w:w="108" w:type="dxa"/>
              <w:right w:w="108" w:type="dxa"/>
            </w:tcMar>
            <w:vAlign w:val="center"/>
          </w:tcPr>
          <w:p>
            <w:pPr>
              <w:snapToGrid w:val="0"/>
              <w:spacing w:line="360" w:lineRule="auto"/>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t>投标人同类项目业绩情况</w:t>
            </w:r>
          </w:p>
        </w:tc>
        <w:tc>
          <w:tcPr>
            <w:tcW w:w="811" w:type="dxa"/>
            <w:tcMar>
              <w:left w:w="108" w:type="dxa"/>
              <w:right w:w="108" w:type="dxa"/>
            </w:tcMar>
            <w:vAlign w:val="center"/>
          </w:tcPr>
          <w:p>
            <w:pPr>
              <w:snapToGrid w:val="0"/>
              <w:spacing w:line="360" w:lineRule="auto"/>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3</w:t>
            </w:r>
          </w:p>
        </w:tc>
        <w:tc>
          <w:tcPr>
            <w:tcW w:w="703" w:type="dxa"/>
            <w:tcMar>
              <w:left w:w="108" w:type="dxa"/>
              <w:right w:w="108" w:type="dxa"/>
            </w:tcMar>
            <w:vAlign w:val="center"/>
          </w:tcPr>
          <w:p>
            <w:pPr>
              <w:snapToGrid w:val="0"/>
              <w:spacing w:line="360" w:lineRule="auto"/>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专家评分</w:t>
            </w:r>
          </w:p>
        </w:tc>
        <w:tc>
          <w:tcPr>
            <w:tcW w:w="4226" w:type="dxa"/>
            <w:tcMar>
              <w:left w:w="108" w:type="dxa"/>
              <w:right w:w="108" w:type="dxa"/>
            </w:tcMar>
            <w:vAlign w:val="center"/>
          </w:tcPr>
          <w:p>
            <w:pPr>
              <w:snapToGrid w:val="0"/>
              <w:spacing w:line="360" w:lineRule="auto"/>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t>考察投标人</w:t>
            </w:r>
            <w:r>
              <w:rPr>
                <w:b/>
                <w:bCs/>
                <w:color w:val="FF0000"/>
                <w:szCs w:val="21"/>
              </w:rPr>
              <w:t>近三年</w:t>
            </w:r>
            <w:r>
              <w:rPr>
                <w:color w:val="000000" w:themeColor="text1"/>
                <w:szCs w:val="21"/>
                <w14:textFill>
                  <w14:solidFill>
                    <w14:schemeClr w14:val="tx1"/>
                  </w14:solidFill>
                </w14:textFill>
              </w:rPr>
              <w:t>（</w:t>
            </w:r>
            <w:r>
              <w:rPr>
                <w:b/>
                <w:bCs/>
                <w:color w:val="FF0000"/>
                <w:szCs w:val="21"/>
              </w:rPr>
              <w:t>201</w:t>
            </w:r>
            <w:r>
              <w:rPr>
                <w:rFonts w:hint="eastAsia"/>
                <w:b/>
                <w:bCs/>
                <w:color w:val="FF0000"/>
                <w:szCs w:val="21"/>
                <w:lang w:val="en-US" w:eastAsia="zh-CN"/>
              </w:rPr>
              <w:t>8</w:t>
            </w:r>
            <w:r>
              <w:rPr>
                <w:b/>
                <w:bCs/>
                <w:color w:val="FF0000"/>
                <w:szCs w:val="21"/>
              </w:rPr>
              <w:t>年</w:t>
            </w:r>
            <w:r>
              <w:rPr>
                <w:rFonts w:hint="eastAsia"/>
                <w:b/>
                <w:bCs/>
                <w:color w:val="FF0000"/>
                <w:szCs w:val="21"/>
              </w:rPr>
              <w:t>1</w:t>
            </w:r>
            <w:r>
              <w:rPr>
                <w:b/>
                <w:bCs/>
                <w:color w:val="FF0000"/>
                <w:szCs w:val="21"/>
              </w:rPr>
              <w:t>月1日</w:t>
            </w:r>
            <w:r>
              <w:rPr>
                <w:color w:val="000000" w:themeColor="text1"/>
                <w:szCs w:val="21"/>
                <w14:textFill>
                  <w14:solidFill>
                    <w14:schemeClr w14:val="tx1"/>
                  </w14:solidFill>
                </w14:textFill>
              </w:rPr>
              <w:t>至本项目开标之日，以项目验收或履约评价时间为准）同类项目（同类项目专指施工内容涉及</w:t>
            </w:r>
            <w:r>
              <w:rPr>
                <w:rFonts w:hint="eastAsia"/>
                <w:color w:val="000000" w:themeColor="text1"/>
                <w:szCs w:val="21"/>
                <w14:textFill>
                  <w14:solidFill>
                    <w14:schemeClr w14:val="tx1"/>
                  </w14:solidFill>
                </w14:textFill>
              </w:rPr>
              <w:t>会议场所</w:t>
            </w:r>
            <w:r>
              <w:rPr>
                <w:color w:val="000000" w:themeColor="text1"/>
                <w:szCs w:val="21"/>
                <w14:textFill>
                  <w14:solidFill>
                    <w14:schemeClr w14:val="tx1"/>
                  </w14:solidFill>
                </w14:textFill>
              </w:rPr>
              <w:t>改造工程）业绩情况：有3个的，得100分；2个的，得60分；1个的，得30分；没有的不得分。</w:t>
            </w:r>
          </w:p>
          <w:p>
            <w:pPr>
              <w:snapToGrid w:val="0"/>
              <w:spacing w:line="360" w:lineRule="auto"/>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t>要求同时提供合同关键信息（通过合同关键信息无法判断是否得分的，也可以提供能证明得分的其它证明资料，如合同甲方出具的证明文件等）及项目履约（验收）合格评价（证明）文件（均要求提供复印件并加盖投标人公章）作为得分依据。评分中出现无证明资料或专家无法凭所提供资料判断是否得分的情况，一律作不得分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04" w:type="dxa"/>
            <w:vMerge w:val="continue"/>
            <w:vAlign w:val="center"/>
          </w:tcPr>
          <w:p>
            <w:pPr>
              <w:snapToGrid w:val="0"/>
              <w:spacing w:line="360" w:lineRule="auto"/>
              <w:jc w:val="left"/>
              <w:rPr>
                <w:color w:val="000000" w:themeColor="text1"/>
                <w14:textFill>
                  <w14:solidFill>
                    <w14:schemeClr w14:val="tx1"/>
                  </w14:solidFill>
                </w14:textFill>
              </w:rPr>
            </w:pPr>
          </w:p>
        </w:tc>
        <w:tc>
          <w:tcPr>
            <w:tcW w:w="564" w:type="dxa"/>
            <w:tcMar>
              <w:left w:w="108" w:type="dxa"/>
              <w:right w:w="108" w:type="dxa"/>
            </w:tcMar>
            <w:vAlign w:val="center"/>
          </w:tcPr>
          <w:p>
            <w:pPr>
              <w:snapToGrid w:val="0"/>
              <w:spacing w:line="360"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3</w:t>
            </w:r>
          </w:p>
        </w:tc>
        <w:tc>
          <w:tcPr>
            <w:tcW w:w="1683" w:type="dxa"/>
            <w:tcMar>
              <w:left w:w="108" w:type="dxa"/>
              <w:right w:w="108" w:type="dxa"/>
            </w:tcMar>
            <w:vAlign w:val="center"/>
          </w:tcPr>
          <w:p>
            <w:pPr>
              <w:snapToGrid w:val="0"/>
              <w:spacing w:line="360" w:lineRule="auto"/>
              <w:jc w:val="left"/>
              <w:rPr>
                <w:color w:val="000000" w:themeColor="text1"/>
                <w14:textFill>
                  <w14:solidFill>
                    <w14:schemeClr w14:val="tx1"/>
                  </w14:solidFill>
                </w14:textFill>
              </w:rPr>
            </w:pPr>
            <w:r>
              <w:rPr>
                <w:color w:val="000000" w:themeColor="text1"/>
                <w:szCs w:val="21"/>
                <w14:textFill>
                  <w14:solidFill>
                    <w14:schemeClr w14:val="tx1"/>
                  </w14:solidFill>
                </w14:textFill>
              </w:rPr>
              <w:t>拟投入劳动力（项目经理、技术人员、管理班子、机械设备、场地）情况</w:t>
            </w:r>
          </w:p>
        </w:tc>
        <w:tc>
          <w:tcPr>
            <w:tcW w:w="811" w:type="dxa"/>
            <w:tcMar>
              <w:left w:w="108" w:type="dxa"/>
              <w:right w:w="108" w:type="dxa"/>
            </w:tcMar>
            <w:vAlign w:val="center"/>
          </w:tcPr>
          <w:p>
            <w:pPr>
              <w:snapToGrid w:val="0"/>
              <w:spacing w:line="360" w:lineRule="auto"/>
              <w:jc w:val="center"/>
              <w:rPr>
                <w:color w:val="000000" w:themeColor="text1"/>
                <w14:textFill>
                  <w14:solidFill>
                    <w14:schemeClr w14:val="tx1"/>
                  </w14:solidFill>
                </w14:textFill>
              </w:rPr>
            </w:pPr>
            <w:r>
              <w:rPr>
                <w:rFonts w:hint="eastAsia"/>
                <w:color w:val="000000" w:themeColor="text1"/>
                <w:szCs w:val="21"/>
                <w14:textFill>
                  <w14:solidFill>
                    <w14:schemeClr w14:val="tx1"/>
                  </w14:solidFill>
                </w14:textFill>
              </w:rPr>
              <w:t>8</w:t>
            </w:r>
          </w:p>
        </w:tc>
        <w:tc>
          <w:tcPr>
            <w:tcW w:w="703" w:type="dxa"/>
            <w:tcMar>
              <w:left w:w="108" w:type="dxa"/>
              <w:right w:w="108" w:type="dxa"/>
            </w:tcMar>
            <w:vAlign w:val="center"/>
          </w:tcPr>
          <w:p>
            <w:pPr>
              <w:snapToGrid w:val="0"/>
              <w:spacing w:line="360" w:lineRule="auto"/>
              <w:jc w:val="center"/>
              <w:rPr>
                <w:color w:val="000000" w:themeColor="text1"/>
                <w14:textFill>
                  <w14:solidFill>
                    <w14:schemeClr w14:val="tx1"/>
                  </w14:solidFill>
                </w14:textFill>
              </w:rPr>
            </w:pPr>
            <w:r>
              <w:rPr>
                <w:color w:val="000000" w:themeColor="text1"/>
                <w:szCs w:val="21"/>
                <w14:textFill>
                  <w14:solidFill>
                    <w14:schemeClr w14:val="tx1"/>
                  </w14:solidFill>
                </w14:textFill>
              </w:rPr>
              <w:t>专家打分</w:t>
            </w:r>
          </w:p>
        </w:tc>
        <w:tc>
          <w:tcPr>
            <w:tcW w:w="4226" w:type="dxa"/>
            <w:tcMar>
              <w:left w:w="108" w:type="dxa"/>
              <w:right w:w="108" w:type="dxa"/>
            </w:tcMar>
            <w:vAlign w:val="center"/>
          </w:tcPr>
          <w:p>
            <w:pPr>
              <w:snapToGrid w:val="0"/>
              <w:spacing w:line="360" w:lineRule="auto"/>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t>1、项目经理具有一级建造师执业资格（</w:t>
            </w:r>
            <w:r>
              <w:rPr>
                <w:rFonts w:hint="eastAsia"/>
                <w:color w:val="000000" w:themeColor="text1"/>
                <w:szCs w:val="21"/>
                <w14:textFill>
                  <w14:solidFill>
                    <w14:schemeClr w14:val="tx1"/>
                  </w14:solidFill>
                </w14:textFill>
              </w:rPr>
              <w:t>建筑</w:t>
            </w:r>
            <w:r>
              <w:rPr>
                <w:color w:val="000000" w:themeColor="text1"/>
                <w:szCs w:val="21"/>
                <w14:textFill>
                  <w14:solidFill>
                    <w14:schemeClr w14:val="tx1"/>
                  </w14:solidFill>
                </w14:textFill>
              </w:rPr>
              <w:t>工程专业）得60分数；</w:t>
            </w:r>
          </w:p>
          <w:p>
            <w:pPr>
              <w:snapToGrid w:val="0"/>
              <w:spacing w:line="360" w:lineRule="auto"/>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t>2、拟安排项目团队（项目经理除外）：工程师（房建专业）5分/人，安全员5分/人，建造师执业资格5分/人，造价员5分/人，最高40分。一人员满足不同条件只计一次分。</w:t>
            </w:r>
          </w:p>
          <w:p>
            <w:pPr>
              <w:snapToGrid w:val="0"/>
              <w:spacing w:line="360" w:lineRule="auto"/>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t>注：</w:t>
            </w:r>
          </w:p>
          <w:p>
            <w:pPr>
              <w:snapToGrid w:val="0"/>
              <w:spacing w:line="360" w:lineRule="auto"/>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t xml:space="preserve"> 1.</w:t>
            </w:r>
            <w:r>
              <w:rPr>
                <w:szCs w:val="21"/>
              </w:rPr>
              <w:t xml:space="preserve"> 项目团队成员须是投标人的正式聘任员工。投标人无需提供社保证明，但提供的人员须本单位正式在职员工，如有虚假，将做投标无效处理，涉嫌存在违法违规行为的，依法报主管部门处理处罚。以上标准执行至</w:t>
            </w:r>
            <w:r>
              <w:rPr>
                <w:b/>
                <w:bCs/>
                <w:color w:val="FF0000"/>
                <w:szCs w:val="21"/>
              </w:rPr>
              <w:t>202</w:t>
            </w:r>
            <w:r>
              <w:rPr>
                <w:rFonts w:hint="eastAsia"/>
                <w:b/>
                <w:bCs/>
                <w:color w:val="FF0000"/>
                <w:szCs w:val="21"/>
                <w:lang w:val="en-US" w:eastAsia="zh-CN"/>
              </w:rPr>
              <w:t>1</w:t>
            </w:r>
            <w:r>
              <w:rPr>
                <w:b/>
                <w:bCs/>
                <w:color w:val="FF0000"/>
                <w:szCs w:val="21"/>
              </w:rPr>
              <w:t>年1月31日</w:t>
            </w:r>
            <w:r>
              <w:rPr>
                <w:color w:val="000000" w:themeColor="text1"/>
                <w:szCs w:val="21"/>
                <w14:textFill>
                  <w14:solidFill>
                    <w14:schemeClr w14:val="tx1"/>
                  </w14:solidFill>
                </w14:textFill>
              </w:rPr>
              <w:t xml:space="preserve">； </w:t>
            </w:r>
          </w:p>
          <w:p>
            <w:pPr>
              <w:snapToGrid w:val="0"/>
              <w:spacing w:line="360" w:lineRule="auto"/>
              <w:jc w:val="left"/>
              <w:rPr>
                <w:color w:val="000000" w:themeColor="text1"/>
                <w:szCs w:val="21"/>
                <w14:textFill>
                  <w14:solidFill>
                    <w14:schemeClr w14:val="tx1"/>
                  </w14:solidFill>
                </w14:textFill>
              </w:rPr>
            </w:pPr>
            <w:r>
              <w:rPr>
                <w:color w:val="000000" w:themeColor="text1"/>
                <w:szCs w:val="21"/>
                <w14:textFill>
                  <w14:solidFill>
                    <w14:schemeClr w14:val="tx1"/>
                  </w14:solidFill>
                </w14:textFill>
              </w:rPr>
              <w:t>2.要求提供</w:t>
            </w:r>
            <w:r>
              <w:t>聘任</w:t>
            </w:r>
            <w:r>
              <w:rPr>
                <w:color w:val="000000" w:themeColor="text1"/>
                <w:szCs w:val="21"/>
                <w14:textFill>
                  <w14:solidFill>
                    <w14:schemeClr w14:val="tx1"/>
                  </w14:solidFill>
                </w14:textFill>
              </w:rPr>
              <w:t>合同关键页、资格（职称）证书扫描件等证明材料并加盖投标人公章。</w:t>
            </w:r>
          </w:p>
          <w:p>
            <w:pPr>
              <w:snapToGrid w:val="0"/>
              <w:spacing w:line="360" w:lineRule="auto"/>
              <w:jc w:val="left"/>
              <w:rPr>
                <w:color w:val="000000" w:themeColor="text1"/>
                <w14:textFill>
                  <w14:solidFill>
                    <w14:schemeClr w14:val="tx1"/>
                  </w14:solidFill>
                </w14:textFill>
              </w:rPr>
            </w:pPr>
            <w:r>
              <w:rPr>
                <w:color w:val="000000" w:themeColor="text1"/>
                <w:szCs w:val="21"/>
                <w14:textFill>
                  <w14:solidFill>
                    <w14:schemeClr w14:val="tx1"/>
                  </w14:solidFill>
                </w14:textFill>
              </w:rPr>
              <w:t>3.评分中出现无证明资料或专家无法凭所提供资料判断是否得分的情况，一律作不得分处理。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04" w:type="dxa"/>
            <w:tcMar>
              <w:left w:w="108" w:type="dxa"/>
              <w:right w:w="108" w:type="dxa"/>
            </w:tcMar>
            <w:vAlign w:val="center"/>
          </w:tcPr>
          <w:p>
            <w:pPr>
              <w:adjustRightInd w:val="0"/>
              <w:snapToGrid w:val="0"/>
              <w:jc w:val="center"/>
              <w:rPr>
                <w:color w:val="000000" w:themeColor="text1"/>
                <w14:textFill>
                  <w14:solidFill>
                    <w14:schemeClr w14:val="tx1"/>
                  </w14:solidFill>
                </w14:textFill>
              </w:rPr>
            </w:pPr>
            <w:r>
              <w:rPr>
                <w:color w:val="000000" w:themeColor="text1"/>
                <w:szCs w:val="21"/>
                <w14:textFill>
                  <w14:solidFill>
                    <w14:schemeClr w14:val="tx1"/>
                  </w14:solidFill>
                </w14:textFill>
              </w:rPr>
              <w:t>4</w:t>
            </w:r>
          </w:p>
        </w:tc>
        <w:tc>
          <w:tcPr>
            <w:tcW w:w="3761" w:type="dxa"/>
            <w:gridSpan w:val="4"/>
            <w:tcMar>
              <w:left w:w="108" w:type="dxa"/>
              <w:right w:w="108" w:type="dxa"/>
            </w:tcMar>
            <w:vAlign w:val="center"/>
          </w:tcPr>
          <w:p>
            <w:pPr>
              <w:adjustRightInd w:val="0"/>
              <w:snapToGrid w:val="0"/>
              <w:jc w:val="center"/>
              <w:rPr>
                <w:color w:val="000000" w:themeColor="text1"/>
                <w14:textFill>
                  <w14:solidFill>
                    <w14:schemeClr w14:val="tx1"/>
                  </w14:solidFill>
                </w14:textFill>
              </w:rPr>
            </w:pPr>
            <w:r>
              <w:rPr>
                <w:color w:val="000000" w:themeColor="text1"/>
                <w:szCs w:val="21"/>
                <w14:textFill>
                  <w14:solidFill>
                    <w14:schemeClr w14:val="tx1"/>
                  </w14:solidFill>
                </w14:textFill>
              </w:rPr>
              <w:t>诚信部分</w:t>
            </w:r>
          </w:p>
        </w:tc>
        <w:tc>
          <w:tcPr>
            <w:tcW w:w="4226" w:type="dxa"/>
            <w:tcMar>
              <w:left w:w="108" w:type="dxa"/>
              <w:right w:w="108" w:type="dxa"/>
            </w:tcMar>
            <w:vAlign w:val="center"/>
          </w:tcPr>
          <w:p>
            <w:pPr>
              <w:adjustRightInd w:val="0"/>
              <w:snapToGrid w:val="0"/>
              <w:jc w:val="center"/>
              <w:rPr>
                <w:color w:val="000000" w:themeColor="text1"/>
                <w14:textFill>
                  <w14:solidFill>
                    <w14:schemeClr w14:val="tx1"/>
                  </w14:solidFill>
                </w14:textFill>
              </w:rPr>
            </w:pPr>
            <w:r>
              <w:rPr>
                <w:rFonts w:hint="eastAsia"/>
                <w:color w:val="000000" w:themeColor="text1"/>
                <w:szCs w:val="21"/>
                <w14:textFill>
                  <w14:solidFill>
                    <w14:schemeClr w14:val="tx1"/>
                  </w14:solidFill>
                </w14:textFill>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04" w:type="dxa"/>
            <w:vMerge w:val="restart"/>
            <w:tcMar>
              <w:left w:w="108" w:type="dxa"/>
              <w:right w:w="108" w:type="dxa"/>
            </w:tcMar>
            <w:vAlign w:val="center"/>
          </w:tcPr>
          <w:p>
            <w:pPr>
              <w:adjustRightInd w:val="0"/>
              <w:snapToGrid w:val="0"/>
              <w:jc w:val="left"/>
              <w:rPr>
                <w:color w:val="000000" w:themeColor="text1"/>
                <w14:textFill>
                  <w14:solidFill>
                    <w14:schemeClr w14:val="tx1"/>
                  </w14:solidFill>
                </w14:textFill>
              </w:rPr>
            </w:pPr>
          </w:p>
        </w:tc>
        <w:tc>
          <w:tcPr>
            <w:tcW w:w="564" w:type="dxa"/>
            <w:tcMar>
              <w:left w:w="108" w:type="dxa"/>
              <w:right w:w="108" w:type="dxa"/>
            </w:tcMar>
            <w:vAlign w:val="center"/>
          </w:tcPr>
          <w:p>
            <w:pPr>
              <w:adjustRightInd w:val="0"/>
              <w:snapToGrid w:val="0"/>
              <w:jc w:val="center"/>
              <w:rPr>
                <w:color w:val="000000" w:themeColor="text1"/>
                <w14:textFill>
                  <w14:solidFill>
                    <w14:schemeClr w14:val="tx1"/>
                  </w14:solidFill>
                </w14:textFill>
              </w:rPr>
            </w:pPr>
            <w:r>
              <w:rPr>
                <w:color w:val="000000" w:themeColor="text1"/>
                <w:szCs w:val="21"/>
                <w14:textFill>
                  <w14:solidFill>
                    <w14:schemeClr w14:val="tx1"/>
                  </w14:solidFill>
                </w14:textFill>
              </w:rPr>
              <w:t>序号</w:t>
            </w:r>
          </w:p>
        </w:tc>
        <w:tc>
          <w:tcPr>
            <w:tcW w:w="1683" w:type="dxa"/>
            <w:vAlign w:val="center"/>
          </w:tcPr>
          <w:p>
            <w:pPr>
              <w:adjustRightInd w:val="0"/>
              <w:snapToGrid w:val="0"/>
              <w:jc w:val="center"/>
              <w:rPr>
                <w:color w:val="000000" w:themeColor="text1"/>
                <w14:textFill>
                  <w14:solidFill>
                    <w14:schemeClr w14:val="tx1"/>
                  </w14:solidFill>
                </w14:textFill>
              </w:rPr>
            </w:pPr>
            <w:r>
              <w:rPr>
                <w:color w:val="000000" w:themeColor="text1"/>
                <w:szCs w:val="21"/>
                <w14:textFill>
                  <w14:solidFill>
                    <w14:schemeClr w14:val="tx1"/>
                  </w14:solidFill>
                </w14:textFill>
              </w:rPr>
              <w:t>评分因素</w:t>
            </w:r>
          </w:p>
        </w:tc>
        <w:tc>
          <w:tcPr>
            <w:tcW w:w="811" w:type="dxa"/>
            <w:vAlign w:val="center"/>
          </w:tcPr>
          <w:p>
            <w:pPr>
              <w:adjustRightInd w:val="0"/>
              <w:snapToGrid w:val="0"/>
              <w:jc w:val="center"/>
              <w:rPr>
                <w:color w:val="000000" w:themeColor="text1"/>
                <w14:textFill>
                  <w14:solidFill>
                    <w14:schemeClr w14:val="tx1"/>
                  </w14:solidFill>
                </w14:textFill>
              </w:rPr>
            </w:pPr>
            <w:r>
              <w:rPr>
                <w:color w:val="000000" w:themeColor="text1"/>
                <w:szCs w:val="21"/>
                <w14:textFill>
                  <w14:solidFill>
                    <w14:schemeClr w14:val="tx1"/>
                  </w14:solidFill>
                </w14:textFill>
              </w:rPr>
              <w:t>权重（%）</w:t>
            </w:r>
          </w:p>
        </w:tc>
        <w:tc>
          <w:tcPr>
            <w:tcW w:w="703" w:type="dxa"/>
            <w:vAlign w:val="center"/>
          </w:tcPr>
          <w:p>
            <w:pPr>
              <w:adjustRightInd w:val="0"/>
              <w:snapToGrid w:val="0"/>
              <w:jc w:val="center"/>
              <w:rPr>
                <w:color w:val="000000" w:themeColor="text1"/>
                <w14:textFill>
                  <w14:solidFill>
                    <w14:schemeClr w14:val="tx1"/>
                  </w14:solidFill>
                </w14:textFill>
              </w:rPr>
            </w:pPr>
            <w:r>
              <w:rPr>
                <w:color w:val="000000" w:themeColor="text1"/>
                <w:szCs w:val="21"/>
                <w14:textFill>
                  <w14:solidFill>
                    <w14:schemeClr w14:val="tx1"/>
                  </w14:solidFill>
                </w14:textFill>
              </w:rPr>
              <w:t>评分方式</w:t>
            </w:r>
          </w:p>
        </w:tc>
        <w:tc>
          <w:tcPr>
            <w:tcW w:w="4226" w:type="dxa"/>
            <w:tcMar>
              <w:left w:w="108" w:type="dxa"/>
              <w:right w:w="108" w:type="dxa"/>
            </w:tcMar>
            <w:vAlign w:val="center"/>
          </w:tcPr>
          <w:p>
            <w:pPr>
              <w:adjustRightInd w:val="0"/>
              <w:snapToGrid w:val="0"/>
              <w:jc w:val="center"/>
              <w:rPr>
                <w:color w:val="000000" w:themeColor="text1"/>
                <w14:textFill>
                  <w14:solidFill>
                    <w14:schemeClr w14:val="tx1"/>
                  </w14:solidFill>
                </w14:textFill>
              </w:rPr>
            </w:pPr>
            <w:r>
              <w:rPr>
                <w:color w:val="000000" w:themeColor="text1"/>
                <w:szCs w:val="21"/>
                <w14:textFill>
                  <w14:solidFill>
                    <w14:schemeClr w14:val="tx1"/>
                  </w14:solidFill>
                </w14:textFill>
              </w:rPr>
              <w:t>评分准则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704" w:type="dxa"/>
            <w:vMerge w:val="continue"/>
            <w:vAlign w:val="center"/>
          </w:tcPr>
          <w:p>
            <w:pPr>
              <w:snapToGrid w:val="0"/>
              <w:spacing w:line="360" w:lineRule="auto"/>
              <w:jc w:val="left"/>
              <w:rPr>
                <w:color w:val="000000" w:themeColor="text1"/>
                <w14:textFill>
                  <w14:solidFill>
                    <w14:schemeClr w14:val="tx1"/>
                  </w14:solidFill>
                </w14:textFill>
              </w:rPr>
            </w:pPr>
          </w:p>
        </w:tc>
        <w:tc>
          <w:tcPr>
            <w:tcW w:w="564" w:type="dxa"/>
            <w:tcMar>
              <w:left w:w="108" w:type="dxa"/>
              <w:right w:w="108" w:type="dxa"/>
            </w:tcMar>
            <w:vAlign w:val="center"/>
          </w:tcPr>
          <w:p>
            <w:pPr>
              <w:snapToGrid w:val="0"/>
              <w:spacing w:line="360" w:lineRule="auto"/>
              <w:jc w:val="center"/>
              <w:rPr>
                <w:color w:val="000000" w:themeColor="text1"/>
                <w14:textFill>
                  <w14:solidFill>
                    <w14:schemeClr w14:val="tx1"/>
                  </w14:solidFill>
                </w14:textFill>
              </w:rPr>
            </w:pPr>
            <w:r>
              <w:rPr>
                <w:color w:val="000000" w:themeColor="text1"/>
                <w:szCs w:val="21"/>
                <w14:textFill>
                  <w14:solidFill>
                    <w14:schemeClr w14:val="tx1"/>
                  </w14:solidFill>
                </w14:textFill>
              </w:rPr>
              <w:t>1</w:t>
            </w:r>
          </w:p>
        </w:tc>
        <w:tc>
          <w:tcPr>
            <w:tcW w:w="1683" w:type="dxa"/>
            <w:vAlign w:val="center"/>
          </w:tcPr>
          <w:p>
            <w:pPr>
              <w:snapToGrid w:val="0"/>
              <w:spacing w:line="360" w:lineRule="auto"/>
              <w:jc w:val="left"/>
              <w:rPr>
                <w:color w:val="000000" w:themeColor="text1"/>
                <w14:textFill>
                  <w14:solidFill>
                    <w14:schemeClr w14:val="tx1"/>
                  </w14:solidFill>
                </w14:textFill>
              </w:rPr>
            </w:pPr>
            <w:r>
              <w:rPr>
                <w:color w:val="000000" w:themeColor="text1"/>
                <w:szCs w:val="21"/>
                <w14:textFill>
                  <w14:solidFill>
                    <w14:schemeClr w14:val="tx1"/>
                  </w14:solidFill>
                </w14:textFill>
              </w:rPr>
              <w:t>诚信管理情况</w:t>
            </w:r>
          </w:p>
        </w:tc>
        <w:tc>
          <w:tcPr>
            <w:tcW w:w="811" w:type="dxa"/>
            <w:vAlign w:val="center"/>
          </w:tcPr>
          <w:p>
            <w:pPr>
              <w:snapToGrid w:val="0"/>
              <w:spacing w:line="360" w:lineRule="auto"/>
              <w:jc w:val="center"/>
              <w:rPr>
                <w:color w:val="000000" w:themeColor="text1"/>
                <w14:textFill>
                  <w14:solidFill>
                    <w14:schemeClr w14:val="tx1"/>
                  </w14:solidFill>
                </w14:textFill>
              </w:rPr>
            </w:pPr>
            <w:r>
              <w:rPr>
                <w:color w:val="000000" w:themeColor="text1"/>
                <w:szCs w:val="21"/>
                <w14:textFill>
                  <w14:solidFill>
                    <w14:schemeClr w14:val="tx1"/>
                  </w14:solidFill>
                </w14:textFill>
              </w:rPr>
              <w:t>5</w:t>
            </w:r>
          </w:p>
        </w:tc>
        <w:tc>
          <w:tcPr>
            <w:tcW w:w="703" w:type="dxa"/>
            <w:vAlign w:val="center"/>
          </w:tcPr>
          <w:p>
            <w:pPr>
              <w:snapToGrid w:val="0"/>
              <w:spacing w:line="360" w:lineRule="auto"/>
              <w:jc w:val="center"/>
              <w:rPr>
                <w:color w:val="000000" w:themeColor="text1"/>
                <w14:textFill>
                  <w14:solidFill>
                    <w14:schemeClr w14:val="tx1"/>
                  </w14:solidFill>
                </w14:textFill>
              </w:rPr>
            </w:pPr>
            <w:r>
              <w:rPr>
                <w:color w:val="000000" w:themeColor="text1"/>
                <w:szCs w:val="21"/>
                <w14:textFill>
                  <w14:solidFill>
                    <w14:schemeClr w14:val="tx1"/>
                  </w14:solidFill>
                </w14:textFill>
              </w:rPr>
              <w:t>专家打分</w:t>
            </w:r>
          </w:p>
        </w:tc>
        <w:tc>
          <w:tcPr>
            <w:tcW w:w="4226" w:type="dxa"/>
            <w:tcMar>
              <w:left w:w="108" w:type="dxa"/>
              <w:right w:w="108" w:type="dxa"/>
            </w:tcMar>
          </w:tcPr>
          <w:p>
            <w:pPr>
              <w:snapToGrid w:val="0"/>
              <w:spacing w:line="360" w:lineRule="auto"/>
              <w:jc w:val="left"/>
              <w:rPr>
                <w:color w:val="000000" w:themeColor="text1"/>
                <w14:textFill>
                  <w14:solidFill>
                    <w14:schemeClr w14:val="tx1"/>
                  </w14:solidFill>
                </w14:textFill>
              </w:rPr>
            </w:pPr>
            <w:r>
              <w:rPr>
                <w:color w:val="000000" w:themeColor="text1"/>
                <w:szCs w:val="21"/>
                <w14:textFill>
                  <w14:solidFill>
                    <w14:schemeClr w14:val="tx1"/>
                  </w14:solidFill>
                </w14:textFill>
              </w:rPr>
              <w:t>根据《深圳市财政委员会关于加强招投标评审环节诚信管理的通知》（深财购[2013]27号）的要求，投标人在参与政府采购活动中存在诚信相关问题的，本项不得分，未出现相关诚信问题的得满分。以深圳大学招投标管理中心供应商库中的处罚记录为准。投标人无需提供任何证明材料，由深圳大学招投标管理中心工作人员向评委会提供相关信息。</w:t>
            </w:r>
          </w:p>
        </w:tc>
      </w:tr>
    </w:tbl>
    <w:p>
      <w:pPr>
        <w:rPr>
          <w:b/>
          <w:color w:val="FF0000"/>
        </w:rPr>
      </w:pPr>
    </w:p>
    <w:p/>
    <w:p>
      <w:pPr>
        <w:ind w:firstLine="422" w:firstLineChars="200"/>
        <w:rPr>
          <w:b/>
          <w:szCs w:val="21"/>
        </w:rPr>
      </w:pPr>
      <w:r>
        <w:rPr>
          <w:rFonts w:hint="eastAsia"/>
          <w:b/>
          <w:szCs w:val="21"/>
        </w:rPr>
        <w:t>评审</w:t>
      </w:r>
      <w:r>
        <w:rPr>
          <w:b/>
          <w:szCs w:val="21"/>
        </w:rPr>
        <w:t>方法：</w:t>
      </w:r>
      <w:r>
        <w:rPr>
          <w:rFonts w:hint="eastAsia"/>
          <w:b/>
          <w:szCs w:val="21"/>
        </w:rPr>
        <w:t xml:space="preserve"> 综合评分法（详见本招标文件第二册通用条款第七章）。本项目中标供应商数量</w:t>
      </w:r>
      <w:r>
        <w:rPr>
          <w:rFonts w:hint="eastAsia"/>
          <w:b/>
          <w:color w:val="FF0000"/>
          <w:szCs w:val="21"/>
        </w:rPr>
        <w:t>为</w:t>
      </w:r>
      <w:r>
        <w:rPr>
          <w:rFonts w:hint="eastAsia"/>
          <w:b/>
          <w:color w:val="FF0000"/>
          <w:szCs w:val="21"/>
          <w:u w:val="single"/>
        </w:rPr>
        <w:t xml:space="preserve"> 1 </w:t>
      </w:r>
      <w:r>
        <w:rPr>
          <w:rFonts w:hint="eastAsia"/>
          <w:b/>
          <w:color w:val="FF0000"/>
          <w:szCs w:val="21"/>
        </w:rPr>
        <w:t>家</w:t>
      </w:r>
      <w:r>
        <w:rPr>
          <w:rFonts w:hint="eastAsia"/>
          <w:b/>
          <w:szCs w:val="21"/>
        </w:rPr>
        <w:t>。</w:t>
      </w:r>
    </w:p>
    <w:p>
      <w:pPr>
        <w:ind w:firstLine="422" w:firstLineChars="200"/>
        <w:rPr>
          <w:b/>
        </w:rPr>
      </w:pPr>
      <w:r>
        <w:rPr>
          <w:rFonts w:hint="eastAsia" w:ascii="宋体" w:hAnsi="宋体"/>
          <w:b/>
          <w:szCs w:val="21"/>
        </w:rPr>
        <w:t>定标方法：授权</w:t>
      </w:r>
      <w:r>
        <w:rPr>
          <w:rFonts w:ascii="宋体" w:hAnsi="宋体"/>
          <w:b/>
          <w:szCs w:val="21"/>
        </w:rPr>
        <w:t>评标委员会定标。</w:t>
      </w:r>
    </w:p>
    <w:p/>
    <w:p>
      <w:pPr>
        <w:ind w:firstLine="420" w:firstLineChars="200"/>
      </w:pPr>
      <w:r>
        <w:br w:type="page"/>
      </w:r>
    </w:p>
    <w:p>
      <w:pPr>
        <w:pStyle w:val="2"/>
        <w:rPr>
          <w:rFonts w:ascii="华文新魏" w:hAnsi="华文新魏" w:eastAsia="华文新魏" w:cs="华文新魏"/>
        </w:rPr>
      </w:pPr>
      <w:r>
        <w:rPr>
          <w:rFonts w:hint="eastAsia" w:ascii="华文新魏" w:hAnsi="华文新魏" w:eastAsia="华文新魏" w:cs="华文新魏"/>
        </w:rPr>
        <w:t>目   录</w:t>
      </w:r>
    </w:p>
    <w:p>
      <w:pPr>
        <w:adjustRightInd w:val="0"/>
        <w:snapToGrid w:val="0"/>
        <w:spacing w:line="360" w:lineRule="auto"/>
        <w:rPr>
          <w:b/>
          <w:color w:val="000000"/>
          <w:sz w:val="24"/>
        </w:rPr>
      </w:pPr>
      <w:r>
        <w:rPr>
          <w:rFonts w:hint="eastAsia"/>
          <w:b/>
          <w:color w:val="000000"/>
          <w:sz w:val="24"/>
        </w:rPr>
        <w:t>第一册  专用条款</w:t>
      </w:r>
    </w:p>
    <w:p>
      <w:pPr>
        <w:adjustRightInd w:val="0"/>
        <w:snapToGrid w:val="0"/>
        <w:spacing w:line="360" w:lineRule="auto"/>
        <w:rPr>
          <w:sz w:val="24"/>
        </w:rPr>
      </w:pPr>
      <w:r>
        <w:rPr>
          <w:rFonts w:hint="eastAsia"/>
          <w:sz w:val="24"/>
        </w:rPr>
        <w:t>关键信息</w:t>
      </w:r>
    </w:p>
    <w:p>
      <w:pPr>
        <w:adjustRightInd w:val="0"/>
        <w:snapToGrid w:val="0"/>
        <w:spacing w:line="360" w:lineRule="auto"/>
        <w:ind w:left="630" w:leftChars="300" w:firstLine="504" w:firstLineChars="240"/>
        <w:rPr>
          <w:rFonts w:ascii="宋体" w:hAnsi="宋体"/>
          <w:szCs w:val="21"/>
        </w:rPr>
      </w:pPr>
      <w:r>
        <w:rPr>
          <w:rFonts w:hint="eastAsia" w:ascii="宋体" w:hAnsi="宋体"/>
          <w:szCs w:val="21"/>
        </w:rPr>
        <w:t>第一章  招标公告</w:t>
      </w:r>
    </w:p>
    <w:p>
      <w:pPr>
        <w:adjustRightInd w:val="0"/>
        <w:snapToGrid w:val="0"/>
        <w:spacing w:line="360" w:lineRule="auto"/>
        <w:ind w:left="630" w:leftChars="300" w:firstLine="504" w:firstLineChars="240"/>
        <w:rPr>
          <w:rFonts w:ascii="宋体" w:hAnsi="宋体"/>
          <w:szCs w:val="21"/>
        </w:rPr>
      </w:pPr>
      <w:r>
        <w:rPr>
          <w:rFonts w:hint="eastAsia" w:ascii="宋体" w:hAnsi="宋体"/>
          <w:szCs w:val="21"/>
        </w:rPr>
        <w:t>第二章  招标项目需求</w:t>
      </w:r>
    </w:p>
    <w:p>
      <w:pPr>
        <w:adjustRightInd w:val="0"/>
        <w:snapToGrid w:val="0"/>
        <w:spacing w:line="360" w:lineRule="auto"/>
        <w:ind w:left="630" w:leftChars="300" w:firstLine="504" w:firstLineChars="240"/>
        <w:rPr>
          <w:rFonts w:ascii="宋体" w:hAnsi="宋体"/>
          <w:szCs w:val="21"/>
        </w:rPr>
      </w:pPr>
      <w:r>
        <w:rPr>
          <w:rFonts w:hint="eastAsia" w:ascii="宋体" w:hAnsi="宋体"/>
          <w:szCs w:val="21"/>
        </w:rPr>
        <w:t>第三章  合同条款及格式</w:t>
      </w:r>
    </w:p>
    <w:p>
      <w:pPr>
        <w:adjustRightInd w:val="0"/>
        <w:snapToGrid w:val="0"/>
        <w:spacing w:line="360" w:lineRule="auto"/>
        <w:ind w:left="630" w:leftChars="300" w:firstLine="504" w:firstLineChars="240"/>
        <w:rPr>
          <w:rFonts w:ascii="宋体" w:hAnsi="宋体"/>
          <w:szCs w:val="21"/>
        </w:rPr>
      </w:pPr>
      <w:r>
        <w:rPr>
          <w:rFonts w:hint="eastAsia" w:ascii="宋体" w:hAnsi="宋体"/>
          <w:szCs w:val="21"/>
        </w:rPr>
        <w:t>第四章  投标文件格式、附件</w:t>
      </w:r>
    </w:p>
    <w:p>
      <w:pPr>
        <w:adjustRightInd w:val="0"/>
        <w:snapToGrid w:val="0"/>
        <w:spacing w:line="360" w:lineRule="auto"/>
        <w:ind w:left="630" w:leftChars="300" w:firstLine="504" w:firstLineChars="240"/>
        <w:rPr>
          <w:rFonts w:ascii="宋体" w:hAnsi="宋体"/>
          <w:szCs w:val="21"/>
        </w:rPr>
      </w:pPr>
      <w:r>
        <w:rPr>
          <w:rFonts w:hint="eastAsia" w:ascii="宋体" w:hAnsi="宋体"/>
          <w:szCs w:val="21"/>
        </w:rPr>
        <w:t>第五章  政府采购履约异常情况反馈表</w:t>
      </w:r>
    </w:p>
    <w:p>
      <w:pPr>
        <w:adjustRightInd w:val="0"/>
        <w:snapToGrid w:val="0"/>
        <w:spacing w:line="360" w:lineRule="auto"/>
        <w:rPr>
          <w:b/>
          <w:color w:val="000000"/>
          <w:sz w:val="24"/>
        </w:rPr>
      </w:pPr>
    </w:p>
    <w:p>
      <w:pPr>
        <w:adjustRightInd w:val="0"/>
        <w:snapToGrid w:val="0"/>
        <w:spacing w:line="360" w:lineRule="auto"/>
        <w:rPr>
          <w:b/>
          <w:color w:val="000000"/>
          <w:sz w:val="24"/>
        </w:rPr>
      </w:pPr>
      <w:r>
        <w:rPr>
          <w:rFonts w:hint="eastAsia"/>
          <w:b/>
          <w:color w:val="000000"/>
          <w:sz w:val="24"/>
        </w:rPr>
        <w:t>第二册  通用条款</w:t>
      </w:r>
    </w:p>
    <w:p>
      <w:pPr>
        <w:numPr>
          <w:ilvl w:val="1"/>
          <w:numId w:val="0"/>
        </w:numPr>
        <w:tabs>
          <w:tab w:val="left" w:pos="360"/>
        </w:tabs>
        <w:adjustRightInd w:val="0"/>
        <w:snapToGrid w:val="0"/>
        <w:spacing w:line="360" w:lineRule="auto"/>
        <w:ind w:firstLine="1079" w:firstLineChars="514"/>
        <w:rPr>
          <w:szCs w:val="21"/>
        </w:rPr>
      </w:pPr>
      <w:r>
        <w:rPr>
          <w:rFonts w:hint="eastAsia"/>
          <w:szCs w:val="21"/>
        </w:rPr>
        <w:t>第一章  总则</w:t>
      </w:r>
    </w:p>
    <w:p>
      <w:pPr>
        <w:numPr>
          <w:ilvl w:val="1"/>
          <w:numId w:val="0"/>
        </w:numPr>
        <w:tabs>
          <w:tab w:val="left" w:pos="360"/>
        </w:tabs>
        <w:adjustRightInd w:val="0"/>
        <w:snapToGrid w:val="0"/>
        <w:spacing w:line="360" w:lineRule="auto"/>
        <w:ind w:firstLine="1079" w:firstLineChars="514"/>
        <w:rPr>
          <w:szCs w:val="21"/>
        </w:rPr>
      </w:pPr>
      <w:r>
        <w:rPr>
          <w:rFonts w:hint="eastAsia"/>
          <w:szCs w:val="21"/>
        </w:rPr>
        <w:t>第二章  招标文件</w:t>
      </w:r>
    </w:p>
    <w:p>
      <w:pPr>
        <w:numPr>
          <w:ilvl w:val="1"/>
          <w:numId w:val="0"/>
        </w:numPr>
        <w:tabs>
          <w:tab w:val="left" w:pos="360"/>
        </w:tabs>
        <w:adjustRightInd w:val="0"/>
        <w:snapToGrid w:val="0"/>
        <w:spacing w:line="360" w:lineRule="auto"/>
        <w:ind w:firstLine="1079" w:firstLineChars="514"/>
        <w:rPr>
          <w:szCs w:val="21"/>
        </w:rPr>
      </w:pPr>
      <w:r>
        <w:rPr>
          <w:rFonts w:hint="eastAsia"/>
          <w:szCs w:val="21"/>
        </w:rPr>
        <w:t>第三章  投标文件的编制</w:t>
      </w:r>
    </w:p>
    <w:p>
      <w:pPr>
        <w:numPr>
          <w:ilvl w:val="1"/>
          <w:numId w:val="0"/>
        </w:numPr>
        <w:tabs>
          <w:tab w:val="left" w:pos="360"/>
        </w:tabs>
        <w:adjustRightInd w:val="0"/>
        <w:snapToGrid w:val="0"/>
        <w:spacing w:line="360" w:lineRule="auto"/>
        <w:ind w:firstLine="1079" w:firstLineChars="514"/>
        <w:rPr>
          <w:szCs w:val="21"/>
        </w:rPr>
      </w:pPr>
      <w:r>
        <w:rPr>
          <w:rFonts w:hint="eastAsia"/>
          <w:szCs w:val="21"/>
        </w:rPr>
        <w:t>第四章  投标文件的递交</w:t>
      </w:r>
    </w:p>
    <w:p>
      <w:pPr>
        <w:numPr>
          <w:ilvl w:val="1"/>
          <w:numId w:val="0"/>
        </w:numPr>
        <w:tabs>
          <w:tab w:val="left" w:pos="360"/>
        </w:tabs>
        <w:adjustRightInd w:val="0"/>
        <w:snapToGrid w:val="0"/>
        <w:spacing w:line="360" w:lineRule="auto"/>
        <w:ind w:firstLine="1079" w:firstLineChars="514"/>
        <w:rPr>
          <w:szCs w:val="21"/>
        </w:rPr>
      </w:pPr>
      <w:r>
        <w:rPr>
          <w:rFonts w:hint="eastAsia"/>
          <w:szCs w:val="21"/>
        </w:rPr>
        <w:t>第五章  开标</w:t>
      </w:r>
    </w:p>
    <w:p>
      <w:pPr>
        <w:numPr>
          <w:ilvl w:val="1"/>
          <w:numId w:val="0"/>
        </w:numPr>
        <w:tabs>
          <w:tab w:val="left" w:pos="360"/>
        </w:tabs>
        <w:adjustRightInd w:val="0"/>
        <w:snapToGrid w:val="0"/>
        <w:spacing w:line="360" w:lineRule="auto"/>
        <w:ind w:firstLine="1079" w:firstLineChars="514"/>
        <w:rPr>
          <w:szCs w:val="21"/>
        </w:rPr>
      </w:pPr>
      <w:r>
        <w:rPr>
          <w:rFonts w:hint="eastAsia"/>
          <w:szCs w:val="21"/>
        </w:rPr>
        <w:t>第六章  评标要求</w:t>
      </w:r>
    </w:p>
    <w:p>
      <w:pPr>
        <w:numPr>
          <w:ilvl w:val="1"/>
          <w:numId w:val="0"/>
        </w:numPr>
        <w:tabs>
          <w:tab w:val="left" w:pos="360"/>
        </w:tabs>
        <w:adjustRightInd w:val="0"/>
        <w:snapToGrid w:val="0"/>
        <w:spacing w:line="360" w:lineRule="auto"/>
        <w:ind w:firstLine="1079" w:firstLineChars="514"/>
        <w:rPr>
          <w:szCs w:val="21"/>
        </w:rPr>
      </w:pPr>
      <w:r>
        <w:rPr>
          <w:rFonts w:hint="eastAsia"/>
          <w:szCs w:val="21"/>
        </w:rPr>
        <w:t>第七章  评标程序及评标方法</w:t>
      </w:r>
    </w:p>
    <w:p>
      <w:pPr>
        <w:numPr>
          <w:ilvl w:val="1"/>
          <w:numId w:val="0"/>
        </w:numPr>
        <w:tabs>
          <w:tab w:val="left" w:pos="360"/>
        </w:tabs>
        <w:adjustRightInd w:val="0"/>
        <w:snapToGrid w:val="0"/>
        <w:spacing w:line="360" w:lineRule="auto"/>
        <w:ind w:firstLine="1079" w:firstLineChars="514"/>
        <w:rPr>
          <w:szCs w:val="21"/>
        </w:rPr>
      </w:pPr>
      <w:r>
        <w:rPr>
          <w:rFonts w:hint="eastAsia"/>
          <w:szCs w:val="21"/>
        </w:rPr>
        <w:t>第八章  定标及公示</w:t>
      </w:r>
    </w:p>
    <w:p>
      <w:pPr>
        <w:numPr>
          <w:ilvl w:val="1"/>
          <w:numId w:val="0"/>
        </w:numPr>
        <w:tabs>
          <w:tab w:val="left" w:pos="360"/>
        </w:tabs>
        <w:adjustRightInd w:val="0"/>
        <w:snapToGrid w:val="0"/>
        <w:spacing w:line="360" w:lineRule="auto"/>
        <w:ind w:firstLine="1079" w:firstLineChars="514"/>
        <w:rPr>
          <w:szCs w:val="21"/>
        </w:rPr>
      </w:pPr>
      <w:r>
        <w:rPr>
          <w:rFonts w:hint="eastAsia"/>
          <w:szCs w:val="21"/>
        </w:rPr>
        <w:t>第九章  公开招标失败的后续处理</w:t>
      </w:r>
    </w:p>
    <w:p>
      <w:pPr>
        <w:numPr>
          <w:ilvl w:val="1"/>
          <w:numId w:val="0"/>
        </w:numPr>
        <w:tabs>
          <w:tab w:val="left" w:pos="360"/>
        </w:tabs>
        <w:adjustRightInd w:val="0"/>
        <w:snapToGrid w:val="0"/>
        <w:spacing w:line="360" w:lineRule="auto"/>
        <w:ind w:firstLine="1079" w:firstLineChars="514"/>
        <w:rPr>
          <w:szCs w:val="21"/>
        </w:rPr>
      </w:pPr>
      <w:r>
        <w:rPr>
          <w:rFonts w:hint="eastAsia"/>
          <w:szCs w:val="21"/>
        </w:rPr>
        <w:t>第十章  合同的授予与备案</w:t>
      </w:r>
    </w:p>
    <w:p>
      <w:pPr>
        <w:numPr>
          <w:ilvl w:val="1"/>
          <w:numId w:val="0"/>
        </w:numPr>
        <w:tabs>
          <w:tab w:val="left" w:pos="360"/>
        </w:tabs>
        <w:adjustRightInd w:val="0"/>
        <w:snapToGrid w:val="0"/>
        <w:spacing w:line="360" w:lineRule="auto"/>
        <w:ind w:firstLine="1079" w:firstLineChars="514"/>
        <w:rPr>
          <w:szCs w:val="21"/>
        </w:rPr>
      </w:pPr>
      <w:r>
        <w:rPr>
          <w:rFonts w:hint="eastAsia"/>
          <w:szCs w:val="21"/>
        </w:rPr>
        <w:t>第十一章  质疑处理</w:t>
      </w:r>
    </w:p>
    <w:p>
      <w:pPr>
        <w:rPr>
          <w:color w:val="000000"/>
          <w:sz w:val="24"/>
        </w:rPr>
      </w:pPr>
    </w:p>
    <w:p>
      <w:pPr>
        <w:jc w:val="center"/>
        <w:rPr>
          <w:color w:val="FF0000"/>
          <w:sz w:val="24"/>
        </w:rPr>
      </w:pPr>
      <w:r>
        <w:rPr>
          <w:color w:val="FF0000"/>
          <w:sz w:val="24"/>
        </w:rPr>
        <w:br w:type="page"/>
      </w:r>
    </w:p>
    <w:p>
      <w:pPr>
        <w:pStyle w:val="2"/>
        <w:rPr>
          <w:rFonts w:ascii="华文新魏" w:hAnsi="华文新魏" w:eastAsia="华文新魏" w:cs="华文新魏"/>
        </w:rPr>
      </w:pPr>
      <w:r>
        <w:rPr>
          <w:rFonts w:hint="eastAsia" w:ascii="华文新魏" w:hAnsi="华文新魏" w:eastAsia="华文新魏" w:cs="华文新魏"/>
        </w:rPr>
        <w:t>第一册  专用条款</w:t>
      </w:r>
    </w:p>
    <w:p>
      <w:pPr>
        <w:keepNext/>
        <w:keepLines/>
        <w:adjustRightInd w:val="0"/>
        <w:spacing w:before="260" w:after="260"/>
        <w:jc w:val="center"/>
        <w:textAlignment w:val="baseline"/>
        <w:outlineLvl w:val="1"/>
        <w:rPr>
          <w:rFonts w:ascii="华文新魏" w:hAnsi="华文新魏" w:eastAsia="华文新魏" w:cs="华文新魏"/>
          <w:b/>
          <w:kern w:val="0"/>
          <w:sz w:val="32"/>
          <w:szCs w:val="32"/>
        </w:rPr>
      </w:pPr>
      <w:r>
        <w:rPr>
          <w:rFonts w:hint="eastAsia" w:ascii="华文新魏" w:hAnsi="华文新魏" w:eastAsia="华文新魏" w:cs="华文新魏"/>
          <w:b/>
          <w:kern w:val="0"/>
          <w:sz w:val="32"/>
          <w:szCs w:val="32"/>
        </w:rPr>
        <w:t>第一章  招标公告</w:t>
      </w:r>
    </w:p>
    <w:p>
      <w:pPr>
        <w:adjustRightInd w:val="0"/>
        <w:snapToGrid w:val="0"/>
        <w:spacing w:line="360" w:lineRule="auto"/>
        <w:ind w:firstLine="420" w:firstLineChars="200"/>
        <w:rPr>
          <w:kern w:val="0"/>
          <w:szCs w:val="21"/>
        </w:rPr>
      </w:pPr>
      <w:r>
        <w:rPr>
          <w:kern w:val="0"/>
          <w:szCs w:val="21"/>
        </w:rPr>
        <w:t>根据《深圳经济特区政府采购条例》和</w:t>
      </w:r>
      <w:r>
        <w:rPr>
          <w:b w:val="0"/>
          <w:bCs w:val="0"/>
          <w:color w:val="auto"/>
          <w:kern w:val="0"/>
          <w:szCs w:val="21"/>
          <w:highlight w:val="none"/>
        </w:rPr>
        <w:t>《</w:t>
      </w:r>
      <w:r>
        <w:rPr>
          <w:rFonts w:hint="eastAsia"/>
          <w:b w:val="0"/>
          <w:bCs w:val="0"/>
          <w:color w:val="auto"/>
          <w:kern w:val="0"/>
          <w:szCs w:val="21"/>
          <w:highlight w:val="none"/>
        </w:rPr>
        <w:t>深圳</w:t>
      </w:r>
      <w:r>
        <w:rPr>
          <w:rFonts w:hint="eastAsia"/>
          <w:b w:val="0"/>
          <w:bCs w:val="0"/>
          <w:color w:val="auto"/>
          <w:kern w:val="0"/>
          <w:szCs w:val="21"/>
          <w:highlight w:val="none"/>
          <w:lang w:eastAsia="zh-CN"/>
        </w:rPr>
        <w:t>大学</w:t>
      </w:r>
      <w:r>
        <w:rPr>
          <w:b w:val="0"/>
          <w:bCs w:val="0"/>
          <w:color w:val="auto"/>
          <w:kern w:val="0"/>
          <w:szCs w:val="21"/>
          <w:highlight w:val="none"/>
        </w:rPr>
        <w:t>采购管理办法》</w:t>
      </w:r>
      <w:r>
        <w:rPr>
          <w:kern w:val="0"/>
          <w:szCs w:val="21"/>
        </w:rPr>
        <w:t>的有关规定，</w:t>
      </w:r>
      <w:r>
        <w:rPr>
          <w:rFonts w:hint="eastAsia"/>
          <w:kern w:val="0"/>
          <w:szCs w:val="21"/>
        </w:rPr>
        <w:t>深圳市深大体育文化发展有限公司</w:t>
      </w:r>
      <w:r>
        <w:rPr>
          <w:kern w:val="0"/>
          <w:szCs w:val="21"/>
        </w:rPr>
        <w:t>就</w:t>
      </w:r>
      <w:r>
        <w:rPr>
          <w:rFonts w:hint="eastAsia"/>
          <w:b/>
          <w:bCs/>
          <w:color w:val="FF0000"/>
          <w:kern w:val="0"/>
          <w:szCs w:val="21"/>
          <w:u w:val="single"/>
        </w:rPr>
        <w:t>深大乒乓项目综合服务中心（华侨城</w:t>
      </w:r>
      <w:r>
        <w:rPr>
          <w:rFonts w:hint="eastAsia"/>
          <w:b/>
          <w:bCs/>
          <w:color w:val="FF0000"/>
          <w:kern w:val="0"/>
          <w:szCs w:val="21"/>
          <w:u w:val="single"/>
          <w:lang w:eastAsia="zh-CN"/>
        </w:rPr>
        <w:t>基地</w:t>
      </w:r>
      <w:r>
        <w:rPr>
          <w:rFonts w:hint="eastAsia"/>
          <w:b/>
          <w:bCs/>
          <w:color w:val="FF0000"/>
          <w:kern w:val="0"/>
          <w:szCs w:val="21"/>
          <w:u w:val="single"/>
        </w:rPr>
        <w:t>）装修工程</w:t>
      </w:r>
      <w:r>
        <w:rPr>
          <w:kern w:val="0"/>
          <w:szCs w:val="21"/>
        </w:rPr>
        <w:t>项目，进行</w:t>
      </w:r>
      <w:r>
        <w:rPr>
          <w:color w:val="000000"/>
          <w:kern w:val="0"/>
          <w:szCs w:val="21"/>
        </w:rPr>
        <w:t>公开招标</w:t>
      </w:r>
      <w:r>
        <w:rPr>
          <w:kern w:val="0"/>
          <w:szCs w:val="21"/>
        </w:rPr>
        <w:t>，欢迎符合资格的供应商参加投标。</w:t>
      </w:r>
    </w:p>
    <w:p>
      <w:pPr>
        <w:adjustRightInd w:val="0"/>
        <w:snapToGrid w:val="0"/>
        <w:spacing w:line="360" w:lineRule="auto"/>
        <w:ind w:firstLine="420" w:firstLineChars="200"/>
        <w:rPr>
          <w:rFonts w:hint="default" w:eastAsia="宋体"/>
          <w:kern w:val="0"/>
          <w:szCs w:val="21"/>
          <w:lang w:val="en-US" w:eastAsia="zh-CN"/>
        </w:rPr>
      </w:pPr>
    </w:p>
    <w:p>
      <w:pPr>
        <w:adjustRightInd w:val="0"/>
        <w:snapToGrid w:val="0"/>
        <w:spacing w:line="360" w:lineRule="auto"/>
        <w:rPr>
          <w:kern w:val="0"/>
          <w:szCs w:val="21"/>
        </w:rPr>
      </w:pPr>
      <w:r>
        <w:rPr>
          <w:kern w:val="0"/>
          <w:szCs w:val="21"/>
        </w:rPr>
        <w:t>一、项目编号：</w:t>
      </w:r>
      <w:r>
        <w:rPr>
          <w:rFonts w:hint="eastAsia"/>
          <w:kern w:val="0"/>
          <w:szCs w:val="21"/>
        </w:rPr>
        <w:t>SZUTT2021001GC</w:t>
      </w:r>
    </w:p>
    <w:p>
      <w:pPr>
        <w:adjustRightInd w:val="0"/>
        <w:snapToGrid w:val="0"/>
        <w:spacing w:line="360" w:lineRule="auto"/>
        <w:rPr>
          <w:kern w:val="0"/>
          <w:szCs w:val="21"/>
        </w:rPr>
      </w:pPr>
      <w:r>
        <w:rPr>
          <w:kern w:val="0"/>
          <w:szCs w:val="21"/>
        </w:rPr>
        <w:t>二、项目名称：</w:t>
      </w:r>
      <w:r>
        <w:rPr>
          <w:rFonts w:hint="eastAsia"/>
          <w:kern w:val="0"/>
          <w:szCs w:val="21"/>
          <w:lang w:eastAsia="zh-CN"/>
        </w:rPr>
        <w:t>深大乒乓项目综合服务中心（华侨城基地）</w:t>
      </w:r>
      <w:r>
        <w:rPr>
          <w:rFonts w:hint="eastAsia"/>
          <w:kern w:val="0"/>
          <w:szCs w:val="21"/>
        </w:rPr>
        <w:t>装修工程</w:t>
      </w:r>
    </w:p>
    <w:p>
      <w:pPr>
        <w:adjustRightInd w:val="0"/>
        <w:snapToGrid w:val="0"/>
        <w:spacing w:line="360" w:lineRule="auto"/>
        <w:rPr>
          <w:kern w:val="0"/>
          <w:szCs w:val="21"/>
        </w:rPr>
      </w:pPr>
      <w:r>
        <w:rPr>
          <w:kern w:val="0"/>
          <w:szCs w:val="21"/>
        </w:rPr>
        <w:t xml:space="preserve">三、项目概况：详见招标文件。   </w:t>
      </w:r>
    </w:p>
    <w:p>
      <w:pPr>
        <w:adjustRightInd w:val="0"/>
        <w:snapToGrid w:val="0"/>
        <w:spacing w:line="360" w:lineRule="auto"/>
        <w:rPr>
          <w:kern w:val="0"/>
          <w:szCs w:val="21"/>
        </w:rPr>
      </w:pPr>
      <w:r>
        <w:rPr>
          <w:kern w:val="0"/>
          <w:szCs w:val="21"/>
        </w:rPr>
        <w:t>四、投标人资格要求：</w:t>
      </w:r>
    </w:p>
    <w:p>
      <w:pPr>
        <w:adjustRightInd w:val="0"/>
        <w:snapToGrid w:val="0"/>
        <w:spacing w:line="360" w:lineRule="auto"/>
        <w:ind w:firstLine="420" w:firstLineChars="200"/>
        <w:rPr>
          <w:kern w:val="0"/>
          <w:szCs w:val="21"/>
        </w:rPr>
      </w:pPr>
      <w:r>
        <w:rPr>
          <w:rFonts w:hint="eastAsia"/>
          <w:kern w:val="0"/>
          <w:szCs w:val="21"/>
        </w:rPr>
        <w:t>1. 投标人须是在中华人民共和国境内注册的有合法经营资格的法人或者其他组织；（证明文件：法人或者其他组织的营业执照（依法不需申请营业执照的使用法定的登记注册文件）原件复印件加盖投标人公章）；</w:t>
      </w:r>
    </w:p>
    <w:p>
      <w:pPr>
        <w:adjustRightInd w:val="0"/>
        <w:snapToGrid w:val="0"/>
        <w:spacing w:line="360" w:lineRule="auto"/>
        <w:ind w:firstLine="420" w:firstLineChars="200"/>
        <w:rPr>
          <w:kern w:val="0"/>
          <w:szCs w:val="21"/>
        </w:rPr>
      </w:pPr>
      <w:r>
        <w:rPr>
          <w:kern w:val="0"/>
          <w:szCs w:val="21"/>
        </w:rPr>
        <w:t>2</w:t>
      </w:r>
      <w:r>
        <w:rPr>
          <w:rFonts w:hint="eastAsia"/>
          <w:kern w:val="0"/>
          <w:szCs w:val="21"/>
        </w:rPr>
        <w:t>.投标人近三年内，在经营活动中没有重大违法记录。(证明文件：投标人须提供《无违法违规行为承诺函》加盖投标人公章)；</w:t>
      </w:r>
    </w:p>
    <w:p>
      <w:pPr>
        <w:adjustRightInd w:val="0"/>
        <w:snapToGrid w:val="0"/>
        <w:spacing w:line="360" w:lineRule="auto"/>
        <w:ind w:firstLine="420" w:firstLineChars="200"/>
        <w:rPr>
          <w:kern w:val="0"/>
          <w:szCs w:val="21"/>
        </w:rPr>
      </w:pPr>
      <w:r>
        <w:rPr>
          <w:rFonts w:hint="eastAsia"/>
          <w:kern w:val="0"/>
          <w:szCs w:val="21"/>
        </w:rPr>
        <w:t>3. 本项目不接受联合体投标；</w:t>
      </w:r>
    </w:p>
    <w:p>
      <w:pPr>
        <w:adjustRightInd w:val="0"/>
        <w:snapToGrid w:val="0"/>
        <w:spacing w:line="360" w:lineRule="auto"/>
        <w:ind w:firstLine="420"/>
        <w:rPr>
          <w:kern w:val="0"/>
          <w:szCs w:val="21"/>
        </w:rPr>
      </w:pPr>
      <w:r>
        <w:rPr>
          <w:rFonts w:hint="eastAsia"/>
          <w:kern w:val="0"/>
          <w:szCs w:val="21"/>
        </w:rPr>
        <w:t>4</w:t>
      </w:r>
      <w:r>
        <w:rPr>
          <w:kern w:val="0"/>
          <w:szCs w:val="21"/>
        </w:rPr>
        <w:t>. 本项目拒绝投标人选用进口产品参与投标（进口产品是指通过海关验放进入中国境内且产自关境外的进口产品）。</w:t>
      </w:r>
    </w:p>
    <w:p>
      <w:pPr>
        <w:adjustRightInd w:val="0"/>
        <w:snapToGrid w:val="0"/>
        <w:spacing w:line="360" w:lineRule="auto"/>
        <w:ind w:firstLine="420" w:firstLineChars="200"/>
        <w:rPr>
          <w:kern w:val="0"/>
          <w:szCs w:val="21"/>
        </w:rPr>
      </w:pPr>
    </w:p>
    <w:p>
      <w:pPr>
        <w:spacing w:line="360" w:lineRule="auto"/>
        <w:rPr>
          <w:rFonts w:ascii="宋体" w:hAnsi="宋体" w:cs="宋体"/>
          <w:kern w:val="0"/>
          <w:szCs w:val="21"/>
        </w:rPr>
      </w:pPr>
      <w:r>
        <w:rPr>
          <w:rFonts w:hint="eastAsia" w:ascii="宋体" w:hAnsi="宋体" w:cs="宋体"/>
          <w:kern w:val="0"/>
          <w:szCs w:val="21"/>
        </w:rPr>
        <w:t>五、采购预算或最高</w:t>
      </w:r>
      <w:r>
        <w:rPr>
          <w:rFonts w:ascii="宋体" w:hAnsi="宋体" w:cs="宋体"/>
          <w:kern w:val="0"/>
          <w:szCs w:val="21"/>
        </w:rPr>
        <w:t>限价</w:t>
      </w:r>
      <w:r>
        <w:rPr>
          <w:rFonts w:hint="eastAsia" w:ascii="宋体" w:hAnsi="宋体" w:cs="宋体"/>
          <w:kern w:val="0"/>
          <w:szCs w:val="21"/>
        </w:rPr>
        <w:t>：</w:t>
      </w:r>
      <w:r>
        <w:rPr>
          <w:rFonts w:hint="eastAsia" w:ascii="宋体" w:hAnsi="宋体" w:cs="宋体"/>
          <w:b/>
          <w:bCs/>
          <w:color w:val="FF0000"/>
          <w:kern w:val="0"/>
          <w:szCs w:val="21"/>
          <w:lang w:val="en-US" w:eastAsia="zh-CN"/>
        </w:rPr>
        <w:t>96</w:t>
      </w:r>
      <w:r>
        <w:rPr>
          <w:rFonts w:hint="eastAsia" w:ascii="宋体" w:hAnsi="宋体" w:cs="宋体"/>
          <w:b/>
          <w:bCs/>
          <w:color w:val="FF0000"/>
          <w:kern w:val="0"/>
          <w:szCs w:val="21"/>
        </w:rPr>
        <w:t>0,000.00 元（人民币</w:t>
      </w:r>
      <w:r>
        <w:rPr>
          <w:rFonts w:ascii="宋体" w:hAnsi="宋体" w:cs="宋体"/>
          <w:b/>
          <w:bCs/>
          <w:color w:val="FF0000"/>
          <w:kern w:val="0"/>
          <w:szCs w:val="21"/>
        </w:rPr>
        <w:t>）</w:t>
      </w:r>
      <w:r>
        <w:rPr>
          <w:rFonts w:hint="eastAsia" w:ascii="宋体" w:hAnsi="宋体" w:cs="宋体"/>
          <w:kern w:val="0"/>
          <w:szCs w:val="21"/>
        </w:rPr>
        <w:t>。</w:t>
      </w:r>
    </w:p>
    <w:p>
      <w:pPr>
        <w:spacing w:line="360" w:lineRule="auto"/>
        <w:rPr>
          <w:rFonts w:ascii="宋体" w:hAnsi="宋体" w:cs="宋体"/>
          <w:kern w:val="0"/>
          <w:szCs w:val="21"/>
        </w:rPr>
      </w:pPr>
    </w:p>
    <w:p>
      <w:pPr>
        <w:spacing w:line="360" w:lineRule="auto"/>
        <w:rPr>
          <w:rFonts w:ascii="宋体" w:hAnsi="宋体" w:cs="宋体"/>
          <w:kern w:val="0"/>
          <w:szCs w:val="21"/>
        </w:rPr>
      </w:pPr>
      <w:r>
        <w:rPr>
          <w:rFonts w:hint="eastAsia" w:ascii="宋体" w:hAnsi="宋体" w:cs="宋体"/>
          <w:kern w:val="0"/>
          <w:szCs w:val="21"/>
        </w:rPr>
        <w:t>六、投标与开标注意事项：</w:t>
      </w:r>
    </w:p>
    <w:p>
      <w:pPr>
        <w:spacing w:line="360" w:lineRule="auto"/>
        <w:ind w:firstLine="420" w:firstLineChars="200"/>
        <w:rPr>
          <w:rFonts w:ascii="宋体" w:hAnsi="宋体" w:cs="宋体"/>
          <w:kern w:val="0"/>
          <w:szCs w:val="21"/>
        </w:rPr>
      </w:pPr>
      <w:r>
        <w:rPr>
          <w:rFonts w:hint="eastAsia" w:ascii="宋体" w:hAnsi="宋体" w:cs="宋体"/>
          <w:kern w:val="0"/>
          <w:szCs w:val="21"/>
        </w:rPr>
        <w:t xml:space="preserve">1. 标书获得方法 </w:t>
      </w:r>
    </w:p>
    <w:p>
      <w:pPr>
        <w:spacing w:line="360" w:lineRule="auto"/>
        <w:ind w:firstLine="420" w:firstLineChars="200"/>
        <w:rPr>
          <w:rFonts w:ascii="宋体" w:hAnsi="宋体" w:cs="宋体"/>
          <w:bCs/>
          <w:color w:val="000000" w:themeColor="text1"/>
          <w:kern w:val="0"/>
          <w:szCs w:val="21"/>
          <w14:textFill>
            <w14:solidFill>
              <w14:schemeClr w14:val="tx1"/>
            </w14:solidFill>
          </w14:textFill>
        </w:rPr>
      </w:pPr>
      <w:r>
        <w:rPr>
          <w:rFonts w:hint="eastAsia" w:ascii="宋体" w:hAnsi="宋体" w:cs="宋体"/>
          <w:bCs/>
          <w:color w:val="000000" w:themeColor="text1"/>
          <w:kern w:val="0"/>
          <w:szCs w:val="21"/>
          <w14:textFill>
            <w14:solidFill>
              <w14:schemeClr w14:val="tx1"/>
            </w14:solidFill>
          </w14:textFill>
        </w:rPr>
        <w:t>出于疫情防控需要，投标人不能现场购买招标文件。如需购买招标文件请通过邮件报名，电子版招标文件可以在网站http://bidding.szu.edu.cn“招标公告”的本项目的招标公告页中下载。招标文件售后不退。</w:t>
      </w:r>
    </w:p>
    <w:p>
      <w:pPr>
        <w:spacing w:line="360" w:lineRule="auto"/>
        <w:ind w:firstLine="420" w:firstLineChars="200"/>
        <w:rPr>
          <w:rFonts w:ascii="宋体" w:hAnsi="宋体" w:cs="宋体"/>
          <w:kern w:val="0"/>
          <w:szCs w:val="21"/>
        </w:rPr>
      </w:pPr>
      <w:r>
        <w:rPr>
          <w:rFonts w:hint="eastAsia" w:ascii="宋体" w:hAnsi="宋体" w:cs="宋体"/>
          <w:kern w:val="0"/>
          <w:szCs w:val="21"/>
        </w:rPr>
        <w:t>任何有兴趣的合格投标人可于</w:t>
      </w:r>
      <w:r>
        <w:rPr>
          <w:rFonts w:hint="eastAsia" w:ascii="宋体" w:hAnsi="宋体" w:cs="宋体"/>
          <w:b/>
          <w:bCs/>
          <w:color w:val="FF0000"/>
          <w:kern w:val="0"/>
          <w:szCs w:val="21"/>
        </w:rPr>
        <w:t>202</w:t>
      </w:r>
      <w:r>
        <w:rPr>
          <w:rFonts w:hint="eastAsia" w:ascii="宋体" w:hAnsi="宋体" w:cs="宋体"/>
          <w:b/>
          <w:bCs/>
          <w:color w:val="FF0000"/>
          <w:kern w:val="0"/>
          <w:szCs w:val="21"/>
          <w:lang w:val="en-US" w:eastAsia="zh-CN"/>
        </w:rPr>
        <w:t>1</w:t>
      </w:r>
      <w:r>
        <w:rPr>
          <w:rFonts w:hint="eastAsia" w:ascii="宋体" w:hAnsi="宋体" w:cs="宋体"/>
          <w:b/>
          <w:bCs/>
          <w:color w:val="FF0000"/>
          <w:kern w:val="0"/>
          <w:szCs w:val="21"/>
        </w:rPr>
        <w:t>年</w:t>
      </w:r>
      <w:r>
        <w:rPr>
          <w:rFonts w:hint="eastAsia" w:ascii="宋体" w:hAnsi="宋体" w:cs="宋体"/>
          <w:b/>
          <w:bCs/>
          <w:color w:val="FF0000"/>
          <w:kern w:val="0"/>
          <w:szCs w:val="21"/>
          <w:lang w:val="en-US" w:eastAsia="zh-CN"/>
        </w:rPr>
        <w:t>1</w:t>
      </w:r>
      <w:r>
        <w:rPr>
          <w:rFonts w:hint="eastAsia" w:ascii="宋体" w:hAnsi="宋体" w:cs="宋体"/>
          <w:b/>
          <w:bCs/>
          <w:color w:val="FF0000"/>
          <w:kern w:val="0"/>
          <w:szCs w:val="21"/>
        </w:rPr>
        <w:t>月</w:t>
      </w:r>
      <w:r>
        <w:rPr>
          <w:rFonts w:hint="eastAsia" w:ascii="宋体" w:hAnsi="宋体" w:cs="宋体"/>
          <w:b/>
          <w:bCs/>
          <w:color w:val="FF0000"/>
          <w:kern w:val="0"/>
          <w:szCs w:val="21"/>
          <w:lang w:val="en-US" w:eastAsia="zh-CN"/>
        </w:rPr>
        <w:t>27</w:t>
      </w:r>
      <w:r>
        <w:rPr>
          <w:rFonts w:hint="eastAsia" w:ascii="宋体" w:hAnsi="宋体" w:cs="宋体"/>
          <w:b/>
          <w:bCs/>
          <w:color w:val="FF0000"/>
          <w:kern w:val="0"/>
          <w:szCs w:val="21"/>
        </w:rPr>
        <w:t>日起至202</w:t>
      </w:r>
      <w:r>
        <w:rPr>
          <w:rFonts w:hint="eastAsia" w:ascii="宋体" w:hAnsi="宋体" w:cs="宋体"/>
          <w:b/>
          <w:bCs/>
          <w:color w:val="FF0000"/>
          <w:kern w:val="0"/>
          <w:szCs w:val="21"/>
          <w:lang w:val="en-US" w:eastAsia="zh-CN"/>
        </w:rPr>
        <w:t>1</w:t>
      </w:r>
      <w:r>
        <w:rPr>
          <w:rFonts w:hint="eastAsia" w:ascii="宋体" w:hAnsi="宋体" w:cs="宋体"/>
          <w:b/>
          <w:bCs/>
          <w:color w:val="FF0000"/>
          <w:kern w:val="0"/>
          <w:szCs w:val="21"/>
        </w:rPr>
        <w:t>年</w:t>
      </w:r>
      <w:r>
        <w:rPr>
          <w:rFonts w:hint="eastAsia" w:ascii="宋体" w:hAnsi="宋体" w:cs="宋体"/>
          <w:b/>
          <w:bCs/>
          <w:color w:val="FF0000"/>
          <w:kern w:val="0"/>
          <w:szCs w:val="21"/>
          <w:lang w:val="en-US" w:eastAsia="zh-CN"/>
        </w:rPr>
        <w:t>2</w:t>
      </w:r>
      <w:r>
        <w:rPr>
          <w:rFonts w:hint="eastAsia" w:ascii="宋体" w:hAnsi="宋体" w:cs="宋体"/>
          <w:b/>
          <w:bCs/>
          <w:color w:val="FF0000"/>
          <w:kern w:val="0"/>
          <w:szCs w:val="21"/>
        </w:rPr>
        <w:t>月</w:t>
      </w:r>
      <w:r>
        <w:rPr>
          <w:rFonts w:hint="eastAsia" w:ascii="宋体" w:hAnsi="宋体" w:cs="宋体"/>
          <w:b/>
          <w:bCs/>
          <w:color w:val="FF0000"/>
          <w:kern w:val="0"/>
          <w:szCs w:val="21"/>
          <w:lang w:val="en-US" w:eastAsia="zh-CN"/>
        </w:rPr>
        <w:t>5</w:t>
      </w:r>
      <w:r>
        <w:rPr>
          <w:rFonts w:hint="eastAsia" w:ascii="宋体" w:hAnsi="宋体" w:cs="宋体"/>
          <w:b/>
          <w:bCs/>
          <w:color w:val="FF0000"/>
          <w:kern w:val="0"/>
          <w:szCs w:val="21"/>
        </w:rPr>
        <w:t>日</w:t>
      </w:r>
      <w:r>
        <w:rPr>
          <w:rFonts w:hint="eastAsia" w:ascii="宋体" w:hAnsi="宋体" w:cs="宋体"/>
          <w:kern w:val="0"/>
          <w:szCs w:val="21"/>
        </w:rPr>
        <w:t>每天（节假日除外）的9:00—11:30；14:30—17:00将</w:t>
      </w:r>
      <w:r>
        <w:rPr>
          <w:rFonts w:hint="eastAsia" w:ascii="宋体" w:hAnsi="宋体" w:cs="宋体"/>
          <w:b/>
          <w:kern w:val="0"/>
          <w:szCs w:val="21"/>
        </w:rPr>
        <w:t>公司营业执照、投标报名表</w:t>
      </w:r>
      <w:r>
        <w:rPr>
          <w:rFonts w:hint="eastAsia" w:ascii="宋体" w:hAnsi="宋体" w:cs="宋体"/>
          <w:kern w:val="0"/>
          <w:szCs w:val="21"/>
        </w:rPr>
        <w:t>（投标代表签名、加盖公章）</w:t>
      </w:r>
      <w:r>
        <w:rPr>
          <w:rFonts w:hint="eastAsia" w:ascii="宋体" w:hAnsi="宋体" w:cs="宋体"/>
          <w:b/>
          <w:kern w:val="0"/>
          <w:szCs w:val="21"/>
        </w:rPr>
        <w:t>和</w:t>
      </w:r>
      <w:r>
        <w:rPr>
          <w:rFonts w:hint="eastAsia" w:ascii="宋体" w:hAnsi="宋体" w:cs="宋体"/>
          <w:b/>
          <w:color w:val="FF0000"/>
          <w:kern w:val="0"/>
          <w:szCs w:val="21"/>
        </w:rPr>
        <w:t>150元标书费</w:t>
      </w:r>
      <w:r>
        <w:rPr>
          <w:rFonts w:hint="eastAsia" w:ascii="宋体" w:hAnsi="宋体" w:cs="宋体"/>
          <w:b/>
          <w:kern w:val="0"/>
          <w:szCs w:val="21"/>
        </w:rPr>
        <w:t>缴纳凭证</w:t>
      </w:r>
      <w:r>
        <w:rPr>
          <w:rFonts w:hint="eastAsia" w:ascii="宋体" w:hAnsi="宋体" w:cs="宋体"/>
          <w:kern w:val="0"/>
          <w:szCs w:val="21"/>
        </w:rPr>
        <w:t>（</w:t>
      </w:r>
      <w:r>
        <w:rPr>
          <w:rFonts w:hint="eastAsia"/>
          <w:color w:val="222222"/>
        </w:rPr>
        <w:t>标书费付款回执至少应有收款人账户、付款人账户、转账时间、转账金额等信息</w:t>
      </w:r>
      <w:r>
        <w:rPr>
          <w:rFonts w:hint="eastAsia" w:ascii="宋体" w:hAnsi="宋体" w:cs="宋体"/>
          <w:kern w:val="0"/>
          <w:szCs w:val="21"/>
        </w:rPr>
        <w:t>）一并扫描发至邮箱</w:t>
      </w:r>
      <w:r>
        <w:rPr>
          <w:rFonts w:hint="eastAsia" w:ascii="宋体" w:hAnsi="宋体" w:cs="宋体"/>
          <w:b/>
          <w:color w:val="FF0000"/>
          <w:kern w:val="0"/>
          <w:sz w:val="24"/>
        </w:rPr>
        <w:t>sdtywh2016@163.com</w:t>
      </w:r>
      <w:r>
        <w:rPr>
          <w:rFonts w:hint="eastAsia" w:ascii="宋体" w:hAnsi="宋体" w:cs="宋体"/>
          <w:kern w:val="0"/>
          <w:szCs w:val="21"/>
        </w:rPr>
        <w:t xml:space="preserve"> ；标书费缴纳至深圳市深大体育文化发展有限公司账户：</w:t>
      </w:r>
    </w:p>
    <w:p>
      <w:pPr>
        <w:spacing w:line="360" w:lineRule="auto"/>
        <w:rPr>
          <w:rFonts w:ascii="宋体" w:hAnsi="宋体" w:cs="宋体"/>
          <w:kern w:val="0"/>
          <w:szCs w:val="21"/>
        </w:rPr>
      </w:pPr>
      <w:r>
        <w:rPr>
          <w:rFonts w:hint="eastAsia" w:ascii="宋体" w:hAnsi="宋体" w:cs="宋体"/>
          <w:kern w:val="0"/>
          <w:szCs w:val="21"/>
        </w:rPr>
        <w:t>　　户  名：深圳市深大体育文化发展有限公司</w:t>
      </w:r>
    </w:p>
    <w:p>
      <w:pPr>
        <w:spacing w:line="360" w:lineRule="auto"/>
        <w:rPr>
          <w:rFonts w:ascii="宋体" w:hAnsi="宋体" w:cs="宋体"/>
          <w:kern w:val="0"/>
          <w:szCs w:val="21"/>
        </w:rPr>
      </w:pPr>
      <w:r>
        <w:rPr>
          <w:rFonts w:hint="eastAsia" w:ascii="宋体" w:hAnsi="宋体" w:cs="宋体"/>
          <w:kern w:val="0"/>
          <w:szCs w:val="21"/>
        </w:rPr>
        <w:t>　　开户行：中国银行深圳深大支行</w:t>
      </w:r>
    </w:p>
    <w:p>
      <w:pPr>
        <w:spacing w:line="360" w:lineRule="auto"/>
        <w:rPr>
          <w:rFonts w:ascii="宋体" w:hAnsi="宋体" w:cs="宋体"/>
          <w:kern w:val="0"/>
          <w:szCs w:val="21"/>
        </w:rPr>
      </w:pPr>
      <w:r>
        <w:rPr>
          <w:rFonts w:hint="eastAsia" w:ascii="宋体" w:hAnsi="宋体" w:cs="宋体"/>
          <w:kern w:val="0"/>
          <w:szCs w:val="21"/>
        </w:rPr>
        <w:t>　　账  号：769268049923</w:t>
      </w:r>
      <w:bookmarkStart w:id="276" w:name="_GoBack"/>
      <w:bookmarkEnd w:id="276"/>
    </w:p>
    <w:p>
      <w:pPr>
        <w:spacing w:line="360" w:lineRule="auto"/>
        <w:ind w:firstLine="420"/>
        <w:rPr>
          <w:rFonts w:ascii="宋体" w:hAnsi="宋体" w:cs="宋体"/>
          <w:kern w:val="0"/>
          <w:szCs w:val="21"/>
        </w:rPr>
      </w:pPr>
      <w:r>
        <w:rPr>
          <w:rFonts w:hint="eastAsia" w:ascii="宋体" w:hAnsi="宋体" w:cs="宋体"/>
          <w:kern w:val="0"/>
          <w:szCs w:val="21"/>
        </w:rPr>
        <w:t>备  注：项目编号</w:t>
      </w:r>
    </w:p>
    <w:p>
      <w:pPr>
        <w:spacing w:line="360" w:lineRule="auto"/>
        <w:ind w:firstLine="420"/>
        <w:rPr>
          <w:rFonts w:ascii="宋体" w:hAnsi="宋体" w:cs="宋体"/>
          <w:kern w:val="0"/>
          <w:szCs w:val="21"/>
        </w:rPr>
      </w:pPr>
      <w:r>
        <w:rPr>
          <w:rFonts w:hint="eastAsia" w:ascii="宋体" w:hAnsi="宋体" w:cs="宋体"/>
          <w:kern w:val="0"/>
          <w:szCs w:val="21"/>
        </w:rPr>
        <w:t>投标报名表下载链接：</w:t>
      </w:r>
      <w:r>
        <w:fldChar w:fldCharType="begin"/>
      </w:r>
      <w:r>
        <w:instrText xml:space="preserve"> HYPERLINK "http://bidding.szu.edu.cn/listfile.asp" </w:instrText>
      </w:r>
      <w:r>
        <w:fldChar w:fldCharType="separate"/>
      </w:r>
      <w:r>
        <w:rPr>
          <w:rStyle w:val="63"/>
          <w:rFonts w:hint="eastAsia" w:ascii="宋体" w:hAnsi="宋体" w:cs="宋体"/>
          <w:kern w:val="0"/>
          <w:szCs w:val="21"/>
        </w:rPr>
        <w:t>http://bidding.szu.edu.cn/listfile.asp</w:t>
      </w:r>
      <w:r>
        <w:rPr>
          <w:rStyle w:val="63"/>
          <w:rFonts w:ascii="宋体" w:hAnsi="宋体" w:cs="宋体"/>
          <w:kern w:val="0"/>
          <w:szCs w:val="21"/>
        </w:rPr>
        <w:fldChar w:fldCharType="end"/>
      </w:r>
      <w:r>
        <w:rPr>
          <w:rFonts w:hint="eastAsia" w:ascii="宋体" w:hAnsi="宋体" w:cs="宋体"/>
          <w:kern w:val="0"/>
          <w:szCs w:val="21"/>
        </w:rPr>
        <w:t>。</w:t>
      </w:r>
    </w:p>
    <w:p>
      <w:pPr>
        <w:spacing w:line="360" w:lineRule="auto"/>
        <w:ind w:firstLine="420" w:firstLineChars="200"/>
        <w:rPr>
          <w:rFonts w:ascii="宋体" w:hAnsi="宋体" w:cs="宋体"/>
          <w:color w:val="FF0000"/>
          <w:kern w:val="0"/>
          <w:szCs w:val="21"/>
        </w:rPr>
      </w:pPr>
      <w:r>
        <w:rPr>
          <w:rFonts w:hint="eastAsia" w:ascii="宋体" w:hAnsi="宋体" w:cs="宋体"/>
          <w:color w:val="FF0000"/>
          <w:kern w:val="0"/>
          <w:szCs w:val="21"/>
        </w:rPr>
        <w:t>2. 现场踏勘</w:t>
      </w:r>
    </w:p>
    <w:p>
      <w:pPr>
        <w:spacing w:line="360" w:lineRule="auto"/>
        <w:ind w:firstLine="420" w:firstLineChars="200"/>
        <w:rPr>
          <w:rFonts w:ascii="宋体" w:hAnsi="宋体" w:cs="宋体"/>
          <w:color w:val="FF0000"/>
          <w:kern w:val="0"/>
          <w:szCs w:val="21"/>
        </w:rPr>
      </w:pPr>
      <w:r>
        <w:rPr>
          <w:rFonts w:ascii="宋体" w:hAnsi="宋体"/>
          <w:color w:val="FF0000"/>
        </w:rPr>
        <w:t>本项目安排现场踏勘</w:t>
      </w:r>
      <w:r>
        <w:rPr>
          <w:rFonts w:hint="eastAsia" w:ascii="宋体" w:hAnsi="宋体"/>
          <w:color w:val="FF0000"/>
        </w:rPr>
        <w:t>，</w:t>
      </w:r>
      <w:r>
        <w:rPr>
          <w:rFonts w:hint="eastAsia" w:ascii="宋体" w:hAnsi="宋体" w:cs="宋体"/>
          <w:color w:val="FF0000"/>
          <w:kern w:val="0"/>
          <w:szCs w:val="21"/>
        </w:rPr>
        <w:t>时间：2021年</w:t>
      </w:r>
      <w:r>
        <w:rPr>
          <w:rFonts w:hint="eastAsia" w:ascii="宋体" w:hAnsi="宋体" w:cs="宋体"/>
          <w:color w:val="FF0000"/>
          <w:kern w:val="0"/>
          <w:szCs w:val="21"/>
          <w:lang w:val="en-US" w:eastAsia="zh-CN"/>
        </w:rPr>
        <w:t>1</w:t>
      </w:r>
      <w:r>
        <w:rPr>
          <w:rFonts w:hint="eastAsia" w:ascii="宋体" w:hAnsi="宋体" w:cs="宋体"/>
          <w:color w:val="FF0000"/>
          <w:kern w:val="0"/>
          <w:szCs w:val="21"/>
        </w:rPr>
        <w:t>月</w:t>
      </w:r>
      <w:r>
        <w:rPr>
          <w:rFonts w:hint="eastAsia" w:ascii="宋体" w:hAnsi="宋体" w:cs="宋体"/>
          <w:color w:val="FF0000"/>
          <w:kern w:val="0"/>
          <w:szCs w:val="21"/>
          <w:lang w:val="en-US" w:eastAsia="zh-CN"/>
        </w:rPr>
        <w:t>29</w:t>
      </w:r>
      <w:r>
        <w:rPr>
          <w:rFonts w:hint="eastAsia" w:ascii="宋体" w:hAnsi="宋体" w:cs="宋体"/>
          <w:color w:val="FF0000"/>
          <w:kern w:val="0"/>
          <w:szCs w:val="21"/>
        </w:rPr>
        <w:t>日10:00 （北京时间），地点：深圳市南山区侨城东路99号产业楼，联系人：李旭东，联系电话：13620942285。供应商如需前往踏勘请于2021年</w:t>
      </w:r>
      <w:r>
        <w:rPr>
          <w:rFonts w:hint="eastAsia" w:ascii="宋体" w:hAnsi="宋体" w:cs="宋体"/>
          <w:color w:val="FF0000"/>
          <w:kern w:val="0"/>
          <w:szCs w:val="21"/>
          <w:lang w:val="en-US" w:eastAsia="zh-CN"/>
        </w:rPr>
        <w:t>1</w:t>
      </w:r>
      <w:r>
        <w:rPr>
          <w:rFonts w:hint="eastAsia" w:ascii="宋体" w:hAnsi="宋体" w:cs="宋体"/>
          <w:color w:val="FF0000"/>
          <w:kern w:val="0"/>
          <w:szCs w:val="21"/>
        </w:rPr>
        <w:t>月</w:t>
      </w:r>
      <w:r>
        <w:rPr>
          <w:rFonts w:hint="eastAsia" w:ascii="宋体" w:hAnsi="宋体" w:cs="宋体"/>
          <w:color w:val="FF0000"/>
          <w:kern w:val="0"/>
          <w:szCs w:val="21"/>
          <w:lang w:val="en-US" w:eastAsia="zh-CN"/>
        </w:rPr>
        <w:t>28</w:t>
      </w:r>
      <w:r>
        <w:rPr>
          <w:rFonts w:hint="eastAsia" w:ascii="宋体" w:hAnsi="宋体" w:cs="宋体"/>
          <w:color w:val="FF0000"/>
          <w:kern w:val="0"/>
          <w:szCs w:val="21"/>
        </w:rPr>
        <w:t>日12:00前联系李旭东登记预约入场事宜。逾期登记将可能导致预约失败。</w:t>
      </w:r>
    </w:p>
    <w:p>
      <w:pPr>
        <w:spacing w:line="360" w:lineRule="auto"/>
        <w:ind w:firstLine="420" w:firstLineChars="200"/>
        <w:rPr>
          <w:rFonts w:ascii="宋体" w:hAnsi="宋体" w:cs="宋体"/>
          <w:kern w:val="0"/>
          <w:szCs w:val="21"/>
        </w:rPr>
      </w:pPr>
      <w:r>
        <w:rPr>
          <w:rFonts w:hint="eastAsia" w:ascii="宋体" w:hAnsi="宋体" w:cs="宋体"/>
          <w:kern w:val="0"/>
          <w:szCs w:val="21"/>
        </w:rPr>
        <w:t>3.</w:t>
      </w:r>
      <w:r>
        <w:rPr>
          <w:rFonts w:ascii="宋体" w:hAnsi="宋体" w:cs="宋体"/>
          <w:kern w:val="0"/>
          <w:szCs w:val="21"/>
        </w:rPr>
        <w:t xml:space="preserve"> </w:t>
      </w:r>
      <w:r>
        <w:rPr>
          <w:rFonts w:hint="eastAsia" w:ascii="宋体" w:hAnsi="宋体" w:cs="宋体"/>
          <w:kern w:val="0"/>
          <w:szCs w:val="21"/>
        </w:rPr>
        <w:t xml:space="preserve">关于质疑 </w:t>
      </w:r>
    </w:p>
    <w:p>
      <w:pPr>
        <w:spacing w:line="360" w:lineRule="auto"/>
        <w:ind w:firstLine="420" w:firstLineChars="200"/>
        <w:rPr>
          <w:rFonts w:ascii="宋体" w:hAnsi="宋体" w:cs="宋体"/>
          <w:kern w:val="0"/>
          <w:szCs w:val="21"/>
        </w:rPr>
      </w:pPr>
      <w:r>
        <w:rPr>
          <w:rFonts w:hint="eastAsia" w:ascii="宋体" w:hAnsi="宋体" w:cs="宋体"/>
          <w:kern w:val="0"/>
          <w:szCs w:val="21"/>
        </w:rPr>
        <w:t xml:space="preserve">供应商认为采购文件的内容损害其权益的，应在采购文件公布之日起五个工作日内提出。质疑函应以书面形式提交到深圳市深大体育文化发展有限公司，逾期不予受理。质疑函须加盖投标人公章。答疑结果将在网站http://bidding.szu.edu.cn “招标公告”中公布，望投标人予以关注。 </w:t>
      </w:r>
    </w:p>
    <w:p>
      <w:pPr>
        <w:spacing w:line="360" w:lineRule="auto"/>
        <w:ind w:firstLine="420" w:firstLineChars="200"/>
        <w:rPr>
          <w:rFonts w:ascii="宋体" w:hAnsi="宋体" w:cs="宋体"/>
          <w:kern w:val="0"/>
          <w:szCs w:val="21"/>
        </w:rPr>
      </w:pPr>
      <w:r>
        <w:rPr>
          <w:rFonts w:hint="eastAsia" w:ascii="宋体" w:hAnsi="宋体" w:cs="宋体"/>
          <w:kern w:val="0"/>
          <w:szCs w:val="21"/>
        </w:rPr>
        <w:t xml:space="preserve">4. 投标截止时间 </w:t>
      </w:r>
    </w:p>
    <w:p>
      <w:pPr>
        <w:spacing w:line="360" w:lineRule="auto"/>
        <w:ind w:firstLine="420" w:firstLineChars="200"/>
        <w:rPr>
          <w:rFonts w:ascii="宋体" w:hAnsi="宋体" w:cs="宋体"/>
          <w:kern w:val="0"/>
          <w:szCs w:val="21"/>
        </w:rPr>
      </w:pPr>
      <w:r>
        <w:rPr>
          <w:rFonts w:hint="eastAsia" w:ascii="宋体" w:hAnsi="宋体" w:cs="宋体"/>
          <w:kern w:val="0"/>
          <w:szCs w:val="21"/>
        </w:rPr>
        <w:t>所有投标文件应于</w:t>
      </w:r>
      <w:r>
        <w:rPr>
          <w:rFonts w:hint="eastAsia" w:ascii="宋体" w:hAnsi="宋体" w:cs="宋体"/>
          <w:b/>
          <w:bCs/>
          <w:color w:val="FF0000"/>
          <w:kern w:val="0"/>
          <w:szCs w:val="21"/>
        </w:rPr>
        <w:t>20</w:t>
      </w:r>
      <w:r>
        <w:rPr>
          <w:rFonts w:hint="eastAsia" w:ascii="宋体" w:hAnsi="宋体" w:cs="宋体"/>
          <w:b/>
          <w:bCs/>
          <w:color w:val="FF0000"/>
          <w:kern w:val="0"/>
          <w:szCs w:val="21"/>
          <w:lang w:val="en-US" w:eastAsia="zh-CN"/>
        </w:rPr>
        <w:t>21</w:t>
      </w:r>
      <w:r>
        <w:rPr>
          <w:rFonts w:hint="eastAsia" w:ascii="宋体" w:hAnsi="宋体" w:cs="宋体"/>
          <w:b/>
          <w:bCs/>
          <w:color w:val="FF0000"/>
          <w:kern w:val="0"/>
          <w:szCs w:val="21"/>
        </w:rPr>
        <w:t>年</w:t>
      </w:r>
      <w:r>
        <w:rPr>
          <w:rFonts w:hint="eastAsia" w:ascii="宋体" w:hAnsi="宋体" w:cs="宋体"/>
          <w:b/>
          <w:bCs/>
          <w:color w:val="FF0000"/>
          <w:kern w:val="0"/>
          <w:szCs w:val="21"/>
          <w:lang w:val="en-US" w:eastAsia="zh-CN"/>
        </w:rPr>
        <w:t>2</w:t>
      </w:r>
      <w:r>
        <w:rPr>
          <w:rFonts w:hint="eastAsia" w:ascii="宋体" w:hAnsi="宋体" w:cs="宋体"/>
          <w:b/>
          <w:bCs/>
          <w:color w:val="FF0000"/>
          <w:kern w:val="0"/>
          <w:szCs w:val="21"/>
        </w:rPr>
        <w:t>月</w:t>
      </w:r>
      <w:r>
        <w:rPr>
          <w:rFonts w:hint="eastAsia" w:ascii="宋体" w:hAnsi="宋体" w:cs="宋体"/>
          <w:b/>
          <w:bCs/>
          <w:color w:val="FF0000"/>
          <w:kern w:val="0"/>
          <w:szCs w:val="21"/>
          <w:lang w:val="en-US" w:eastAsia="zh-CN"/>
        </w:rPr>
        <w:t>5</w:t>
      </w:r>
      <w:r>
        <w:rPr>
          <w:rFonts w:hint="eastAsia" w:ascii="宋体" w:hAnsi="宋体" w:cs="宋体"/>
          <w:b/>
          <w:bCs/>
          <w:color w:val="FF0000"/>
          <w:kern w:val="0"/>
          <w:szCs w:val="21"/>
        </w:rPr>
        <w:t>日 10：</w:t>
      </w:r>
      <w:r>
        <w:rPr>
          <w:rFonts w:ascii="宋体" w:hAnsi="宋体" w:cs="宋体"/>
          <w:b/>
          <w:bCs/>
          <w:color w:val="FF0000"/>
          <w:kern w:val="0"/>
          <w:szCs w:val="21"/>
        </w:rPr>
        <w:t>00</w:t>
      </w:r>
      <w:r>
        <w:rPr>
          <w:rFonts w:hint="eastAsia" w:ascii="宋体" w:hAnsi="宋体" w:cs="宋体"/>
          <w:kern w:val="0"/>
          <w:szCs w:val="21"/>
        </w:rPr>
        <w:t>时之前</w:t>
      </w:r>
      <w:r>
        <w:rPr>
          <w:rFonts w:hint="eastAsia" w:ascii="宋体" w:hAnsi="宋体" w:cs="宋体"/>
          <w:b/>
          <w:kern w:val="0"/>
          <w:szCs w:val="21"/>
        </w:rPr>
        <w:t>邮寄</w:t>
      </w:r>
      <w:r>
        <w:rPr>
          <w:rFonts w:hint="eastAsia"/>
        </w:rPr>
        <w:t>（</w:t>
      </w:r>
      <w:r>
        <w:t>EMS</w:t>
      </w:r>
      <w:r>
        <w:rPr>
          <w:rFonts w:hint="eastAsia"/>
        </w:rPr>
        <w:t>，顺丰（不含顺丰同城））</w:t>
      </w:r>
      <w:r>
        <w:rPr>
          <w:rFonts w:hint="eastAsia" w:ascii="宋体" w:hAnsi="宋体" w:cs="宋体"/>
          <w:kern w:val="0"/>
          <w:szCs w:val="21"/>
        </w:rPr>
        <w:t>到深圳市深大体育文化发展有限公司（以快递到达时间为准，不接受快递到付）。</w:t>
      </w:r>
    </w:p>
    <w:p>
      <w:pPr>
        <w:spacing w:line="360" w:lineRule="auto"/>
        <w:ind w:firstLine="422" w:firstLineChars="200"/>
        <w:rPr>
          <w:rFonts w:ascii="宋体" w:hAnsi="宋体" w:cs="宋体"/>
          <w:b/>
          <w:kern w:val="0"/>
          <w:szCs w:val="21"/>
        </w:rPr>
      </w:pPr>
      <w:r>
        <w:rPr>
          <w:rFonts w:hint="eastAsia" w:ascii="宋体" w:hAnsi="宋体" w:cs="宋体"/>
          <w:b/>
          <w:kern w:val="0"/>
          <w:szCs w:val="21"/>
        </w:rPr>
        <w:t>投标文件不接受现场递交。</w:t>
      </w:r>
    </w:p>
    <w:p>
      <w:pPr>
        <w:spacing w:line="360" w:lineRule="auto"/>
        <w:ind w:firstLine="420" w:firstLineChars="200"/>
        <w:rPr>
          <w:rFonts w:ascii="宋体" w:hAnsi="宋体" w:cs="宋体"/>
          <w:kern w:val="0"/>
          <w:szCs w:val="21"/>
        </w:rPr>
      </w:pPr>
      <w:r>
        <w:rPr>
          <w:rFonts w:hint="eastAsia" w:ascii="宋体" w:hAnsi="宋体" w:cs="宋体"/>
          <w:kern w:val="0"/>
          <w:szCs w:val="21"/>
        </w:rPr>
        <w:t>邮寄地址：深圳市南山区南海大道3688号 深圳大学汇星楼310室</w:t>
      </w:r>
    </w:p>
    <w:p>
      <w:pPr>
        <w:adjustRightInd w:val="0"/>
        <w:snapToGrid w:val="0"/>
        <w:spacing w:line="360" w:lineRule="auto"/>
        <w:ind w:firstLine="422" w:firstLineChars="200"/>
        <w:rPr>
          <w:rFonts w:ascii="宋体" w:hAnsi="宋体" w:cs="宋体"/>
          <w:b/>
          <w:kern w:val="0"/>
          <w:szCs w:val="21"/>
        </w:rPr>
      </w:pPr>
      <w:r>
        <w:rPr>
          <w:rFonts w:hint="eastAsia" w:ascii="宋体" w:hAnsi="宋体" w:cs="宋体"/>
          <w:b/>
          <w:kern w:val="0"/>
          <w:szCs w:val="21"/>
        </w:rPr>
        <w:t>收件人、联系方式：王老师  （0755）2655 3554</w:t>
      </w:r>
    </w:p>
    <w:p>
      <w:pPr>
        <w:adjustRightInd w:val="0"/>
        <w:snapToGrid w:val="0"/>
        <w:spacing w:line="360" w:lineRule="auto"/>
        <w:ind w:firstLine="420" w:firstLineChars="200"/>
        <w:rPr>
          <w:kern w:val="0"/>
          <w:szCs w:val="21"/>
        </w:rPr>
      </w:pPr>
      <w:r>
        <w:rPr>
          <w:rFonts w:hint="eastAsia"/>
          <w:kern w:val="0"/>
          <w:szCs w:val="21"/>
        </w:rPr>
        <w:t>投标文件密封性要求：投标人邮寄的投标文件应在快递包装内有完整的密封包装，密封包装上应有明确的项目编号、项目名称、投标公司名称。密封包装不完整、有破损且该破损可能导致文件内容泄露的投标文件将被拒绝接收。</w:t>
      </w:r>
    </w:p>
    <w:p>
      <w:pPr>
        <w:spacing w:line="360" w:lineRule="auto"/>
        <w:ind w:firstLine="420" w:firstLineChars="200"/>
        <w:rPr>
          <w:rFonts w:ascii="宋体" w:hAnsi="宋体" w:cs="宋体"/>
          <w:kern w:val="0"/>
          <w:szCs w:val="21"/>
        </w:rPr>
      </w:pPr>
      <w:r>
        <w:rPr>
          <w:rFonts w:hint="eastAsia" w:ascii="宋体" w:hAnsi="宋体" w:cs="宋体"/>
          <w:kern w:val="0"/>
          <w:szCs w:val="21"/>
        </w:rPr>
        <w:t xml:space="preserve">5. 开标时间和地点 </w:t>
      </w:r>
    </w:p>
    <w:p>
      <w:pPr>
        <w:spacing w:line="360" w:lineRule="auto"/>
        <w:ind w:firstLine="420" w:firstLineChars="200"/>
        <w:rPr>
          <w:rFonts w:ascii="宋体" w:hAnsi="宋体" w:cs="宋体"/>
          <w:kern w:val="0"/>
          <w:szCs w:val="21"/>
        </w:rPr>
      </w:pPr>
      <w:r>
        <w:rPr>
          <w:rFonts w:hint="eastAsia" w:ascii="宋体" w:hAnsi="宋体" w:cs="宋体"/>
          <w:kern w:val="0"/>
          <w:szCs w:val="21"/>
        </w:rPr>
        <w:t>定于</w:t>
      </w:r>
      <w:r>
        <w:rPr>
          <w:rFonts w:hint="eastAsia" w:ascii="宋体" w:hAnsi="宋体" w:cs="宋体"/>
          <w:b/>
          <w:bCs/>
          <w:color w:val="FF0000"/>
          <w:kern w:val="0"/>
          <w:szCs w:val="21"/>
        </w:rPr>
        <w:t>202</w:t>
      </w:r>
      <w:r>
        <w:rPr>
          <w:rFonts w:hint="eastAsia" w:ascii="宋体" w:hAnsi="宋体" w:cs="宋体"/>
          <w:b/>
          <w:bCs/>
          <w:color w:val="FF0000"/>
          <w:kern w:val="0"/>
          <w:szCs w:val="21"/>
          <w:lang w:val="en-US" w:eastAsia="zh-CN"/>
        </w:rPr>
        <w:t>1</w:t>
      </w:r>
      <w:r>
        <w:rPr>
          <w:rFonts w:hint="eastAsia" w:ascii="宋体" w:hAnsi="宋体" w:cs="宋体"/>
          <w:b/>
          <w:bCs/>
          <w:color w:val="FF0000"/>
          <w:kern w:val="0"/>
          <w:szCs w:val="21"/>
        </w:rPr>
        <w:t>年</w:t>
      </w:r>
      <w:r>
        <w:rPr>
          <w:rFonts w:hint="eastAsia" w:ascii="宋体" w:hAnsi="宋体" w:cs="宋体"/>
          <w:b/>
          <w:bCs/>
          <w:color w:val="FF0000"/>
          <w:kern w:val="0"/>
          <w:szCs w:val="21"/>
          <w:lang w:val="en-US" w:eastAsia="zh-CN"/>
        </w:rPr>
        <w:t>2</w:t>
      </w:r>
      <w:r>
        <w:rPr>
          <w:rFonts w:hint="eastAsia" w:ascii="宋体" w:hAnsi="宋体" w:cs="宋体"/>
          <w:b/>
          <w:bCs/>
          <w:color w:val="FF0000"/>
          <w:kern w:val="0"/>
          <w:szCs w:val="21"/>
        </w:rPr>
        <w:t>月</w:t>
      </w:r>
      <w:r>
        <w:rPr>
          <w:rFonts w:hint="eastAsia" w:ascii="宋体" w:hAnsi="宋体" w:cs="宋体"/>
          <w:b/>
          <w:bCs/>
          <w:color w:val="FF0000"/>
          <w:kern w:val="0"/>
          <w:szCs w:val="21"/>
          <w:lang w:val="en-US" w:eastAsia="zh-CN"/>
        </w:rPr>
        <w:t>5</w:t>
      </w:r>
      <w:r>
        <w:rPr>
          <w:rFonts w:hint="eastAsia" w:ascii="宋体" w:hAnsi="宋体" w:cs="宋体"/>
          <w:b/>
          <w:bCs/>
          <w:color w:val="FF0000"/>
          <w:kern w:val="0"/>
          <w:szCs w:val="21"/>
        </w:rPr>
        <w:t>日10：</w:t>
      </w:r>
      <w:r>
        <w:rPr>
          <w:rFonts w:ascii="宋体" w:hAnsi="宋体" w:cs="宋体"/>
          <w:b/>
          <w:bCs/>
          <w:color w:val="FF0000"/>
          <w:kern w:val="0"/>
          <w:szCs w:val="21"/>
        </w:rPr>
        <w:t>00</w:t>
      </w:r>
      <w:r>
        <w:rPr>
          <w:rFonts w:hint="eastAsia" w:ascii="宋体" w:hAnsi="宋体" w:cs="宋体"/>
          <w:b/>
          <w:bCs/>
          <w:color w:val="FF0000"/>
          <w:kern w:val="0"/>
          <w:szCs w:val="21"/>
        </w:rPr>
        <w:t>时</w:t>
      </w:r>
      <w:r>
        <w:rPr>
          <w:rFonts w:hint="eastAsia" w:ascii="宋体" w:hAnsi="宋体" w:cs="宋体"/>
          <w:kern w:val="0"/>
          <w:szCs w:val="21"/>
        </w:rPr>
        <w:t>，在深圳市深大体育文化发展有限公司公开开标。地点：深圳市南山区南海大道3688号 深圳大学汇星楼310室。</w:t>
      </w:r>
      <w:r>
        <w:rPr>
          <w:rFonts w:hint="eastAsia"/>
          <w:color w:val="000000"/>
          <w:kern w:val="0"/>
          <w:szCs w:val="21"/>
          <w:highlight w:val="yellow"/>
        </w:rPr>
        <w:t>出于疫情防控需要，此项目不邀请投标代表出席开标。</w:t>
      </w:r>
    </w:p>
    <w:p>
      <w:pPr>
        <w:spacing w:line="360" w:lineRule="auto"/>
        <w:ind w:firstLine="420" w:firstLineChars="200"/>
        <w:rPr>
          <w:rFonts w:ascii="宋体" w:hAnsi="宋体" w:cs="宋体"/>
          <w:kern w:val="0"/>
          <w:szCs w:val="21"/>
        </w:rPr>
      </w:pPr>
      <w:r>
        <w:rPr>
          <w:rFonts w:hint="eastAsia" w:ascii="宋体" w:hAnsi="宋体" w:cs="宋体"/>
          <w:kern w:val="0"/>
          <w:szCs w:val="21"/>
        </w:rPr>
        <w:t>6.</w:t>
      </w:r>
      <w:r>
        <w:rPr>
          <w:rFonts w:ascii="宋体" w:hAnsi="宋体" w:cs="宋体"/>
          <w:kern w:val="0"/>
          <w:szCs w:val="21"/>
        </w:rPr>
        <w:t xml:space="preserve"> </w:t>
      </w:r>
      <w:r>
        <w:rPr>
          <w:rFonts w:hint="eastAsia" w:ascii="宋体" w:hAnsi="宋体" w:cs="宋体"/>
          <w:kern w:val="0"/>
          <w:szCs w:val="21"/>
        </w:rPr>
        <w:t>已经购买招标文件的潜在投标人，若不参加投标应在开标截止日前3天以书面形式通知深圳市深大体育文化发展有限公司。</w:t>
      </w:r>
    </w:p>
    <w:p>
      <w:pPr>
        <w:spacing w:line="360" w:lineRule="auto"/>
        <w:rPr>
          <w:rFonts w:ascii="宋体" w:hAnsi="宋体" w:cs="宋体"/>
          <w:kern w:val="0"/>
          <w:szCs w:val="21"/>
        </w:rPr>
      </w:pPr>
    </w:p>
    <w:p>
      <w:pPr>
        <w:spacing w:line="360" w:lineRule="auto"/>
        <w:rPr>
          <w:rFonts w:ascii="宋体" w:hAnsi="宋体" w:cs="宋体"/>
          <w:kern w:val="0"/>
          <w:szCs w:val="21"/>
        </w:rPr>
      </w:pPr>
      <w:r>
        <w:rPr>
          <w:rFonts w:hint="eastAsia" w:ascii="宋体" w:hAnsi="宋体" w:cs="宋体"/>
          <w:kern w:val="0"/>
          <w:szCs w:val="21"/>
        </w:rPr>
        <w:t>七、重要提示：</w:t>
      </w:r>
    </w:p>
    <w:p>
      <w:pPr>
        <w:spacing w:line="360" w:lineRule="auto"/>
        <w:ind w:firstLine="420" w:firstLineChars="200"/>
        <w:rPr>
          <w:rFonts w:ascii="宋体" w:hAnsi="宋体" w:cs="宋体"/>
          <w:kern w:val="0"/>
          <w:szCs w:val="21"/>
        </w:rPr>
      </w:pPr>
      <w:r>
        <w:rPr>
          <w:rFonts w:hint="eastAsia" w:ascii="宋体" w:hAnsi="宋体" w:cs="宋体"/>
          <w:kern w:val="0"/>
          <w:szCs w:val="21"/>
        </w:rPr>
        <w:t>1. 深圳市深大体育文化发展有限公司有权对所有投标供应商就本项目招标文件要求提供的相关证明材料（原件）进行审查。供应商提供虚假资料被查实的，则可能面临被取消本项目中标资格、列入不良行为记录名单和三年内禁止参与深圳市深大体育文化发展有限公司采购活动的风险。</w:t>
      </w:r>
    </w:p>
    <w:p>
      <w:pPr>
        <w:spacing w:line="360" w:lineRule="auto"/>
        <w:ind w:firstLine="420" w:firstLineChars="200"/>
        <w:rPr>
          <w:rFonts w:ascii="宋体" w:hAnsi="宋体" w:cs="宋体"/>
          <w:kern w:val="0"/>
          <w:szCs w:val="21"/>
        </w:rPr>
      </w:pPr>
      <w:r>
        <w:rPr>
          <w:rFonts w:hint="eastAsia" w:ascii="宋体" w:hAnsi="宋体" w:cs="宋体"/>
          <w:kern w:val="0"/>
          <w:szCs w:val="21"/>
        </w:rPr>
        <w:t xml:space="preserve">2. 本招标公告及本项目招标文件所涉及的时间一律为北京时间。投标人有义务在招标活动期间浏览网站（http://bidding.szu.edu.cn），在上面公布的与本次招标项目有关的信息视为已送达各投标人。 </w:t>
      </w:r>
    </w:p>
    <w:p>
      <w:pPr>
        <w:jc w:val="right"/>
        <w:rPr>
          <w:sz w:val="24"/>
        </w:rPr>
      </w:pPr>
      <w:r>
        <w:rPr>
          <w:sz w:val="24"/>
        </w:rPr>
        <w:br w:type="page"/>
      </w:r>
    </w:p>
    <w:p>
      <w:pPr>
        <w:pStyle w:val="5"/>
        <w:rPr>
          <w:rFonts w:ascii="华文新魏" w:hAnsi="华文新魏" w:eastAsia="华文新魏" w:cs="华文新魏"/>
          <w:sz w:val="44"/>
          <w:szCs w:val="32"/>
        </w:rPr>
      </w:pPr>
      <w:r>
        <w:rPr>
          <w:rFonts w:hint="eastAsia" w:ascii="华文新魏" w:hAnsi="华文新魏" w:eastAsia="华文新魏" w:cs="华文新魏"/>
          <w:sz w:val="44"/>
          <w:szCs w:val="32"/>
        </w:rPr>
        <w:t>第二章  招标项目需求</w:t>
      </w:r>
    </w:p>
    <w:p>
      <w:pPr>
        <w:rPr>
          <w:b/>
          <w:color w:val="FF0000"/>
        </w:rPr>
      </w:pPr>
    </w:p>
    <w:p>
      <w:pPr>
        <w:pStyle w:val="5"/>
        <w:spacing w:before="120" w:beforeLines="50" w:after="120" w:afterLines="50"/>
        <w:rPr>
          <w:sz w:val="28"/>
          <w:szCs w:val="28"/>
        </w:rPr>
      </w:pPr>
      <w:bookmarkStart w:id="1" w:name="_Toc100052364"/>
      <w:bookmarkStart w:id="2" w:name="_Toc73521547"/>
      <w:bookmarkStart w:id="3" w:name="_Toc73521635"/>
      <w:bookmarkStart w:id="4" w:name="_Toc60560625"/>
      <w:bookmarkStart w:id="5" w:name="_Toc73517639"/>
      <w:bookmarkStart w:id="6" w:name="_Toc101074876"/>
      <w:bookmarkStart w:id="7" w:name="_Toc73518117"/>
      <w:bookmarkStart w:id="8" w:name="_Toc60631620"/>
      <w:r>
        <w:rPr>
          <w:rFonts w:hint="eastAsia"/>
          <w:sz w:val="28"/>
          <w:szCs w:val="28"/>
        </w:rPr>
        <w:t>一、对通用条款的补充内容</w:t>
      </w:r>
    </w:p>
    <w:bookmarkEnd w:id="1"/>
    <w:bookmarkEnd w:id="2"/>
    <w:bookmarkEnd w:id="3"/>
    <w:bookmarkEnd w:id="4"/>
    <w:bookmarkEnd w:id="5"/>
    <w:bookmarkEnd w:id="6"/>
    <w:bookmarkEnd w:id="7"/>
    <w:bookmarkEnd w:id="8"/>
    <w:tbl>
      <w:tblPr>
        <w:tblStyle w:val="54"/>
        <w:tblW w:w="8367"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807"/>
        <w:gridCol w:w="2160"/>
        <w:gridCol w:w="5400"/>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807" w:type="dxa"/>
            <w:vAlign w:val="center"/>
          </w:tcPr>
          <w:p>
            <w:pPr>
              <w:adjustRightInd w:val="0"/>
              <w:snapToGrid w:val="0"/>
              <w:jc w:val="center"/>
              <w:rPr>
                <w:b/>
                <w:bCs/>
                <w:szCs w:val="21"/>
              </w:rPr>
            </w:pPr>
            <w:r>
              <w:rPr>
                <w:b/>
                <w:bCs/>
                <w:szCs w:val="21"/>
              </w:rPr>
              <w:t>序号</w:t>
            </w:r>
          </w:p>
        </w:tc>
        <w:tc>
          <w:tcPr>
            <w:tcW w:w="2160" w:type="dxa"/>
            <w:vAlign w:val="center"/>
          </w:tcPr>
          <w:p>
            <w:pPr>
              <w:adjustRightInd w:val="0"/>
              <w:snapToGrid w:val="0"/>
              <w:jc w:val="center"/>
              <w:rPr>
                <w:b/>
                <w:bCs/>
                <w:szCs w:val="21"/>
              </w:rPr>
            </w:pPr>
            <w:r>
              <w:rPr>
                <w:b/>
                <w:bCs/>
                <w:szCs w:val="21"/>
              </w:rPr>
              <w:t>内   容</w:t>
            </w:r>
          </w:p>
        </w:tc>
        <w:tc>
          <w:tcPr>
            <w:tcW w:w="5400" w:type="dxa"/>
            <w:vAlign w:val="center"/>
          </w:tcPr>
          <w:p>
            <w:pPr>
              <w:adjustRightInd w:val="0"/>
              <w:snapToGrid w:val="0"/>
              <w:jc w:val="center"/>
              <w:rPr>
                <w:b/>
                <w:bCs/>
                <w:szCs w:val="21"/>
              </w:rPr>
            </w:pPr>
            <w:r>
              <w:rPr>
                <w:b/>
                <w:bCs/>
                <w:szCs w:val="21"/>
              </w:rPr>
              <w:t>规      定</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807" w:type="dxa"/>
            <w:vAlign w:val="center"/>
          </w:tcPr>
          <w:p>
            <w:pPr>
              <w:adjustRightInd w:val="0"/>
              <w:snapToGrid w:val="0"/>
              <w:jc w:val="center"/>
              <w:rPr>
                <w:szCs w:val="21"/>
              </w:rPr>
            </w:pPr>
            <w:r>
              <w:rPr>
                <w:szCs w:val="21"/>
              </w:rPr>
              <w:t>1</w:t>
            </w:r>
          </w:p>
        </w:tc>
        <w:tc>
          <w:tcPr>
            <w:tcW w:w="2160" w:type="dxa"/>
            <w:vAlign w:val="center"/>
          </w:tcPr>
          <w:p>
            <w:pPr>
              <w:adjustRightInd w:val="0"/>
              <w:snapToGrid w:val="0"/>
              <w:rPr>
                <w:szCs w:val="21"/>
              </w:rPr>
            </w:pPr>
            <w:r>
              <w:rPr>
                <w:szCs w:val="21"/>
              </w:rPr>
              <w:t>联合体投标</w:t>
            </w:r>
          </w:p>
        </w:tc>
        <w:tc>
          <w:tcPr>
            <w:tcW w:w="5400" w:type="dxa"/>
            <w:vAlign w:val="center"/>
          </w:tcPr>
          <w:p>
            <w:pPr>
              <w:adjustRightInd w:val="0"/>
              <w:snapToGrid w:val="0"/>
              <w:rPr>
                <w:snapToGrid w:val="0"/>
                <w:kern w:val="0"/>
                <w:szCs w:val="21"/>
                <w:lang w:val="zh-CN"/>
              </w:rPr>
            </w:pPr>
            <w:r>
              <w:rPr>
                <w:snapToGrid w:val="0"/>
                <w:kern w:val="0"/>
                <w:szCs w:val="21"/>
                <w:lang w:val="zh-CN"/>
              </w:rPr>
              <w:t>见《招标公告》中“投标人资格要求”部分的相关内容</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807" w:type="dxa"/>
            <w:vAlign w:val="center"/>
          </w:tcPr>
          <w:p>
            <w:pPr>
              <w:adjustRightInd w:val="0"/>
              <w:snapToGrid w:val="0"/>
              <w:jc w:val="center"/>
              <w:rPr>
                <w:szCs w:val="21"/>
              </w:rPr>
            </w:pPr>
            <w:r>
              <w:rPr>
                <w:szCs w:val="21"/>
              </w:rPr>
              <w:t>2</w:t>
            </w:r>
          </w:p>
        </w:tc>
        <w:tc>
          <w:tcPr>
            <w:tcW w:w="2160" w:type="dxa"/>
            <w:vAlign w:val="center"/>
          </w:tcPr>
          <w:p>
            <w:pPr>
              <w:adjustRightInd w:val="0"/>
              <w:snapToGrid w:val="0"/>
              <w:rPr>
                <w:szCs w:val="21"/>
              </w:rPr>
            </w:pPr>
            <w:r>
              <w:rPr>
                <w:szCs w:val="21"/>
              </w:rPr>
              <w:t>投标有效期</w:t>
            </w:r>
          </w:p>
        </w:tc>
        <w:tc>
          <w:tcPr>
            <w:tcW w:w="5400" w:type="dxa"/>
            <w:vAlign w:val="center"/>
          </w:tcPr>
          <w:p>
            <w:pPr>
              <w:adjustRightInd w:val="0"/>
              <w:snapToGrid w:val="0"/>
              <w:rPr>
                <w:szCs w:val="21"/>
              </w:rPr>
            </w:pPr>
            <w:r>
              <w:rPr>
                <w:rFonts w:hint="eastAsia"/>
                <w:b/>
                <w:bCs/>
                <w:color w:val="FF0000"/>
                <w:szCs w:val="21"/>
                <w:u w:val="single"/>
              </w:rPr>
              <w:t>120</w:t>
            </w:r>
            <w:r>
              <w:rPr>
                <w:szCs w:val="21"/>
                <w:u w:val="single"/>
              </w:rPr>
              <w:t>日历天</w:t>
            </w:r>
            <w:r>
              <w:rPr>
                <w:szCs w:val="21"/>
              </w:rPr>
              <w:t>（从投标截止之日算起）</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807" w:type="dxa"/>
            <w:tcBorders>
              <w:top w:val="single" w:color="auto" w:sz="6" w:space="0"/>
              <w:left w:val="double" w:color="auto" w:sz="4" w:space="0"/>
              <w:bottom w:val="single" w:color="auto" w:sz="6" w:space="0"/>
              <w:right w:val="single" w:color="auto" w:sz="6" w:space="0"/>
            </w:tcBorders>
            <w:vAlign w:val="center"/>
          </w:tcPr>
          <w:p>
            <w:pPr>
              <w:adjustRightInd w:val="0"/>
              <w:snapToGrid w:val="0"/>
              <w:jc w:val="center"/>
              <w:rPr>
                <w:szCs w:val="21"/>
              </w:rPr>
            </w:pPr>
            <w:r>
              <w:rPr>
                <w:szCs w:val="21"/>
              </w:rPr>
              <w:t>3</w:t>
            </w:r>
          </w:p>
        </w:tc>
        <w:tc>
          <w:tcPr>
            <w:tcW w:w="2160" w:type="dxa"/>
            <w:tcBorders>
              <w:top w:val="single" w:color="auto" w:sz="6" w:space="0"/>
              <w:left w:val="single" w:color="auto" w:sz="6" w:space="0"/>
              <w:bottom w:val="single" w:color="auto" w:sz="6" w:space="0"/>
              <w:right w:val="single" w:color="auto" w:sz="6" w:space="0"/>
            </w:tcBorders>
            <w:vAlign w:val="center"/>
          </w:tcPr>
          <w:p>
            <w:pPr>
              <w:adjustRightInd w:val="0"/>
              <w:snapToGrid w:val="0"/>
              <w:rPr>
                <w:szCs w:val="21"/>
              </w:rPr>
            </w:pPr>
            <w:r>
              <w:rPr>
                <w:szCs w:val="21"/>
              </w:rPr>
              <w:t>投标文件的投递</w:t>
            </w:r>
          </w:p>
        </w:tc>
        <w:tc>
          <w:tcPr>
            <w:tcW w:w="5400" w:type="dxa"/>
            <w:tcBorders>
              <w:top w:val="single" w:color="auto" w:sz="6" w:space="0"/>
              <w:left w:val="single" w:color="auto" w:sz="6" w:space="0"/>
              <w:bottom w:val="single" w:color="auto" w:sz="6" w:space="0"/>
              <w:right w:val="double" w:color="auto" w:sz="4" w:space="0"/>
            </w:tcBorders>
            <w:vAlign w:val="center"/>
          </w:tcPr>
          <w:p>
            <w:pPr>
              <w:adjustRightInd w:val="0"/>
              <w:snapToGrid w:val="0"/>
              <w:spacing w:line="360" w:lineRule="auto"/>
              <w:rPr>
                <w:szCs w:val="21"/>
              </w:rPr>
            </w:pPr>
            <w:r>
              <w:t>投标人必须在招标文件规定的投标截止时间前将密封的投标文件</w:t>
            </w:r>
            <w:r>
              <w:rPr>
                <w:color w:val="FF0000"/>
              </w:rPr>
              <w:t>邮寄</w:t>
            </w:r>
            <w:r>
              <w:t>到深圳</w:t>
            </w:r>
            <w:r>
              <w:rPr>
                <w:rFonts w:hint="eastAsia"/>
              </w:rPr>
              <w:t>市深大体育文化发展有限公司</w:t>
            </w:r>
            <w:r>
              <w:t>（</w:t>
            </w:r>
            <w:r>
              <w:rPr>
                <w:color w:val="FF0000"/>
              </w:rPr>
              <w:t>以快递到达时间为准</w:t>
            </w:r>
            <w:r>
              <w:t>）</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807" w:type="dxa"/>
            <w:tcBorders>
              <w:top w:val="single" w:color="auto" w:sz="6" w:space="0"/>
              <w:left w:val="double" w:color="auto" w:sz="4" w:space="0"/>
              <w:bottom w:val="single" w:color="auto" w:sz="6" w:space="0"/>
              <w:right w:val="single" w:color="auto" w:sz="6" w:space="0"/>
            </w:tcBorders>
            <w:vAlign w:val="center"/>
          </w:tcPr>
          <w:p>
            <w:pPr>
              <w:adjustRightInd w:val="0"/>
              <w:snapToGrid w:val="0"/>
              <w:jc w:val="center"/>
              <w:rPr>
                <w:szCs w:val="21"/>
              </w:rPr>
            </w:pPr>
            <w:r>
              <w:rPr>
                <w:szCs w:val="21"/>
              </w:rPr>
              <w:t>4</w:t>
            </w:r>
          </w:p>
        </w:tc>
        <w:tc>
          <w:tcPr>
            <w:tcW w:w="2160" w:type="dxa"/>
            <w:tcBorders>
              <w:top w:val="single" w:color="auto" w:sz="6" w:space="0"/>
              <w:left w:val="single" w:color="auto" w:sz="6" w:space="0"/>
              <w:bottom w:val="single" w:color="auto" w:sz="6" w:space="0"/>
              <w:right w:val="single" w:color="auto" w:sz="6" w:space="0"/>
            </w:tcBorders>
            <w:vAlign w:val="center"/>
          </w:tcPr>
          <w:p>
            <w:pPr>
              <w:adjustRightInd w:val="0"/>
              <w:snapToGrid w:val="0"/>
              <w:rPr>
                <w:szCs w:val="21"/>
              </w:rPr>
            </w:pPr>
            <w:r>
              <w:rPr>
                <w:szCs w:val="21"/>
              </w:rPr>
              <w:t>履约担保金额</w:t>
            </w:r>
          </w:p>
        </w:tc>
        <w:tc>
          <w:tcPr>
            <w:tcW w:w="5400" w:type="dxa"/>
            <w:tcBorders>
              <w:top w:val="single" w:color="auto" w:sz="6" w:space="0"/>
              <w:left w:val="single" w:color="auto" w:sz="6" w:space="0"/>
              <w:bottom w:val="single" w:color="auto" w:sz="6" w:space="0"/>
              <w:right w:val="double" w:color="auto" w:sz="4" w:space="0"/>
            </w:tcBorders>
            <w:vAlign w:val="center"/>
          </w:tcPr>
          <w:p>
            <w:pPr>
              <w:adjustRightInd w:val="0"/>
              <w:snapToGrid w:val="0"/>
              <w:rPr>
                <w:szCs w:val="21"/>
              </w:rPr>
            </w:pPr>
            <w:r>
              <w:rPr>
                <w:rFonts w:hint="eastAsia"/>
                <w:szCs w:val="21"/>
              </w:rPr>
              <w:t>无</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807" w:type="dxa"/>
            <w:tcBorders>
              <w:top w:val="single" w:color="auto" w:sz="6" w:space="0"/>
              <w:left w:val="double" w:color="auto" w:sz="4" w:space="0"/>
              <w:bottom w:val="single" w:color="auto" w:sz="6" w:space="0"/>
              <w:right w:val="single" w:color="auto" w:sz="6" w:space="0"/>
            </w:tcBorders>
            <w:vAlign w:val="center"/>
          </w:tcPr>
          <w:p>
            <w:pPr>
              <w:adjustRightInd w:val="0"/>
              <w:snapToGrid w:val="0"/>
              <w:jc w:val="center"/>
              <w:rPr>
                <w:szCs w:val="21"/>
              </w:rPr>
            </w:pPr>
            <w:r>
              <w:rPr>
                <w:szCs w:val="21"/>
              </w:rPr>
              <w:t>5</w:t>
            </w:r>
          </w:p>
        </w:tc>
        <w:tc>
          <w:tcPr>
            <w:tcW w:w="2160" w:type="dxa"/>
            <w:tcBorders>
              <w:top w:val="single" w:color="auto" w:sz="6" w:space="0"/>
              <w:left w:val="single" w:color="auto" w:sz="6" w:space="0"/>
              <w:bottom w:val="single" w:color="auto" w:sz="6" w:space="0"/>
              <w:right w:val="single" w:color="auto" w:sz="6" w:space="0"/>
            </w:tcBorders>
            <w:vAlign w:val="center"/>
          </w:tcPr>
          <w:p>
            <w:pPr>
              <w:adjustRightInd w:val="0"/>
              <w:snapToGrid w:val="0"/>
              <w:rPr>
                <w:szCs w:val="21"/>
              </w:rPr>
            </w:pPr>
            <w:r>
              <w:rPr>
                <w:szCs w:val="21"/>
              </w:rPr>
              <w:t>投标文件</w:t>
            </w:r>
          </w:p>
        </w:tc>
        <w:tc>
          <w:tcPr>
            <w:tcW w:w="5400" w:type="dxa"/>
            <w:tcBorders>
              <w:top w:val="single" w:color="auto" w:sz="6" w:space="0"/>
              <w:left w:val="single" w:color="auto" w:sz="6" w:space="0"/>
              <w:bottom w:val="single" w:color="auto" w:sz="6" w:space="0"/>
              <w:right w:val="double" w:color="auto" w:sz="4" w:space="0"/>
            </w:tcBorders>
            <w:vAlign w:val="center"/>
          </w:tcPr>
          <w:p>
            <w:pPr>
              <w:adjustRightInd w:val="0"/>
              <w:snapToGrid w:val="0"/>
              <w:spacing w:line="360" w:lineRule="auto"/>
              <w:rPr>
                <w:szCs w:val="21"/>
              </w:rPr>
            </w:pPr>
            <w:r>
              <w:rPr>
                <w:rFonts w:hint="eastAsia"/>
                <w:szCs w:val="21"/>
              </w:rPr>
              <w:t>投标文件正本</w:t>
            </w:r>
            <w:r>
              <w:rPr>
                <w:rFonts w:hint="eastAsia"/>
                <w:b/>
                <w:bCs/>
                <w:color w:val="FF0000"/>
                <w:szCs w:val="21"/>
              </w:rPr>
              <w:t>一</w:t>
            </w:r>
            <w:r>
              <w:rPr>
                <w:rFonts w:hint="eastAsia"/>
                <w:szCs w:val="21"/>
              </w:rPr>
              <w:t xml:space="preserve">份，副本 </w:t>
            </w:r>
            <w:r>
              <w:rPr>
                <w:rFonts w:hint="eastAsia"/>
                <w:b/>
                <w:bCs/>
                <w:color w:val="FF0000"/>
                <w:szCs w:val="21"/>
              </w:rPr>
              <w:t>四</w:t>
            </w:r>
            <w:r>
              <w:rPr>
                <w:rFonts w:hint="eastAsia"/>
                <w:szCs w:val="21"/>
              </w:rPr>
              <w:t xml:space="preserve"> 份，份数不足按废标处理。</w:t>
            </w:r>
          </w:p>
          <w:p>
            <w:pPr>
              <w:adjustRightInd w:val="0"/>
              <w:snapToGrid w:val="0"/>
              <w:spacing w:line="360" w:lineRule="auto"/>
              <w:rPr>
                <w:szCs w:val="21"/>
              </w:rPr>
            </w:pPr>
            <w:r>
              <w:rPr>
                <w:rFonts w:hint="eastAsia"/>
                <w:szCs w:val="21"/>
              </w:rPr>
              <w:t>投标文件采用A4版胶印装订，不得采用活页夹装订，投标文件中的任何一页不能是裁剪粘贴式的，否则按废标处理。</w:t>
            </w:r>
          </w:p>
          <w:p>
            <w:pPr>
              <w:adjustRightInd w:val="0"/>
              <w:snapToGrid w:val="0"/>
              <w:spacing w:line="360" w:lineRule="auto"/>
              <w:rPr>
                <w:szCs w:val="21"/>
              </w:rPr>
            </w:pPr>
            <w:r>
              <w:rPr>
                <w:rFonts w:hint="eastAsia"/>
                <w:szCs w:val="21"/>
              </w:rPr>
              <w:t>需要将投标一览表另外再单独密封一份提交。</w:t>
            </w:r>
          </w:p>
        </w:tc>
      </w:tr>
    </w:tbl>
    <w:p>
      <w:pPr>
        <w:rPr>
          <w:b/>
          <w:color w:val="FF0000"/>
        </w:rPr>
      </w:pPr>
      <w:r>
        <w:rPr>
          <w:rFonts w:hint="eastAsia"/>
          <w:szCs w:val="21"/>
        </w:rPr>
        <w:t>备注：本表为通用条款相关内容的补充和明确，如与通用条款相冲突的以本表为准。</w:t>
      </w:r>
    </w:p>
    <w:p>
      <w:pPr>
        <w:rPr>
          <w:b/>
          <w:color w:val="FF0000"/>
        </w:rPr>
      </w:pPr>
    </w:p>
    <w:p>
      <w:pPr>
        <w:pStyle w:val="5"/>
        <w:spacing w:before="120" w:beforeLines="50" w:after="120" w:afterLines="50"/>
        <w:rPr>
          <w:sz w:val="28"/>
          <w:szCs w:val="28"/>
        </w:rPr>
      </w:pPr>
      <w:bookmarkStart w:id="9" w:name="_Toc128884461"/>
      <w:r>
        <w:rPr>
          <w:rFonts w:hint="eastAsia"/>
          <w:sz w:val="28"/>
          <w:szCs w:val="28"/>
        </w:rPr>
        <w:t>二、招标项目概况</w:t>
      </w:r>
      <w:bookmarkEnd w:id="9"/>
    </w:p>
    <w:p>
      <w:pPr>
        <w:adjustRightInd w:val="0"/>
        <w:snapToGrid w:val="0"/>
        <w:spacing w:line="360" w:lineRule="auto"/>
        <w:ind w:firstLine="420" w:firstLineChars="200"/>
        <w:rPr>
          <w:szCs w:val="21"/>
        </w:rPr>
      </w:pPr>
      <w:r>
        <w:rPr>
          <w:szCs w:val="21"/>
        </w:rPr>
        <w:t>1、项目概况</w:t>
      </w:r>
    </w:p>
    <w:p>
      <w:pPr>
        <w:adjustRightInd w:val="0"/>
        <w:snapToGrid w:val="0"/>
        <w:spacing w:line="360" w:lineRule="auto"/>
        <w:ind w:firstLine="420" w:firstLineChars="200"/>
        <w:rPr>
          <w:b/>
          <w:bCs/>
          <w:color w:val="auto"/>
          <w:szCs w:val="21"/>
          <w:highlight w:val="none"/>
        </w:rPr>
      </w:pPr>
      <w:r>
        <w:rPr>
          <w:szCs w:val="21"/>
        </w:rPr>
        <w:t>主要工程内容有：</w:t>
      </w:r>
      <w:r>
        <w:rPr>
          <w:rFonts w:hint="eastAsia" w:ascii="宋体" w:hAnsi="宋体" w:cs="宋体"/>
          <w:b/>
          <w:bCs/>
          <w:color w:val="FF0000"/>
          <w:kern w:val="0"/>
          <w:szCs w:val="21"/>
          <w:highlight w:val="none"/>
        </w:rPr>
        <w:t>墙体拆除建造、水电线路改造、</w:t>
      </w:r>
      <w:r>
        <w:rPr>
          <w:rFonts w:hint="eastAsia" w:ascii="宋体" w:hAnsi="宋体" w:cs="宋体"/>
          <w:b/>
          <w:bCs/>
          <w:color w:val="FF0000"/>
          <w:kern w:val="0"/>
          <w:szCs w:val="21"/>
          <w:highlight w:val="none"/>
          <w:lang w:eastAsia="zh-CN"/>
        </w:rPr>
        <w:t>门扇柜体安装、天花地面处理、墙面造型设计</w:t>
      </w:r>
      <w:r>
        <w:rPr>
          <w:rFonts w:hint="eastAsia" w:ascii="宋体" w:hAnsi="宋体" w:cs="宋体"/>
          <w:b/>
          <w:bCs/>
          <w:color w:val="FF0000"/>
          <w:kern w:val="0"/>
          <w:szCs w:val="21"/>
          <w:highlight w:val="none"/>
        </w:rPr>
        <w:t>等装修</w:t>
      </w:r>
      <w:r>
        <w:rPr>
          <w:rFonts w:hint="eastAsia"/>
          <w:b/>
          <w:bCs/>
          <w:color w:val="FF0000"/>
          <w:szCs w:val="21"/>
          <w:highlight w:val="none"/>
        </w:rPr>
        <w:t>。</w:t>
      </w:r>
    </w:p>
    <w:p>
      <w:pPr>
        <w:adjustRightInd w:val="0"/>
        <w:snapToGrid w:val="0"/>
        <w:spacing w:line="360" w:lineRule="auto"/>
        <w:ind w:firstLine="420" w:firstLineChars="200"/>
        <w:rPr>
          <w:szCs w:val="21"/>
        </w:rPr>
      </w:pPr>
      <w:r>
        <w:rPr>
          <w:szCs w:val="21"/>
        </w:rPr>
        <w:t>2、采购人：</w:t>
      </w:r>
      <w:r>
        <w:rPr>
          <w:rFonts w:hint="eastAsia"/>
          <w:szCs w:val="21"/>
        </w:rPr>
        <w:t>深圳市深大体育文化发展有限公司</w:t>
      </w:r>
    </w:p>
    <w:p>
      <w:pPr>
        <w:adjustRightInd w:val="0"/>
        <w:snapToGrid w:val="0"/>
        <w:spacing w:line="360" w:lineRule="auto"/>
        <w:ind w:firstLine="420" w:firstLineChars="200"/>
        <w:rPr>
          <w:szCs w:val="21"/>
        </w:rPr>
      </w:pPr>
      <w:r>
        <w:rPr>
          <w:szCs w:val="21"/>
        </w:rPr>
        <w:t>3、工期要求：</w:t>
      </w:r>
      <w:r>
        <w:rPr>
          <w:rFonts w:hint="eastAsia"/>
          <w:szCs w:val="21"/>
        </w:rPr>
        <w:t>总工期为</w:t>
      </w:r>
      <w:r>
        <w:rPr>
          <w:rFonts w:hint="eastAsia"/>
          <w:b/>
          <w:bCs/>
          <w:color w:val="auto"/>
          <w:szCs w:val="21"/>
          <w:highlight w:val="yellow"/>
        </w:rPr>
        <w:t>35</w:t>
      </w:r>
      <w:r>
        <w:rPr>
          <w:rFonts w:hint="eastAsia"/>
          <w:szCs w:val="21"/>
        </w:rPr>
        <w:t>天以内，具体开工时间以建设方通知为准。</w:t>
      </w:r>
    </w:p>
    <w:p>
      <w:pPr>
        <w:adjustRightInd w:val="0"/>
        <w:snapToGrid w:val="0"/>
        <w:spacing w:line="360" w:lineRule="auto"/>
        <w:ind w:firstLine="420" w:firstLineChars="200"/>
        <w:rPr>
          <w:szCs w:val="21"/>
        </w:rPr>
      </w:pPr>
      <w:r>
        <w:rPr>
          <w:szCs w:val="21"/>
        </w:rPr>
        <w:t>4、合同方式：</w:t>
      </w:r>
      <w:bookmarkStart w:id="10" w:name="合同方式"/>
    </w:p>
    <w:p>
      <w:pPr>
        <w:pStyle w:val="7"/>
        <w:adjustRightInd w:val="0"/>
        <w:snapToGrid w:val="0"/>
        <w:spacing w:line="360" w:lineRule="auto"/>
        <w:ind w:firstLine="392" w:firstLineChars="187"/>
        <w:rPr>
          <w:b w:val="0"/>
          <w:bCs w:val="0"/>
          <w:color w:val="auto"/>
          <w:szCs w:val="21"/>
        </w:rPr>
      </w:pPr>
      <w:r>
        <w:rPr>
          <w:b w:val="0"/>
          <w:bCs w:val="0"/>
          <w:color w:val="auto"/>
          <w:szCs w:val="21"/>
        </w:rPr>
        <w:t>（1）固定单价合同，</w:t>
      </w:r>
      <w:bookmarkEnd w:id="10"/>
      <w:r>
        <w:rPr>
          <w:b w:val="0"/>
          <w:bCs w:val="0"/>
          <w:color w:val="auto"/>
          <w:szCs w:val="21"/>
        </w:rPr>
        <w:t xml:space="preserve">工程结算时，项目单价不做调整，按实际完成的工程量结算； </w:t>
      </w:r>
    </w:p>
    <w:p>
      <w:pPr>
        <w:pStyle w:val="7"/>
        <w:adjustRightInd w:val="0"/>
        <w:snapToGrid w:val="0"/>
        <w:spacing w:line="360" w:lineRule="auto"/>
        <w:ind w:firstLine="392" w:firstLineChars="187"/>
        <w:rPr>
          <w:b w:val="0"/>
          <w:bCs w:val="0"/>
          <w:color w:val="auto"/>
          <w:szCs w:val="21"/>
        </w:rPr>
      </w:pPr>
      <w:r>
        <w:rPr>
          <w:b w:val="0"/>
          <w:bCs w:val="0"/>
          <w:color w:val="auto"/>
          <w:szCs w:val="21"/>
        </w:rPr>
        <w:t>（2）总价合同，工程结算时，工程变更在5%之内，结算不做调整；</w:t>
      </w:r>
    </w:p>
    <w:p>
      <w:pPr>
        <w:pStyle w:val="7"/>
        <w:adjustRightInd w:val="0"/>
        <w:snapToGrid w:val="0"/>
        <w:spacing w:line="360" w:lineRule="auto"/>
        <w:ind w:firstLine="392" w:firstLineChars="187"/>
        <w:rPr>
          <w:szCs w:val="21"/>
        </w:rPr>
      </w:pPr>
      <w:r>
        <w:t>本项目选用方式</w:t>
      </w:r>
      <w:r>
        <w:rPr>
          <w:b/>
          <w:bCs/>
          <w:color w:val="FF0000"/>
          <w:u w:val="single"/>
        </w:rPr>
        <w:t>（1）</w:t>
      </w:r>
      <w:r>
        <w:t>。</w:t>
      </w:r>
    </w:p>
    <w:p>
      <w:pPr>
        <w:pStyle w:val="7"/>
        <w:spacing w:before="60" w:beforeLines="25" w:after="60" w:afterLines="25"/>
        <w:ind w:firstLine="392" w:firstLineChars="187"/>
        <w:rPr>
          <w:szCs w:val="21"/>
        </w:rPr>
      </w:pPr>
    </w:p>
    <w:p>
      <w:pPr>
        <w:pStyle w:val="5"/>
        <w:spacing w:before="120" w:beforeLines="50" w:after="120" w:afterLines="50"/>
        <w:rPr>
          <w:rFonts w:ascii="Times New Roman" w:hAnsi="Times New Roman"/>
          <w:sz w:val="28"/>
          <w:szCs w:val="28"/>
        </w:rPr>
      </w:pPr>
      <w:r>
        <w:rPr>
          <w:rFonts w:ascii="Times New Roman" w:hAnsi="Times New Roman"/>
          <w:sz w:val="28"/>
          <w:szCs w:val="28"/>
        </w:rPr>
        <w:t>三、项目技术要求</w:t>
      </w:r>
    </w:p>
    <w:p>
      <w:pPr>
        <w:adjustRightInd w:val="0"/>
        <w:snapToGrid w:val="0"/>
        <w:spacing w:line="360" w:lineRule="auto"/>
        <w:ind w:firstLine="210" w:firstLineChars="100"/>
        <w:rPr>
          <w:b/>
          <w:bCs/>
          <w:color w:val="FF0000"/>
          <w:szCs w:val="21"/>
          <w:highlight w:val="yellow"/>
        </w:rPr>
      </w:pPr>
      <w:r>
        <w:rPr>
          <w:szCs w:val="21"/>
        </w:rPr>
        <w:t>一、主要工作：</w:t>
      </w:r>
      <w:r>
        <w:rPr>
          <w:rFonts w:hint="eastAsia" w:ascii="宋体" w:hAnsi="宋体" w:cs="宋体"/>
          <w:b/>
          <w:bCs/>
          <w:color w:val="FF0000"/>
          <w:kern w:val="0"/>
          <w:szCs w:val="21"/>
          <w:highlight w:val="none"/>
        </w:rPr>
        <w:t>墙体拆除建造、水电线路改造、</w:t>
      </w:r>
      <w:r>
        <w:rPr>
          <w:rFonts w:hint="eastAsia" w:ascii="宋体" w:hAnsi="宋体" w:cs="宋体"/>
          <w:b/>
          <w:bCs/>
          <w:color w:val="FF0000"/>
          <w:kern w:val="0"/>
          <w:szCs w:val="21"/>
          <w:highlight w:val="none"/>
          <w:lang w:eastAsia="zh-CN"/>
        </w:rPr>
        <w:t>门扇柜体安装、天花地面处理、墙面造型设计</w:t>
      </w:r>
      <w:r>
        <w:rPr>
          <w:rFonts w:hint="eastAsia" w:ascii="宋体" w:hAnsi="宋体" w:cs="宋体"/>
          <w:b/>
          <w:bCs/>
          <w:color w:val="FF0000"/>
          <w:kern w:val="0"/>
          <w:szCs w:val="21"/>
          <w:highlight w:val="none"/>
        </w:rPr>
        <w:t>等装修</w:t>
      </w:r>
      <w:r>
        <w:rPr>
          <w:rFonts w:hint="eastAsia"/>
          <w:b/>
          <w:bCs/>
          <w:color w:val="FF0000"/>
          <w:szCs w:val="21"/>
          <w:highlight w:val="none"/>
        </w:rPr>
        <w:t>。</w:t>
      </w:r>
    </w:p>
    <w:p>
      <w:pPr>
        <w:adjustRightInd w:val="0"/>
        <w:snapToGrid w:val="0"/>
        <w:spacing w:line="360" w:lineRule="auto"/>
        <w:ind w:firstLine="210" w:firstLineChars="100"/>
        <w:rPr>
          <w:b w:val="0"/>
          <w:bCs w:val="0"/>
          <w:color w:val="auto"/>
          <w:highlight w:val="none"/>
          <w:u w:val="single"/>
        </w:rPr>
      </w:pPr>
      <w:r>
        <w:rPr>
          <w:b w:val="0"/>
          <w:bCs w:val="0"/>
          <w:color w:val="auto"/>
          <w:highlight w:val="none"/>
          <w:u w:val="single"/>
        </w:rPr>
        <w:t>二、主材参考品牌如下：</w:t>
      </w:r>
    </w:p>
    <w:tbl>
      <w:tblPr>
        <w:tblStyle w:val="5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30" w:type="dxa"/>
          <w:bottom w:w="0" w:type="dxa"/>
          <w:right w:w="30" w:type="dxa"/>
        </w:tblCellMar>
      </w:tblPr>
      <w:tblGrid>
        <w:gridCol w:w="1531"/>
        <w:gridCol w:w="2717"/>
        <w:gridCol w:w="4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54" w:hRule="atLeast"/>
          <w:jc w:val="center"/>
        </w:trPr>
        <w:tc>
          <w:tcPr>
            <w:tcW w:w="1531" w:type="dxa"/>
            <w:vAlign w:val="center"/>
          </w:tcPr>
          <w:p>
            <w:pPr>
              <w:autoSpaceDE w:val="0"/>
              <w:autoSpaceDN w:val="0"/>
              <w:adjustRightInd w:val="0"/>
              <w:jc w:val="center"/>
              <w:rPr>
                <w:b/>
                <w:bCs/>
                <w:color w:val="auto"/>
                <w:kern w:val="0"/>
                <w:szCs w:val="21"/>
                <w:lang w:val="zh-CN"/>
              </w:rPr>
            </w:pPr>
            <w:r>
              <w:rPr>
                <w:b/>
                <w:bCs/>
                <w:color w:val="auto"/>
                <w:kern w:val="0"/>
                <w:szCs w:val="21"/>
              </w:rPr>
              <w:t>序号</w:t>
            </w:r>
          </w:p>
        </w:tc>
        <w:tc>
          <w:tcPr>
            <w:tcW w:w="2717" w:type="dxa"/>
            <w:vAlign w:val="center"/>
          </w:tcPr>
          <w:p>
            <w:pPr>
              <w:autoSpaceDE w:val="0"/>
              <w:autoSpaceDN w:val="0"/>
              <w:adjustRightInd w:val="0"/>
              <w:jc w:val="center"/>
              <w:rPr>
                <w:b/>
                <w:bCs/>
                <w:color w:val="auto"/>
                <w:kern w:val="0"/>
                <w:szCs w:val="21"/>
                <w:lang w:val="zh-CN"/>
              </w:rPr>
            </w:pPr>
            <w:r>
              <w:rPr>
                <w:b/>
                <w:bCs/>
                <w:color w:val="auto"/>
                <w:kern w:val="0"/>
                <w:szCs w:val="21"/>
              </w:rPr>
              <w:t>名称</w:t>
            </w:r>
          </w:p>
        </w:tc>
        <w:tc>
          <w:tcPr>
            <w:tcW w:w="4042" w:type="dxa"/>
            <w:vAlign w:val="center"/>
          </w:tcPr>
          <w:p>
            <w:pPr>
              <w:autoSpaceDE w:val="0"/>
              <w:autoSpaceDN w:val="0"/>
              <w:adjustRightInd w:val="0"/>
              <w:jc w:val="center"/>
              <w:rPr>
                <w:b/>
                <w:bCs/>
                <w:color w:val="auto"/>
                <w:kern w:val="0"/>
                <w:szCs w:val="21"/>
                <w:lang w:val="zh-CN"/>
              </w:rPr>
            </w:pPr>
            <w:r>
              <w:rPr>
                <w:b/>
                <w:bCs/>
                <w:color w:val="auto"/>
                <w:kern w:val="0"/>
                <w:szCs w:val="21"/>
              </w:rPr>
              <w:t>推荐材料品牌(三个同等品牌)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54" w:hRule="atLeast"/>
          <w:jc w:val="center"/>
        </w:trPr>
        <w:tc>
          <w:tcPr>
            <w:tcW w:w="1531" w:type="dxa"/>
            <w:shd w:val="clear" w:color="auto" w:fill="auto"/>
            <w:vAlign w:val="center"/>
          </w:tcPr>
          <w:p>
            <w:pPr>
              <w:autoSpaceDE w:val="0"/>
              <w:autoSpaceDN w:val="0"/>
              <w:jc w:val="center"/>
              <w:rPr>
                <w:color w:val="auto"/>
                <w:szCs w:val="21"/>
              </w:rPr>
            </w:pPr>
            <w:r>
              <w:rPr>
                <w:color w:val="auto"/>
                <w:szCs w:val="21"/>
              </w:rPr>
              <w:t>1</w:t>
            </w:r>
          </w:p>
        </w:tc>
        <w:tc>
          <w:tcPr>
            <w:tcW w:w="2717" w:type="dxa"/>
            <w:shd w:val="clear" w:color="auto" w:fill="auto"/>
            <w:vAlign w:val="center"/>
          </w:tcPr>
          <w:p>
            <w:pPr>
              <w:jc w:val="center"/>
              <w:rPr>
                <w:color w:val="auto"/>
                <w:szCs w:val="21"/>
              </w:rPr>
            </w:pPr>
            <w:r>
              <w:rPr>
                <w:color w:val="auto"/>
                <w:szCs w:val="21"/>
              </w:rPr>
              <w:t>玻璃</w:t>
            </w:r>
          </w:p>
        </w:tc>
        <w:tc>
          <w:tcPr>
            <w:tcW w:w="4042" w:type="dxa"/>
            <w:shd w:val="clear" w:color="auto" w:fill="auto"/>
            <w:vAlign w:val="center"/>
          </w:tcPr>
          <w:p>
            <w:pPr>
              <w:jc w:val="center"/>
              <w:rPr>
                <w:color w:val="auto"/>
                <w:szCs w:val="21"/>
              </w:rPr>
            </w:pPr>
            <w:r>
              <w:rPr>
                <w:color w:val="auto"/>
                <w:szCs w:val="21"/>
              </w:rPr>
              <w:t>福耀、南玻、信义</w:t>
            </w:r>
            <w:r>
              <w:rPr>
                <w:rFonts w:hint="eastAsia"/>
                <w:color w:val="auto"/>
                <w:szCs w:val="21"/>
              </w:rPr>
              <w:t>、</w:t>
            </w:r>
            <w:r>
              <w:rPr>
                <w:color w:val="auto"/>
                <w:szCs w:val="21"/>
              </w:rPr>
              <w:t>台玻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54" w:hRule="atLeast"/>
          <w:jc w:val="center"/>
        </w:trPr>
        <w:tc>
          <w:tcPr>
            <w:tcW w:w="1531" w:type="dxa"/>
            <w:shd w:val="clear" w:color="auto" w:fill="auto"/>
            <w:vAlign w:val="center"/>
          </w:tcPr>
          <w:p>
            <w:pPr>
              <w:widowControl/>
              <w:jc w:val="center"/>
              <w:rPr>
                <w:color w:val="auto"/>
                <w:szCs w:val="21"/>
              </w:rPr>
            </w:pPr>
            <w:r>
              <w:rPr>
                <w:color w:val="auto"/>
                <w:szCs w:val="21"/>
              </w:rPr>
              <w:t>2</w:t>
            </w:r>
          </w:p>
        </w:tc>
        <w:tc>
          <w:tcPr>
            <w:tcW w:w="2717" w:type="dxa"/>
            <w:shd w:val="clear" w:color="auto" w:fill="auto"/>
            <w:vAlign w:val="center"/>
          </w:tcPr>
          <w:p>
            <w:pPr>
              <w:jc w:val="center"/>
              <w:rPr>
                <w:color w:val="auto"/>
                <w:szCs w:val="21"/>
              </w:rPr>
            </w:pPr>
            <w:r>
              <w:rPr>
                <w:color w:val="auto"/>
                <w:szCs w:val="21"/>
              </w:rPr>
              <w:t>木夹板</w:t>
            </w:r>
          </w:p>
        </w:tc>
        <w:tc>
          <w:tcPr>
            <w:tcW w:w="4042" w:type="dxa"/>
            <w:shd w:val="clear" w:color="auto" w:fill="auto"/>
            <w:vAlign w:val="center"/>
          </w:tcPr>
          <w:p>
            <w:pPr>
              <w:adjustRightInd w:val="0"/>
              <w:snapToGrid w:val="0"/>
              <w:jc w:val="center"/>
              <w:rPr>
                <w:color w:val="auto"/>
                <w:szCs w:val="21"/>
              </w:rPr>
            </w:pPr>
            <w:r>
              <w:rPr>
                <w:color w:val="auto"/>
                <w:szCs w:val="21"/>
              </w:rPr>
              <w:t>伟业</w:t>
            </w:r>
            <w:r>
              <w:rPr>
                <w:rFonts w:hint="eastAsia"/>
                <w:color w:val="auto"/>
                <w:szCs w:val="21"/>
              </w:rPr>
              <w:t>、广丰、</w:t>
            </w:r>
            <w:r>
              <w:rPr>
                <w:color w:val="auto"/>
                <w:szCs w:val="21"/>
              </w:rPr>
              <w:t>福江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54" w:hRule="atLeast"/>
          <w:jc w:val="center"/>
        </w:trPr>
        <w:tc>
          <w:tcPr>
            <w:tcW w:w="1531" w:type="dxa"/>
            <w:shd w:val="clear" w:color="auto" w:fill="auto"/>
            <w:vAlign w:val="center"/>
          </w:tcPr>
          <w:p>
            <w:pPr>
              <w:widowControl/>
              <w:jc w:val="center"/>
              <w:rPr>
                <w:color w:val="auto"/>
                <w:szCs w:val="21"/>
              </w:rPr>
            </w:pPr>
            <w:r>
              <w:rPr>
                <w:color w:val="auto"/>
                <w:szCs w:val="21"/>
              </w:rPr>
              <w:t>3</w:t>
            </w:r>
          </w:p>
        </w:tc>
        <w:tc>
          <w:tcPr>
            <w:tcW w:w="2717" w:type="dxa"/>
            <w:shd w:val="clear" w:color="auto" w:fill="auto"/>
            <w:vAlign w:val="center"/>
          </w:tcPr>
          <w:p>
            <w:pPr>
              <w:jc w:val="center"/>
              <w:rPr>
                <w:color w:val="auto"/>
                <w:szCs w:val="21"/>
              </w:rPr>
            </w:pPr>
            <w:r>
              <w:rPr>
                <w:color w:val="auto"/>
                <w:szCs w:val="21"/>
              </w:rPr>
              <w:t>石膏板</w:t>
            </w:r>
          </w:p>
        </w:tc>
        <w:tc>
          <w:tcPr>
            <w:tcW w:w="4042" w:type="dxa"/>
            <w:shd w:val="clear" w:color="auto" w:fill="auto"/>
            <w:vAlign w:val="center"/>
          </w:tcPr>
          <w:p>
            <w:pPr>
              <w:adjustRightInd w:val="0"/>
              <w:snapToGrid w:val="0"/>
              <w:jc w:val="center"/>
              <w:rPr>
                <w:color w:val="auto"/>
                <w:szCs w:val="21"/>
              </w:rPr>
            </w:pPr>
            <w:r>
              <w:rPr>
                <w:color w:val="auto"/>
                <w:szCs w:val="21"/>
              </w:rPr>
              <w:t>可耐福、北新建材</w:t>
            </w:r>
            <w:r>
              <w:rPr>
                <w:rFonts w:hint="eastAsia"/>
                <w:color w:val="auto"/>
                <w:szCs w:val="21"/>
              </w:rPr>
              <w:t>、</w:t>
            </w:r>
            <w:r>
              <w:rPr>
                <w:color w:val="auto"/>
                <w:szCs w:val="21"/>
              </w:rPr>
              <w:t>拉法基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54" w:hRule="atLeast"/>
          <w:jc w:val="center"/>
        </w:trPr>
        <w:tc>
          <w:tcPr>
            <w:tcW w:w="1531" w:type="dxa"/>
            <w:shd w:val="clear" w:color="auto" w:fill="auto"/>
            <w:vAlign w:val="center"/>
          </w:tcPr>
          <w:p>
            <w:pPr>
              <w:widowControl/>
              <w:jc w:val="center"/>
              <w:rPr>
                <w:color w:val="auto"/>
                <w:szCs w:val="21"/>
              </w:rPr>
            </w:pPr>
            <w:r>
              <w:rPr>
                <w:color w:val="auto"/>
                <w:szCs w:val="21"/>
              </w:rPr>
              <w:t>4</w:t>
            </w:r>
          </w:p>
        </w:tc>
        <w:tc>
          <w:tcPr>
            <w:tcW w:w="2717" w:type="dxa"/>
            <w:shd w:val="clear" w:color="auto" w:fill="auto"/>
            <w:vAlign w:val="center"/>
          </w:tcPr>
          <w:p>
            <w:pPr>
              <w:jc w:val="center"/>
              <w:rPr>
                <w:color w:val="auto"/>
                <w:szCs w:val="21"/>
              </w:rPr>
            </w:pPr>
            <w:r>
              <w:rPr>
                <w:color w:val="auto"/>
                <w:szCs w:val="21"/>
              </w:rPr>
              <w:t>水泥</w:t>
            </w:r>
          </w:p>
        </w:tc>
        <w:tc>
          <w:tcPr>
            <w:tcW w:w="4042" w:type="dxa"/>
            <w:shd w:val="clear" w:color="auto" w:fill="auto"/>
            <w:vAlign w:val="center"/>
          </w:tcPr>
          <w:p>
            <w:pPr>
              <w:adjustRightInd w:val="0"/>
              <w:snapToGrid w:val="0"/>
              <w:jc w:val="center"/>
              <w:rPr>
                <w:color w:val="auto"/>
                <w:szCs w:val="21"/>
              </w:rPr>
            </w:pPr>
            <w:r>
              <w:rPr>
                <w:color w:val="auto"/>
                <w:szCs w:val="21"/>
              </w:rPr>
              <w:t>海螺、丰用、红水河、华新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54" w:hRule="atLeast"/>
          <w:jc w:val="center"/>
        </w:trPr>
        <w:tc>
          <w:tcPr>
            <w:tcW w:w="1531" w:type="dxa"/>
            <w:shd w:val="clear" w:color="auto" w:fill="auto"/>
            <w:vAlign w:val="center"/>
          </w:tcPr>
          <w:p>
            <w:pPr>
              <w:widowControl/>
              <w:jc w:val="center"/>
              <w:rPr>
                <w:color w:val="auto"/>
                <w:szCs w:val="21"/>
              </w:rPr>
            </w:pPr>
            <w:r>
              <w:rPr>
                <w:color w:val="auto"/>
                <w:szCs w:val="21"/>
              </w:rPr>
              <w:t>5</w:t>
            </w:r>
          </w:p>
        </w:tc>
        <w:tc>
          <w:tcPr>
            <w:tcW w:w="2717" w:type="dxa"/>
            <w:shd w:val="clear" w:color="auto" w:fill="auto"/>
            <w:vAlign w:val="center"/>
          </w:tcPr>
          <w:p>
            <w:pPr>
              <w:jc w:val="center"/>
              <w:rPr>
                <w:color w:val="auto"/>
                <w:szCs w:val="21"/>
              </w:rPr>
            </w:pPr>
            <w:r>
              <w:rPr>
                <w:color w:val="auto"/>
                <w:szCs w:val="21"/>
              </w:rPr>
              <w:t>地板砖、墙面瓷片</w:t>
            </w:r>
          </w:p>
        </w:tc>
        <w:tc>
          <w:tcPr>
            <w:tcW w:w="4042" w:type="dxa"/>
            <w:shd w:val="clear" w:color="auto" w:fill="auto"/>
            <w:vAlign w:val="center"/>
          </w:tcPr>
          <w:p>
            <w:pPr>
              <w:adjustRightInd w:val="0"/>
              <w:snapToGrid w:val="0"/>
              <w:jc w:val="center"/>
              <w:rPr>
                <w:color w:val="auto"/>
                <w:szCs w:val="21"/>
              </w:rPr>
            </w:pPr>
            <w:r>
              <w:rPr>
                <w:color w:val="auto"/>
                <w:szCs w:val="21"/>
              </w:rPr>
              <w:t>鹰牌、冠珠、东鹏、蒙娜丽莎、新中源、嘉俊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54" w:hRule="atLeast"/>
          <w:jc w:val="center"/>
        </w:trPr>
        <w:tc>
          <w:tcPr>
            <w:tcW w:w="1531" w:type="dxa"/>
            <w:shd w:val="clear" w:color="auto" w:fill="auto"/>
            <w:vAlign w:val="center"/>
          </w:tcPr>
          <w:p>
            <w:pPr>
              <w:widowControl/>
              <w:jc w:val="center"/>
              <w:rPr>
                <w:color w:val="auto"/>
                <w:szCs w:val="21"/>
              </w:rPr>
            </w:pPr>
            <w:r>
              <w:rPr>
                <w:color w:val="auto"/>
                <w:szCs w:val="21"/>
              </w:rPr>
              <w:t>6</w:t>
            </w:r>
          </w:p>
        </w:tc>
        <w:tc>
          <w:tcPr>
            <w:tcW w:w="2717" w:type="dxa"/>
            <w:shd w:val="clear" w:color="auto" w:fill="auto"/>
            <w:vAlign w:val="center"/>
          </w:tcPr>
          <w:p>
            <w:pPr>
              <w:jc w:val="center"/>
              <w:rPr>
                <w:color w:val="auto"/>
                <w:szCs w:val="21"/>
              </w:rPr>
            </w:pPr>
            <w:r>
              <w:rPr>
                <w:color w:val="auto"/>
                <w:szCs w:val="21"/>
              </w:rPr>
              <w:t>自流平</w:t>
            </w:r>
          </w:p>
        </w:tc>
        <w:tc>
          <w:tcPr>
            <w:tcW w:w="4042" w:type="dxa"/>
            <w:shd w:val="clear" w:color="auto" w:fill="auto"/>
            <w:vAlign w:val="center"/>
          </w:tcPr>
          <w:p>
            <w:pPr>
              <w:adjustRightInd w:val="0"/>
              <w:snapToGrid w:val="0"/>
              <w:jc w:val="center"/>
              <w:rPr>
                <w:color w:val="auto"/>
                <w:szCs w:val="21"/>
              </w:rPr>
            </w:pPr>
            <w:r>
              <w:rPr>
                <w:color w:val="auto"/>
                <w:szCs w:val="21"/>
                <w:shd w:val="clear" w:color="auto" w:fill="FFFFFF"/>
              </w:rPr>
              <w:t>高登、鼎极、HL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54" w:hRule="atLeast"/>
          <w:jc w:val="center"/>
        </w:trPr>
        <w:tc>
          <w:tcPr>
            <w:tcW w:w="1531" w:type="dxa"/>
            <w:shd w:val="clear" w:color="auto" w:fill="auto"/>
            <w:vAlign w:val="center"/>
          </w:tcPr>
          <w:p>
            <w:pPr>
              <w:widowControl/>
              <w:jc w:val="center"/>
              <w:rPr>
                <w:color w:val="auto"/>
                <w:szCs w:val="21"/>
              </w:rPr>
            </w:pPr>
            <w:r>
              <w:rPr>
                <w:color w:val="auto"/>
                <w:szCs w:val="21"/>
              </w:rPr>
              <w:t>7</w:t>
            </w:r>
          </w:p>
        </w:tc>
        <w:tc>
          <w:tcPr>
            <w:tcW w:w="2717" w:type="dxa"/>
            <w:shd w:val="clear" w:color="auto" w:fill="auto"/>
            <w:vAlign w:val="center"/>
          </w:tcPr>
          <w:p>
            <w:pPr>
              <w:jc w:val="center"/>
              <w:rPr>
                <w:color w:val="auto"/>
                <w:szCs w:val="21"/>
              </w:rPr>
            </w:pPr>
            <w:r>
              <w:rPr>
                <w:color w:val="auto"/>
                <w:szCs w:val="21"/>
              </w:rPr>
              <w:t>涂料</w:t>
            </w:r>
          </w:p>
        </w:tc>
        <w:tc>
          <w:tcPr>
            <w:tcW w:w="4042" w:type="dxa"/>
            <w:shd w:val="clear" w:color="auto" w:fill="auto"/>
            <w:vAlign w:val="center"/>
          </w:tcPr>
          <w:p>
            <w:pPr>
              <w:adjustRightInd w:val="0"/>
              <w:snapToGrid w:val="0"/>
              <w:jc w:val="center"/>
              <w:rPr>
                <w:color w:val="auto"/>
                <w:szCs w:val="21"/>
              </w:rPr>
            </w:pPr>
            <w:r>
              <w:rPr>
                <w:color w:val="auto"/>
                <w:szCs w:val="21"/>
              </w:rPr>
              <w:t>华润、紫荆花、海虹老人头，美时丽</w:t>
            </w:r>
            <w:r>
              <w:rPr>
                <w:rFonts w:hint="eastAsia"/>
                <w:color w:val="auto"/>
                <w:szCs w:val="21"/>
              </w:rPr>
              <w:t>，多乐士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54" w:hRule="atLeast"/>
          <w:jc w:val="center"/>
        </w:trPr>
        <w:tc>
          <w:tcPr>
            <w:tcW w:w="1531" w:type="dxa"/>
            <w:shd w:val="clear" w:color="auto" w:fill="auto"/>
            <w:vAlign w:val="center"/>
          </w:tcPr>
          <w:p>
            <w:pPr>
              <w:widowControl/>
              <w:jc w:val="center"/>
              <w:rPr>
                <w:color w:val="auto"/>
                <w:szCs w:val="21"/>
              </w:rPr>
            </w:pPr>
            <w:r>
              <w:rPr>
                <w:color w:val="auto"/>
                <w:szCs w:val="21"/>
              </w:rPr>
              <w:t>8</w:t>
            </w:r>
          </w:p>
        </w:tc>
        <w:tc>
          <w:tcPr>
            <w:tcW w:w="2717" w:type="dxa"/>
            <w:shd w:val="clear" w:color="auto" w:fill="auto"/>
            <w:vAlign w:val="center"/>
          </w:tcPr>
          <w:p>
            <w:pPr>
              <w:jc w:val="center"/>
              <w:rPr>
                <w:color w:val="auto"/>
                <w:szCs w:val="21"/>
              </w:rPr>
            </w:pPr>
            <w:r>
              <w:rPr>
                <w:color w:val="auto"/>
                <w:szCs w:val="21"/>
              </w:rPr>
              <w:t>铝合金材</w:t>
            </w:r>
          </w:p>
        </w:tc>
        <w:tc>
          <w:tcPr>
            <w:tcW w:w="4042" w:type="dxa"/>
            <w:shd w:val="clear" w:color="auto" w:fill="auto"/>
            <w:vAlign w:val="center"/>
          </w:tcPr>
          <w:p>
            <w:pPr>
              <w:adjustRightInd w:val="0"/>
              <w:snapToGrid w:val="0"/>
              <w:jc w:val="center"/>
              <w:rPr>
                <w:color w:val="auto"/>
                <w:szCs w:val="21"/>
              </w:rPr>
            </w:pPr>
            <w:r>
              <w:rPr>
                <w:color w:val="auto"/>
                <w:szCs w:val="21"/>
              </w:rPr>
              <w:t>坚美、经阁、华加日、凤铝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54" w:hRule="atLeast"/>
          <w:jc w:val="center"/>
        </w:trPr>
        <w:tc>
          <w:tcPr>
            <w:tcW w:w="1531" w:type="dxa"/>
            <w:shd w:val="clear" w:color="auto" w:fill="auto"/>
            <w:vAlign w:val="center"/>
          </w:tcPr>
          <w:p>
            <w:pPr>
              <w:widowControl/>
              <w:jc w:val="center"/>
              <w:rPr>
                <w:color w:val="auto"/>
                <w:szCs w:val="21"/>
              </w:rPr>
            </w:pPr>
            <w:r>
              <w:rPr>
                <w:color w:val="auto"/>
                <w:szCs w:val="21"/>
              </w:rPr>
              <w:t>9</w:t>
            </w:r>
          </w:p>
        </w:tc>
        <w:tc>
          <w:tcPr>
            <w:tcW w:w="2717" w:type="dxa"/>
            <w:shd w:val="clear" w:color="auto" w:fill="auto"/>
            <w:vAlign w:val="center"/>
          </w:tcPr>
          <w:p>
            <w:pPr>
              <w:jc w:val="center"/>
              <w:rPr>
                <w:color w:val="auto"/>
                <w:szCs w:val="21"/>
              </w:rPr>
            </w:pPr>
            <w:r>
              <w:rPr>
                <w:color w:val="auto"/>
                <w:szCs w:val="21"/>
              </w:rPr>
              <w:t>地弹簧玻璃门</w:t>
            </w:r>
          </w:p>
        </w:tc>
        <w:tc>
          <w:tcPr>
            <w:tcW w:w="4042" w:type="dxa"/>
            <w:shd w:val="clear" w:color="auto" w:fill="auto"/>
            <w:vAlign w:val="center"/>
          </w:tcPr>
          <w:p>
            <w:pPr>
              <w:adjustRightInd w:val="0"/>
              <w:snapToGrid w:val="0"/>
              <w:jc w:val="center"/>
              <w:rPr>
                <w:color w:val="auto"/>
                <w:szCs w:val="21"/>
              </w:rPr>
            </w:pPr>
            <w:r>
              <w:rPr>
                <w:color w:val="auto"/>
                <w:szCs w:val="21"/>
                <w:shd w:val="clear" w:color="auto" w:fill="FFFFFF"/>
              </w:rPr>
              <w:t>皇冠、金扉、多玛、英格索兰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54" w:hRule="atLeast"/>
          <w:jc w:val="center"/>
        </w:trPr>
        <w:tc>
          <w:tcPr>
            <w:tcW w:w="1531" w:type="dxa"/>
            <w:shd w:val="clear" w:color="auto" w:fill="auto"/>
            <w:vAlign w:val="center"/>
          </w:tcPr>
          <w:p>
            <w:pPr>
              <w:widowControl/>
              <w:jc w:val="center"/>
              <w:rPr>
                <w:color w:val="auto"/>
                <w:szCs w:val="21"/>
              </w:rPr>
            </w:pPr>
            <w:r>
              <w:rPr>
                <w:color w:val="auto"/>
                <w:szCs w:val="21"/>
              </w:rPr>
              <w:t>10</w:t>
            </w:r>
          </w:p>
        </w:tc>
        <w:tc>
          <w:tcPr>
            <w:tcW w:w="2717" w:type="dxa"/>
            <w:shd w:val="clear" w:color="auto" w:fill="auto"/>
            <w:vAlign w:val="center"/>
          </w:tcPr>
          <w:p>
            <w:pPr>
              <w:jc w:val="center"/>
              <w:rPr>
                <w:color w:val="auto"/>
                <w:szCs w:val="21"/>
              </w:rPr>
            </w:pPr>
            <w:r>
              <w:rPr>
                <w:color w:val="auto"/>
                <w:szCs w:val="21"/>
              </w:rPr>
              <w:t>断路器</w:t>
            </w:r>
          </w:p>
        </w:tc>
        <w:tc>
          <w:tcPr>
            <w:tcW w:w="4042" w:type="dxa"/>
            <w:shd w:val="clear" w:color="auto" w:fill="auto"/>
            <w:vAlign w:val="center"/>
          </w:tcPr>
          <w:p>
            <w:pPr>
              <w:adjustRightInd w:val="0"/>
              <w:snapToGrid w:val="0"/>
              <w:jc w:val="center"/>
              <w:rPr>
                <w:color w:val="auto"/>
                <w:szCs w:val="21"/>
              </w:rPr>
            </w:pPr>
            <w:r>
              <w:rPr>
                <w:rFonts w:hint="eastAsia"/>
                <w:color w:val="auto"/>
                <w:szCs w:val="21"/>
              </w:rPr>
              <w:t>施耐德</w:t>
            </w:r>
            <w:r>
              <w:rPr>
                <w:color w:val="auto"/>
                <w:szCs w:val="21"/>
              </w:rPr>
              <w:t>、西门子、ABB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54" w:hRule="atLeast"/>
          <w:jc w:val="center"/>
        </w:trPr>
        <w:tc>
          <w:tcPr>
            <w:tcW w:w="1531" w:type="dxa"/>
            <w:shd w:val="clear" w:color="auto" w:fill="auto"/>
            <w:vAlign w:val="center"/>
          </w:tcPr>
          <w:p>
            <w:pPr>
              <w:widowControl/>
              <w:jc w:val="center"/>
              <w:rPr>
                <w:color w:val="auto"/>
                <w:szCs w:val="21"/>
              </w:rPr>
            </w:pPr>
            <w:r>
              <w:rPr>
                <w:color w:val="auto"/>
                <w:szCs w:val="21"/>
              </w:rPr>
              <w:t>11</w:t>
            </w:r>
          </w:p>
        </w:tc>
        <w:tc>
          <w:tcPr>
            <w:tcW w:w="2717" w:type="dxa"/>
            <w:shd w:val="clear" w:color="auto" w:fill="auto"/>
            <w:vAlign w:val="center"/>
          </w:tcPr>
          <w:p>
            <w:pPr>
              <w:jc w:val="center"/>
              <w:rPr>
                <w:color w:val="auto"/>
                <w:szCs w:val="21"/>
              </w:rPr>
            </w:pPr>
            <w:r>
              <w:rPr>
                <w:color w:val="auto"/>
                <w:szCs w:val="21"/>
              </w:rPr>
              <w:t>电线、电缆</w:t>
            </w:r>
          </w:p>
        </w:tc>
        <w:tc>
          <w:tcPr>
            <w:tcW w:w="4042" w:type="dxa"/>
            <w:shd w:val="clear" w:color="auto" w:fill="auto"/>
            <w:vAlign w:val="center"/>
          </w:tcPr>
          <w:p>
            <w:pPr>
              <w:adjustRightInd w:val="0"/>
              <w:snapToGrid w:val="0"/>
              <w:jc w:val="center"/>
              <w:rPr>
                <w:color w:val="auto"/>
                <w:szCs w:val="21"/>
              </w:rPr>
            </w:pPr>
            <w:r>
              <w:rPr>
                <w:color w:val="auto"/>
                <w:szCs w:val="21"/>
              </w:rPr>
              <w:t>金龙羽、广州电缆、奔达康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54" w:hRule="atLeast"/>
          <w:jc w:val="center"/>
        </w:trPr>
        <w:tc>
          <w:tcPr>
            <w:tcW w:w="1531" w:type="dxa"/>
            <w:shd w:val="clear" w:color="auto" w:fill="auto"/>
            <w:vAlign w:val="center"/>
          </w:tcPr>
          <w:p>
            <w:pPr>
              <w:widowControl/>
              <w:jc w:val="center"/>
              <w:rPr>
                <w:color w:val="auto"/>
                <w:szCs w:val="21"/>
              </w:rPr>
            </w:pPr>
            <w:r>
              <w:rPr>
                <w:color w:val="auto"/>
                <w:szCs w:val="21"/>
              </w:rPr>
              <w:t>12</w:t>
            </w:r>
          </w:p>
        </w:tc>
        <w:tc>
          <w:tcPr>
            <w:tcW w:w="2717" w:type="dxa"/>
            <w:shd w:val="clear" w:color="auto" w:fill="auto"/>
            <w:vAlign w:val="center"/>
          </w:tcPr>
          <w:p>
            <w:pPr>
              <w:jc w:val="center"/>
              <w:rPr>
                <w:color w:val="auto"/>
                <w:szCs w:val="21"/>
              </w:rPr>
            </w:pPr>
            <w:r>
              <w:rPr>
                <w:color w:val="auto"/>
                <w:szCs w:val="21"/>
              </w:rPr>
              <w:t>网络线</w:t>
            </w:r>
          </w:p>
        </w:tc>
        <w:tc>
          <w:tcPr>
            <w:tcW w:w="4042" w:type="dxa"/>
            <w:shd w:val="clear" w:color="auto" w:fill="auto"/>
            <w:vAlign w:val="center"/>
          </w:tcPr>
          <w:p>
            <w:pPr>
              <w:adjustRightInd w:val="0"/>
              <w:snapToGrid w:val="0"/>
              <w:jc w:val="center"/>
              <w:rPr>
                <w:color w:val="auto"/>
                <w:szCs w:val="21"/>
              </w:rPr>
            </w:pPr>
            <w:r>
              <w:rPr>
                <w:color w:val="auto"/>
                <w:szCs w:val="21"/>
              </w:rPr>
              <w:t>AMP、NORDX/CDT 、Siemon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54" w:hRule="atLeast"/>
          <w:jc w:val="center"/>
        </w:trPr>
        <w:tc>
          <w:tcPr>
            <w:tcW w:w="1531" w:type="dxa"/>
            <w:shd w:val="clear" w:color="auto" w:fill="auto"/>
            <w:vAlign w:val="center"/>
          </w:tcPr>
          <w:p>
            <w:pPr>
              <w:widowControl/>
              <w:jc w:val="center"/>
              <w:rPr>
                <w:color w:val="auto"/>
                <w:szCs w:val="21"/>
              </w:rPr>
            </w:pPr>
            <w:r>
              <w:rPr>
                <w:color w:val="auto"/>
                <w:szCs w:val="21"/>
              </w:rPr>
              <w:t>13</w:t>
            </w:r>
          </w:p>
        </w:tc>
        <w:tc>
          <w:tcPr>
            <w:tcW w:w="2717" w:type="dxa"/>
            <w:shd w:val="clear" w:color="auto" w:fill="auto"/>
            <w:vAlign w:val="center"/>
          </w:tcPr>
          <w:p>
            <w:pPr>
              <w:jc w:val="center"/>
              <w:rPr>
                <w:color w:val="auto"/>
                <w:szCs w:val="21"/>
              </w:rPr>
            </w:pPr>
            <w:r>
              <w:rPr>
                <w:color w:val="auto"/>
                <w:szCs w:val="21"/>
              </w:rPr>
              <w:t>PVC线管、线槽</w:t>
            </w:r>
          </w:p>
        </w:tc>
        <w:tc>
          <w:tcPr>
            <w:tcW w:w="4042" w:type="dxa"/>
            <w:shd w:val="clear" w:color="auto" w:fill="auto"/>
            <w:vAlign w:val="center"/>
          </w:tcPr>
          <w:p>
            <w:pPr>
              <w:adjustRightInd w:val="0"/>
              <w:snapToGrid w:val="0"/>
              <w:jc w:val="center"/>
              <w:rPr>
                <w:color w:val="auto"/>
                <w:szCs w:val="21"/>
              </w:rPr>
            </w:pPr>
            <w:r>
              <w:rPr>
                <w:color w:val="auto"/>
                <w:szCs w:val="21"/>
              </w:rPr>
              <w:t>宝狮、顾地、南塑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54" w:hRule="atLeast"/>
          <w:jc w:val="center"/>
        </w:trPr>
        <w:tc>
          <w:tcPr>
            <w:tcW w:w="1531" w:type="dxa"/>
            <w:shd w:val="clear" w:color="auto" w:fill="auto"/>
            <w:vAlign w:val="center"/>
          </w:tcPr>
          <w:p>
            <w:pPr>
              <w:widowControl/>
              <w:jc w:val="center"/>
              <w:rPr>
                <w:color w:val="auto"/>
                <w:szCs w:val="21"/>
              </w:rPr>
            </w:pPr>
            <w:r>
              <w:rPr>
                <w:color w:val="auto"/>
                <w:szCs w:val="21"/>
              </w:rPr>
              <w:t>14</w:t>
            </w:r>
          </w:p>
        </w:tc>
        <w:tc>
          <w:tcPr>
            <w:tcW w:w="2717" w:type="dxa"/>
            <w:shd w:val="clear" w:color="auto" w:fill="auto"/>
            <w:vAlign w:val="center"/>
          </w:tcPr>
          <w:p>
            <w:pPr>
              <w:jc w:val="center"/>
              <w:rPr>
                <w:color w:val="auto"/>
                <w:szCs w:val="21"/>
              </w:rPr>
            </w:pPr>
            <w:r>
              <w:rPr>
                <w:color w:val="auto"/>
                <w:szCs w:val="21"/>
              </w:rPr>
              <w:t>热镀锌导线管</w:t>
            </w:r>
          </w:p>
        </w:tc>
        <w:tc>
          <w:tcPr>
            <w:tcW w:w="4042" w:type="dxa"/>
            <w:shd w:val="clear" w:color="auto" w:fill="auto"/>
            <w:vAlign w:val="center"/>
          </w:tcPr>
          <w:p>
            <w:pPr>
              <w:adjustRightInd w:val="0"/>
              <w:snapToGrid w:val="0"/>
              <w:jc w:val="center"/>
              <w:rPr>
                <w:color w:val="auto"/>
                <w:szCs w:val="21"/>
              </w:rPr>
            </w:pPr>
            <w:r>
              <w:rPr>
                <w:color w:val="auto"/>
                <w:szCs w:val="21"/>
              </w:rPr>
              <w:t>广州文兴、</w:t>
            </w:r>
            <w:r>
              <w:rPr>
                <w:rFonts w:hint="eastAsia"/>
                <w:color w:val="auto"/>
                <w:szCs w:val="21"/>
              </w:rPr>
              <w:t>华南沣盛、</w:t>
            </w:r>
            <w:r>
              <w:rPr>
                <w:color w:val="auto"/>
                <w:szCs w:val="21"/>
              </w:rPr>
              <w:t>中山华通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54" w:hRule="atLeast"/>
          <w:jc w:val="center"/>
        </w:trPr>
        <w:tc>
          <w:tcPr>
            <w:tcW w:w="1531" w:type="dxa"/>
            <w:shd w:val="clear" w:color="auto" w:fill="auto"/>
            <w:vAlign w:val="center"/>
          </w:tcPr>
          <w:p>
            <w:pPr>
              <w:widowControl/>
              <w:jc w:val="center"/>
              <w:rPr>
                <w:color w:val="auto"/>
                <w:szCs w:val="21"/>
              </w:rPr>
            </w:pPr>
            <w:r>
              <w:rPr>
                <w:color w:val="auto"/>
                <w:szCs w:val="21"/>
              </w:rPr>
              <w:t>15</w:t>
            </w:r>
          </w:p>
        </w:tc>
        <w:tc>
          <w:tcPr>
            <w:tcW w:w="2717" w:type="dxa"/>
            <w:shd w:val="clear" w:color="auto" w:fill="auto"/>
            <w:vAlign w:val="center"/>
          </w:tcPr>
          <w:p>
            <w:pPr>
              <w:jc w:val="center"/>
              <w:rPr>
                <w:color w:val="auto"/>
                <w:szCs w:val="21"/>
              </w:rPr>
            </w:pPr>
            <w:r>
              <w:rPr>
                <w:color w:val="auto"/>
                <w:szCs w:val="21"/>
              </w:rPr>
              <w:t>电缆桥架</w:t>
            </w:r>
          </w:p>
        </w:tc>
        <w:tc>
          <w:tcPr>
            <w:tcW w:w="4042" w:type="dxa"/>
            <w:shd w:val="clear" w:color="auto" w:fill="auto"/>
            <w:vAlign w:val="center"/>
          </w:tcPr>
          <w:p>
            <w:pPr>
              <w:adjustRightInd w:val="0"/>
              <w:snapToGrid w:val="0"/>
              <w:jc w:val="center"/>
              <w:rPr>
                <w:color w:val="auto"/>
                <w:szCs w:val="21"/>
              </w:rPr>
            </w:pPr>
            <w:r>
              <w:rPr>
                <w:color w:val="auto"/>
                <w:szCs w:val="21"/>
              </w:rPr>
              <w:t>深圳红岩、番禺天虹、深圳贵庭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54" w:hRule="atLeast"/>
          <w:jc w:val="center"/>
        </w:trPr>
        <w:tc>
          <w:tcPr>
            <w:tcW w:w="1531" w:type="dxa"/>
            <w:shd w:val="clear" w:color="auto" w:fill="auto"/>
            <w:vAlign w:val="center"/>
          </w:tcPr>
          <w:p>
            <w:pPr>
              <w:widowControl/>
              <w:jc w:val="center"/>
              <w:rPr>
                <w:color w:val="auto"/>
                <w:szCs w:val="21"/>
              </w:rPr>
            </w:pPr>
            <w:r>
              <w:rPr>
                <w:color w:val="auto"/>
                <w:szCs w:val="21"/>
              </w:rPr>
              <w:t>16</w:t>
            </w:r>
          </w:p>
        </w:tc>
        <w:tc>
          <w:tcPr>
            <w:tcW w:w="2717" w:type="dxa"/>
            <w:shd w:val="clear" w:color="auto" w:fill="auto"/>
            <w:vAlign w:val="center"/>
          </w:tcPr>
          <w:p>
            <w:pPr>
              <w:jc w:val="center"/>
              <w:rPr>
                <w:color w:val="auto"/>
                <w:szCs w:val="21"/>
              </w:rPr>
            </w:pPr>
            <w:r>
              <w:rPr>
                <w:color w:val="auto"/>
                <w:szCs w:val="21"/>
              </w:rPr>
              <w:t>照明灯</w:t>
            </w:r>
          </w:p>
        </w:tc>
        <w:tc>
          <w:tcPr>
            <w:tcW w:w="4042" w:type="dxa"/>
            <w:shd w:val="clear" w:color="auto" w:fill="auto"/>
            <w:vAlign w:val="center"/>
          </w:tcPr>
          <w:p>
            <w:pPr>
              <w:adjustRightInd w:val="0"/>
              <w:snapToGrid w:val="0"/>
              <w:jc w:val="center"/>
              <w:rPr>
                <w:color w:val="auto"/>
                <w:szCs w:val="21"/>
              </w:rPr>
            </w:pPr>
            <w:r>
              <w:rPr>
                <w:color w:val="auto"/>
                <w:szCs w:val="21"/>
              </w:rPr>
              <w:t>飞利浦、三雄照明、雷士照明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54" w:hRule="atLeast"/>
          <w:jc w:val="center"/>
        </w:trPr>
        <w:tc>
          <w:tcPr>
            <w:tcW w:w="1531" w:type="dxa"/>
            <w:shd w:val="clear" w:color="auto" w:fill="auto"/>
            <w:vAlign w:val="center"/>
          </w:tcPr>
          <w:p>
            <w:pPr>
              <w:widowControl/>
              <w:jc w:val="center"/>
              <w:rPr>
                <w:color w:val="auto"/>
                <w:szCs w:val="21"/>
              </w:rPr>
            </w:pPr>
            <w:r>
              <w:rPr>
                <w:color w:val="auto"/>
                <w:szCs w:val="21"/>
              </w:rPr>
              <w:t>17</w:t>
            </w:r>
          </w:p>
        </w:tc>
        <w:tc>
          <w:tcPr>
            <w:tcW w:w="2717" w:type="dxa"/>
            <w:shd w:val="clear" w:color="auto" w:fill="auto"/>
            <w:vAlign w:val="center"/>
          </w:tcPr>
          <w:p>
            <w:pPr>
              <w:jc w:val="center"/>
              <w:rPr>
                <w:color w:val="auto"/>
                <w:szCs w:val="21"/>
              </w:rPr>
            </w:pPr>
            <w:r>
              <w:rPr>
                <w:color w:val="auto"/>
                <w:szCs w:val="21"/>
              </w:rPr>
              <w:t>应急照明灯、指示灯</w:t>
            </w:r>
          </w:p>
        </w:tc>
        <w:tc>
          <w:tcPr>
            <w:tcW w:w="4042" w:type="dxa"/>
            <w:shd w:val="clear" w:color="auto" w:fill="auto"/>
            <w:vAlign w:val="center"/>
          </w:tcPr>
          <w:p>
            <w:pPr>
              <w:adjustRightInd w:val="0"/>
              <w:snapToGrid w:val="0"/>
              <w:jc w:val="center"/>
              <w:rPr>
                <w:color w:val="auto"/>
                <w:szCs w:val="21"/>
              </w:rPr>
            </w:pPr>
            <w:r>
              <w:rPr>
                <w:color w:val="auto"/>
                <w:szCs w:val="21"/>
              </w:rPr>
              <w:t>元亨、恒生、绿色照明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30" w:type="dxa"/>
            <w:bottom w:w="0" w:type="dxa"/>
            <w:right w:w="30" w:type="dxa"/>
          </w:tblCellMar>
        </w:tblPrEx>
        <w:trPr>
          <w:trHeight w:val="454" w:hRule="atLeast"/>
          <w:jc w:val="center"/>
        </w:trPr>
        <w:tc>
          <w:tcPr>
            <w:tcW w:w="1531" w:type="dxa"/>
            <w:shd w:val="clear" w:color="auto" w:fill="auto"/>
            <w:vAlign w:val="center"/>
          </w:tcPr>
          <w:p>
            <w:pPr>
              <w:widowControl/>
              <w:jc w:val="center"/>
              <w:rPr>
                <w:color w:val="auto"/>
                <w:szCs w:val="21"/>
              </w:rPr>
            </w:pPr>
            <w:r>
              <w:rPr>
                <w:color w:val="auto"/>
                <w:szCs w:val="21"/>
              </w:rPr>
              <w:t>18</w:t>
            </w:r>
          </w:p>
        </w:tc>
        <w:tc>
          <w:tcPr>
            <w:tcW w:w="2717" w:type="dxa"/>
            <w:shd w:val="clear" w:color="auto" w:fill="auto"/>
            <w:vAlign w:val="center"/>
          </w:tcPr>
          <w:p>
            <w:pPr>
              <w:jc w:val="center"/>
              <w:rPr>
                <w:color w:val="auto"/>
                <w:szCs w:val="21"/>
              </w:rPr>
            </w:pPr>
            <w:r>
              <w:rPr>
                <w:color w:val="auto"/>
                <w:szCs w:val="21"/>
              </w:rPr>
              <w:t>插座、开关面板</w:t>
            </w:r>
          </w:p>
        </w:tc>
        <w:tc>
          <w:tcPr>
            <w:tcW w:w="4042" w:type="dxa"/>
            <w:shd w:val="clear" w:color="auto" w:fill="auto"/>
            <w:vAlign w:val="center"/>
          </w:tcPr>
          <w:p>
            <w:pPr>
              <w:adjustRightInd w:val="0"/>
              <w:snapToGrid w:val="0"/>
              <w:jc w:val="center"/>
              <w:rPr>
                <w:color w:val="auto"/>
                <w:szCs w:val="21"/>
              </w:rPr>
            </w:pPr>
            <w:r>
              <w:rPr>
                <w:color w:val="auto"/>
                <w:szCs w:val="21"/>
              </w:rPr>
              <w:t>松本、TCL、施耐德</w:t>
            </w:r>
          </w:p>
        </w:tc>
      </w:tr>
    </w:tbl>
    <w:p>
      <w:pPr>
        <w:adjustRightInd w:val="0"/>
        <w:snapToGrid w:val="0"/>
        <w:spacing w:line="360" w:lineRule="auto"/>
        <w:ind w:firstLine="420" w:firstLineChars="200"/>
        <w:jc w:val="left"/>
        <w:rPr>
          <w:color w:val="000000"/>
          <w:szCs w:val="21"/>
        </w:rPr>
      </w:pPr>
    </w:p>
    <w:p>
      <w:pPr>
        <w:adjustRightInd w:val="0"/>
        <w:snapToGrid w:val="0"/>
        <w:spacing w:line="360" w:lineRule="auto"/>
        <w:ind w:firstLine="420" w:firstLineChars="200"/>
        <w:jc w:val="left"/>
        <w:rPr>
          <w:color w:val="000000"/>
          <w:szCs w:val="21"/>
        </w:rPr>
      </w:pPr>
      <w:r>
        <w:rPr>
          <w:color w:val="000000"/>
          <w:szCs w:val="21"/>
        </w:rPr>
        <w:t>投标人所提供的主要材料的技术参数标准不得低于表中所列参考品牌的技术参数标准。</w:t>
      </w:r>
      <w:r>
        <w:rPr>
          <w:rFonts w:hint="eastAsia"/>
          <w:color w:val="000000"/>
          <w:szCs w:val="21"/>
        </w:rPr>
        <w:t>分部分项工程量清单与计价表、主要材料参考品牌中出现的材料品牌都均为参考品牌，不作为对投标人投标采用材料品牌的限制，仅作为衡量投标人投标采用材料品质是否满足采购要求的标准，投标人拟采用材料的品质须与招标文件参考品牌相当或优于参考品牌。投标人投标材料是否满足招标文件要求由评标委员会评定。</w:t>
      </w:r>
    </w:p>
    <w:p>
      <w:pPr>
        <w:rPr>
          <w:rFonts w:ascii="宋体" w:hAnsi="宋体"/>
          <w:color w:val="000000"/>
          <w:szCs w:val="21"/>
        </w:rPr>
      </w:pPr>
    </w:p>
    <w:p>
      <w:pPr>
        <w:pStyle w:val="5"/>
        <w:spacing w:before="120" w:beforeLines="50" w:after="120" w:afterLines="50"/>
        <w:rPr>
          <w:sz w:val="28"/>
          <w:szCs w:val="28"/>
        </w:rPr>
      </w:pPr>
      <w:r>
        <w:rPr>
          <w:rFonts w:hint="eastAsia"/>
          <w:sz w:val="28"/>
          <w:szCs w:val="28"/>
        </w:rPr>
        <w:t>四、项目商务要求</w:t>
      </w:r>
    </w:p>
    <w:p>
      <w:pPr>
        <w:adjustRightInd w:val="0"/>
        <w:snapToGrid w:val="0"/>
        <w:spacing w:line="360" w:lineRule="auto"/>
        <w:ind w:firstLine="420" w:firstLineChars="200"/>
      </w:pPr>
      <w:r>
        <w:rPr>
          <w:szCs w:val="21"/>
        </w:rPr>
        <w:t>1、项目验收要求：</w:t>
      </w:r>
      <w:r>
        <w:t>在项目完工调试完成后15天内，由中标人书面提出申请后，招标人按国家及行业相关规定进行竣工验收。竣工验收时间以通过竣工验收的当次书面申请时间为准。</w:t>
      </w:r>
    </w:p>
    <w:p>
      <w:pPr>
        <w:pStyle w:val="7"/>
        <w:adjustRightInd w:val="0"/>
        <w:snapToGrid w:val="0"/>
        <w:spacing w:line="360" w:lineRule="auto"/>
        <w:ind w:firstLineChars="200"/>
        <w:rPr>
          <w:szCs w:val="21"/>
        </w:rPr>
      </w:pPr>
      <w:r>
        <w:rPr>
          <w:szCs w:val="21"/>
        </w:rPr>
        <w:t>2、保修、售后服务要求：</w:t>
      </w:r>
      <w:r>
        <w:rPr>
          <w:b/>
          <w:bCs/>
          <w:color w:val="FF0000"/>
          <w:szCs w:val="21"/>
        </w:rPr>
        <w:t>项目自竣工验收通过之日起保修2年（防水保修5年）</w:t>
      </w:r>
      <w:r>
        <w:rPr>
          <w:szCs w:val="21"/>
        </w:rPr>
        <w:t>，保修期内出现任何与项目相关的质量及其他问题，由中标人负责按原标准修复。</w:t>
      </w:r>
      <w:r>
        <w:rPr>
          <w:rFonts w:hint="eastAsia"/>
          <w:szCs w:val="21"/>
        </w:rPr>
        <w:t>属于保修范围内的项目，在保修期内，承包人应在接到保修通知之日后</w:t>
      </w:r>
      <w:r>
        <w:rPr>
          <w:rFonts w:hint="eastAsia"/>
          <w:b/>
          <w:bCs/>
          <w:color w:val="FF0000"/>
          <w:szCs w:val="21"/>
          <w:u w:val="single"/>
        </w:rPr>
        <w:t>7</w:t>
      </w:r>
      <w:r>
        <w:rPr>
          <w:b/>
          <w:bCs/>
          <w:color w:val="FF0000"/>
          <w:szCs w:val="21"/>
          <w:u w:val="single"/>
        </w:rPr>
        <w:t>天</w:t>
      </w:r>
      <w:r>
        <w:rPr>
          <w:rFonts w:hint="eastAsia"/>
          <w:szCs w:val="21"/>
        </w:rPr>
        <w:t>内派人修理。承包人不在约定期限内派人修理，发包人可委托其他人员修理，由此造成的费用损失及修理费用，全部由承包人承担，并在工程质量保修金中扣除。</w:t>
      </w:r>
    </w:p>
    <w:p>
      <w:pPr>
        <w:pStyle w:val="7"/>
        <w:adjustRightInd w:val="0"/>
        <w:snapToGrid w:val="0"/>
        <w:spacing w:line="360" w:lineRule="auto"/>
        <w:ind w:firstLineChars="200"/>
        <w:rPr>
          <w:szCs w:val="21"/>
        </w:rPr>
      </w:pPr>
      <w:r>
        <w:rPr>
          <w:szCs w:val="21"/>
        </w:rPr>
        <w:t>3、</w:t>
      </w:r>
      <w:r>
        <w:rPr>
          <w:rFonts w:hint="eastAsia"/>
          <w:szCs w:val="21"/>
        </w:rPr>
        <w:t>付款</w:t>
      </w:r>
      <w:r>
        <w:rPr>
          <w:szCs w:val="21"/>
        </w:rPr>
        <w:t>及结算要求：</w:t>
      </w:r>
    </w:p>
    <w:p>
      <w:pPr>
        <w:pStyle w:val="7"/>
        <w:adjustRightInd w:val="0"/>
        <w:snapToGrid w:val="0"/>
        <w:spacing w:line="360" w:lineRule="auto"/>
        <w:ind w:firstLineChars="200"/>
        <w:rPr>
          <w:szCs w:val="21"/>
        </w:rPr>
      </w:pPr>
      <w:r>
        <w:rPr>
          <w:rFonts w:hint="eastAsia"/>
          <w:szCs w:val="21"/>
        </w:rPr>
        <w:t>（1）中标价为未经审核的最高限价，结算工程量以现场实际发生量进行结算，工程的建设总造价严格按“投标价作为最高结算价”的原则来控制。</w:t>
      </w:r>
    </w:p>
    <w:p>
      <w:pPr>
        <w:pStyle w:val="7"/>
        <w:adjustRightInd w:val="0"/>
        <w:snapToGrid w:val="0"/>
        <w:spacing w:line="360" w:lineRule="auto"/>
        <w:ind w:firstLineChars="200"/>
        <w:rPr>
          <w:szCs w:val="21"/>
        </w:rPr>
      </w:pPr>
      <w:r>
        <w:rPr>
          <w:rFonts w:hint="eastAsia"/>
          <w:szCs w:val="21"/>
        </w:rPr>
        <w:t>（2）本工程不支付预付款，</w:t>
      </w:r>
      <w:r>
        <w:rPr>
          <w:rFonts w:hint="eastAsia"/>
          <w:b/>
          <w:bCs/>
          <w:color w:val="FF0000"/>
          <w:szCs w:val="21"/>
        </w:rPr>
        <w:t>当工程施工完成50%时，甲方按合同价款支付40%给乙方</w:t>
      </w:r>
      <w:r>
        <w:rPr>
          <w:rFonts w:hint="eastAsia"/>
          <w:szCs w:val="21"/>
        </w:rPr>
        <w:t>，当工程完成通过验收并提交结算资料后，</w:t>
      </w:r>
      <w:r>
        <w:rPr>
          <w:rFonts w:hint="eastAsia"/>
          <w:b/>
          <w:bCs/>
          <w:color w:val="FF0000"/>
          <w:szCs w:val="21"/>
        </w:rPr>
        <w:t>甲方再按合同价款付40%给乙方，余款待工程结算审计完毕后，提交保修款（3%）后按照审定金额一次性付清</w:t>
      </w:r>
      <w:r>
        <w:rPr>
          <w:rFonts w:hint="eastAsia"/>
          <w:szCs w:val="21"/>
        </w:rPr>
        <w:t>。以上每次付款期前15日内，乙方需提供符合甲方要求的合法有效发票并提交书面付款申请，否则甲方有权不付或者延迟付款且不承担任何责任。</w:t>
      </w:r>
    </w:p>
    <w:p>
      <w:pPr>
        <w:pStyle w:val="7"/>
        <w:adjustRightInd w:val="0"/>
        <w:snapToGrid w:val="0"/>
        <w:spacing w:line="360" w:lineRule="auto"/>
        <w:ind w:firstLineChars="200"/>
        <w:rPr>
          <w:szCs w:val="21"/>
        </w:rPr>
      </w:pPr>
      <w:r>
        <w:rPr>
          <w:szCs w:val="21"/>
        </w:rPr>
        <w:t>以上每次付款期前15日内，中标人需提供符合招标人要求的合法有效发票并提交书面付款申请，否则招标人有权不付或者延迟付款且不承担任何责任。</w:t>
      </w:r>
    </w:p>
    <w:p>
      <w:pPr>
        <w:pStyle w:val="7"/>
        <w:adjustRightInd w:val="0"/>
        <w:snapToGrid w:val="0"/>
        <w:spacing w:line="360" w:lineRule="auto"/>
        <w:ind w:firstLineChars="200"/>
        <w:rPr>
          <w:szCs w:val="21"/>
        </w:rPr>
      </w:pPr>
      <w:r>
        <w:rPr>
          <w:rFonts w:hint="eastAsia"/>
          <w:szCs w:val="21"/>
        </w:rPr>
        <w:t>（3）因乙方原因造成延误工期的，每延期1日，乙方应向甲方支付</w:t>
      </w:r>
      <w:r>
        <w:rPr>
          <w:rFonts w:hint="eastAsia"/>
          <w:b/>
          <w:bCs/>
          <w:color w:val="FF0000"/>
          <w:szCs w:val="21"/>
        </w:rPr>
        <w:t>合同金额的1%的</w:t>
      </w:r>
      <w:r>
        <w:rPr>
          <w:rFonts w:hint="eastAsia"/>
          <w:szCs w:val="21"/>
        </w:rPr>
        <w:t>违约金。乙方延误工期超过15日的，甲方有权解除合同。甲方解除合同后，乙方除应按照约定承担工期延误的违约金外，还应赔偿甲方因解除合同造成的损失。</w:t>
      </w:r>
    </w:p>
    <w:p>
      <w:pPr>
        <w:pStyle w:val="7"/>
        <w:adjustRightInd w:val="0"/>
        <w:snapToGrid w:val="0"/>
        <w:spacing w:line="360" w:lineRule="auto"/>
        <w:ind w:firstLineChars="200"/>
        <w:rPr>
          <w:szCs w:val="21"/>
        </w:rPr>
      </w:pPr>
      <w:r>
        <w:rPr>
          <w:rFonts w:hint="eastAsia"/>
          <w:szCs w:val="21"/>
        </w:rPr>
        <w:t>（4）乙方必须保证不出现与本项目有关的任何形式的闹事，否则每发生一次，</w:t>
      </w:r>
      <w:r>
        <w:rPr>
          <w:rFonts w:hint="eastAsia"/>
          <w:b/>
          <w:bCs/>
          <w:color w:val="FF0000"/>
          <w:szCs w:val="21"/>
        </w:rPr>
        <w:t>罚款10000元人民币</w:t>
      </w:r>
      <w:r>
        <w:rPr>
          <w:rFonts w:hint="eastAsia"/>
          <w:szCs w:val="21"/>
        </w:rPr>
        <w:t>，罚金从合同总价款中直接扣除。</w:t>
      </w:r>
    </w:p>
    <w:p>
      <w:pPr>
        <w:pStyle w:val="7"/>
        <w:adjustRightInd w:val="0"/>
        <w:snapToGrid w:val="0"/>
        <w:spacing w:line="360" w:lineRule="auto"/>
        <w:ind w:firstLineChars="200"/>
        <w:rPr>
          <w:szCs w:val="21"/>
        </w:rPr>
      </w:pPr>
      <w:r>
        <w:rPr>
          <w:rFonts w:hint="eastAsia"/>
          <w:szCs w:val="21"/>
        </w:rPr>
        <w:t>（5）工程竣工后，施工方必须严格按审计要求编制、装订结算竣工资料并及时送交建设方申请验收及审计，以审计部门的审核价作为结算价。</w:t>
      </w:r>
    </w:p>
    <w:p>
      <w:pPr>
        <w:pStyle w:val="7"/>
        <w:adjustRightInd w:val="0"/>
        <w:snapToGrid w:val="0"/>
        <w:spacing w:line="360" w:lineRule="auto"/>
        <w:ind w:firstLineChars="200"/>
        <w:rPr>
          <w:szCs w:val="21"/>
        </w:rPr>
      </w:pPr>
      <w:r>
        <w:rPr>
          <w:rFonts w:hint="eastAsia"/>
          <w:szCs w:val="21"/>
        </w:rPr>
        <w:t>（6）结算时提交保修金后一次性付清，保修期按“合同”相关条款另行约定，保修期内施工方须严格按保修条款进行保修，否则建设方有权从保修金中扣除相应费用另行处理。</w:t>
      </w:r>
    </w:p>
    <w:p>
      <w:pPr>
        <w:pStyle w:val="7"/>
        <w:adjustRightInd w:val="0"/>
        <w:snapToGrid w:val="0"/>
        <w:spacing w:line="360" w:lineRule="auto"/>
        <w:ind w:firstLineChars="200"/>
        <w:rPr>
          <w:szCs w:val="21"/>
        </w:rPr>
      </w:pPr>
      <w:r>
        <w:rPr>
          <w:rFonts w:hint="eastAsia"/>
          <w:szCs w:val="21"/>
        </w:rPr>
        <w:t>4、施工</w:t>
      </w:r>
      <w:r>
        <w:rPr>
          <w:szCs w:val="21"/>
        </w:rPr>
        <w:t>要求：</w:t>
      </w:r>
      <w:r>
        <w:rPr>
          <w:rFonts w:hint="eastAsia"/>
          <w:szCs w:val="21"/>
        </w:rPr>
        <w:t>（1）严格按相关施工规范施工，满足设计要求。本工程所有施工用材料必须按“招标文件”中的要求或相当于此类材质的材料进行投标报价，且以上施工材料在施工前须带实物样板及相关资料供建设方选定后方可使用。</w:t>
      </w:r>
    </w:p>
    <w:p>
      <w:pPr>
        <w:pStyle w:val="7"/>
        <w:adjustRightInd w:val="0"/>
        <w:snapToGrid w:val="0"/>
        <w:spacing w:line="360" w:lineRule="auto"/>
        <w:ind w:firstLineChars="200"/>
        <w:rPr>
          <w:szCs w:val="21"/>
        </w:rPr>
      </w:pPr>
      <w:r>
        <w:rPr>
          <w:rFonts w:hint="eastAsia"/>
          <w:szCs w:val="21"/>
        </w:rPr>
        <w:t>（2）由于本次施工可能涉及到原有室内装饰的改造和室内设备的保护，投标方务必仔细踏勘现场，施工中如涉及到以上工程的改造时，所发生的费用视为已综合考虑在其它工作中。</w:t>
      </w:r>
    </w:p>
    <w:p>
      <w:pPr>
        <w:pStyle w:val="7"/>
        <w:adjustRightInd w:val="0"/>
        <w:snapToGrid w:val="0"/>
        <w:spacing w:line="360" w:lineRule="auto"/>
        <w:ind w:firstLineChars="200"/>
        <w:rPr>
          <w:szCs w:val="21"/>
        </w:rPr>
      </w:pPr>
      <w:r>
        <w:rPr>
          <w:rFonts w:hint="eastAsia"/>
          <w:szCs w:val="21"/>
        </w:rPr>
        <w:t>（3）投标单位在投标报价时应认真按“招标文件”要求分析报价，并充分考虑到施工过程中可能发生的其它相关费用（如施工措施费、物料的搬运费、节假日加班费以及各种可能造成成本增加的其它因素）。</w:t>
      </w:r>
    </w:p>
    <w:p>
      <w:pPr>
        <w:pStyle w:val="7"/>
        <w:adjustRightInd w:val="0"/>
        <w:snapToGrid w:val="0"/>
        <w:spacing w:line="360" w:lineRule="auto"/>
        <w:ind w:firstLineChars="200"/>
        <w:rPr>
          <w:szCs w:val="21"/>
        </w:rPr>
      </w:pPr>
      <w:r>
        <w:rPr>
          <w:rFonts w:hint="eastAsia"/>
          <w:szCs w:val="21"/>
        </w:rPr>
        <w:t>（4）施工单位在施工时务必保护好现场的其它设施，如有损坏由施工方照原价赔偿。物料在搬运、堆放过程中应注意保护公共设施，并保持公共场所的清洁卫生。施工用水、电所发生的费用由施工方负责。</w:t>
      </w:r>
    </w:p>
    <w:p>
      <w:pPr>
        <w:pStyle w:val="7"/>
        <w:adjustRightInd w:val="0"/>
        <w:snapToGrid w:val="0"/>
        <w:spacing w:line="360" w:lineRule="auto"/>
        <w:ind w:firstLineChars="200"/>
        <w:rPr>
          <w:szCs w:val="21"/>
        </w:rPr>
      </w:pPr>
      <w:r>
        <w:rPr>
          <w:rFonts w:hint="eastAsia"/>
          <w:szCs w:val="21"/>
        </w:rPr>
        <w:t>（5）施工方必须认真抓好安全生产工作，严禁违章作业，施工过程中发生的一切安全责任事故（含第三者安全责任事故）均由施工方负责。施工方在施工期间务必严格遵守</w:t>
      </w:r>
      <w:r>
        <w:rPr>
          <w:rFonts w:hint="eastAsia"/>
          <w:szCs w:val="21"/>
          <w:lang w:eastAsia="zh-CN"/>
        </w:rPr>
        <w:t>相关</w:t>
      </w:r>
      <w:r>
        <w:rPr>
          <w:rFonts w:hint="eastAsia"/>
          <w:szCs w:val="21"/>
        </w:rPr>
        <w:t>规章制度，并密切配合保卫部门、物业部门</w:t>
      </w:r>
      <w:r>
        <w:rPr>
          <w:rFonts w:hint="eastAsia"/>
          <w:szCs w:val="21"/>
          <w:lang w:eastAsia="zh-CN"/>
        </w:rPr>
        <w:t>等相关部门</w:t>
      </w:r>
      <w:r>
        <w:rPr>
          <w:rFonts w:hint="eastAsia"/>
          <w:szCs w:val="21"/>
        </w:rPr>
        <w:t>管理工作，如有违反，造成的后果由施工方承担全部责任。</w:t>
      </w:r>
    </w:p>
    <w:p>
      <w:pPr>
        <w:pStyle w:val="7"/>
        <w:adjustRightInd w:val="0"/>
        <w:snapToGrid w:val="0"/>
        <w:spacing w:line="360" w:lineRule="auto"/>
        <w:ind w:firstLineChars="200"/>
        <w:rPr>
          <w:szCs w:val="21"/>
        </w:rPr>
      </w:pPr>
      <w:r>
        <w:rPr>
          <w:rFonts w:hint="eastAsia"/>
          <w:szCs w:val="21"/>
        </w:rPr>
        <w:t>（6）整个工程施工要求严格按施工图、工程量清单和相关技术规范进行施工、验收，所有隐蔽工作在进入下道工序以前，必须先请有关人员到现场进行隐蔽验收，合格后方可施工下道工序。所有工程质量要求达到国家建设工程质量验收标准“合格”以上。</w:t>
      </w:r>
    </w:p>
    <w:p>
      <w:pPr>
        <w:pStyle w:val="7"/>
        <w:adjustRightInd w:val="0"/>
        <w:snapToGrid w:val="0"/>
        <w:spacing w:line="360" w:lineRule="auto"/>
        <w:ind w:firstLineChars="200"/>
        <w:rPr>
          <w:szCs w:val="21"/>
        </w:rPr>
      </w:pPr>
      <w:r>
        <w:rPr>
          <w:rFonts w:hint="eastAsia"/>
          <w:szCs w:val="21"/>
        </w:rPr>
        <w:t>5、</w:t>
      </w:r>
      <w:r>
        <w:rPr>
          <w:szCs w:val="21"/>
        </w:rPr>
        <w:t>其他要求：</w:t>
      </w:r>
      <w:r>
        <w:rPr>
          <w:rFonts w:hint="eastAsia" w:ascii="等线" w:hAnsi="等线" w:cs="等线"/>
          <w:color w:val="000000"/>
          <w:sz w:val="22"/>
          <w:szCs w:val="22"/>
        </w:rPr>
        <w:t>采用钢材符合国标。</w:t>
      </w:r>
    </w:p>
    <w:p>
      <w:pPr>
        <w:pStyle w:val="7"/>
        <w:spacing w:before="60" w:beforeLines="25" w:after="60" w:afterLines="25"/>
        <w:ind w:firstLineChars="200"/>
        <w:rPr>
          <w:rFonts w:ascii="宋体" w:hAnsi="宋体"/>
          <w:szCs w:val="21"/>
        </w:rPr>
      </w:pPr>
    </w:p>
    <w:p>
      <w:pPr>
        <w:pStyle w:val="5"/>
        <w:spacing w:before="120" w:beforeLines="50" w:after="120" w:afterLines="50"/>
        <w:rPr>
          <w:sz w:val="28"/>
          <w:szCs w:val="28"/>
        </w:rPr>
      </w:pPr>
      <w:r>
        <w:rPr>
          <w:rFonts w:hint="eastAsia"/>
          <w:sz w:val="28"/>
          <w:szCs w:val="28"/>
        </w:rPr>
        <w:t>五、补充条款</w:t>
      </w:r>
    </w:p>
    <w:p>
      <w:pPr>
        <w:adjustRightInd w:val="0"/>
        <w:snapToGrid w:val="0"/>
        <w:spacing w:line="360" w:lineRule="auto"/>
        <w:rPr>
          <w:szCs w:val="21"/>
        </w:rPr>
      </w:pPr>
      <w:r>
        <w:rPr>
          <w:rFonts w:hint="eastAsia"/>
          <w:szCs w:val="21"/>
        </w:rPr>
        <w:t>1、全部工程造价按下列约定计算：</w:t>
      </w:r>
    </w:p>
    <w:p>
      <w:pPr>
        <w:adjustRightInd w:val="0"/>
        <w:snapToGrid w:val="0"/>
        <w:spacing w:line="360" w:lineRule="auto"/>
        <w:ind w:firstLine="420" w:firstLineChars="200"/>
        <w:rPr>
          <w:szCs w:val="21"/>
        </w:rPr>
      </w:pPr>
      <w:r>
        <w:rPr>
          <w:rFonts w:hint="eastAsia"/>
          <w:szCs w:val="21"/>
        </w:rPr>
        <w:t>1</w:t>
      </w:r>
      <w:r>
        <w:rPr>
          <w:szCs w:val="21"/>
        </w:rPr>
        <w:t>.1</w:t>
      </w:r>
      <w:r>
        <w:rPr>
          <w:rFonts w:hint="eastAsia"/>
          <w:szCs w:val="21"/>
        </w:rPr>
        <w:t>工程量以招标文件中的工程量清单为准，如有增减，以甲、乙方及监理三方共同现场签证为准。</w:t>
      </w:r>
    </w:p>
    <w:p>
      <w:pPr>
        <w:adjustRightInd w:val="0"/>
        <w:snapToGrid w:val="0"/>
        <w:spacing w:line="360" w:lineRule="auto"/>
        <w:ind w:firstLine="420" w:firstLineChars="200"/>
        <w:rPr>
          <w:szCs w:val="21"/>
        </w:rPr>
      </w:pPr>
      <w:r>
        <w:rPr>
          <w:rFonts w:hint="eastAsia"/>
          <w:szCs w:val="21"/>
        </w:rPr>
        <w:t>1</w:t>
      </w:r>
      <w:r>
        <w:rPr>
          <w:szCs w:val="21"/>
        </w:rPr>
        <w:t>.2</w:t>
      </w:r>
      <w:r>
        <w:rPr>
          <w:rFonts w:hint="eastAsia"/>
          <w:szCs w:val="21"/>
        </w:rPr>
        <w:t>工程量如有增减，对于提交了“投标文件”并按照投标文件评审后中标的中标人，有投标报价的按照投标报价计取，没有投标报价的项目综合单价按照</w:t>
      </w:r>
      <w:r>
        <w:rPr>
          <w:rFonts w:hint="eastAsia"/>
          <w:b/>
          <w:bCs/>
          <w:color w:val="FF0000"/>
          <w:szCs w:val="21"/>
          <w:highlight w:val="none"/>
          <w:u w:val="single"/>
        </w:rPr>
        <w:t>20</w:t>
      </w:r>
      <w:r>
        <w:rPr>
          <w:b/>
          <w:bCs/>
          <w:color w:val="FF0000"/>
          <w:szCs w:val="21"/>
          <w:highlight w:val="none"/>
          <w:u w:val="single"/>
        </w:rPr>
        <w:t>20</w:t>
      </w:r>
      <w:r>
        <w:rPr>
          <w:rFonts w:hint="eastAsia"/>
          <w:b/>
          <w:bCs/>
          <w:color w:val="FF0000"/>
          <w:szCs w:val="21"/>
          <w:highlight w:val="none"/>
          <w:u w:val="single"/>
        </w:rPr>
        <w:t>年</w:t>
      </w:r>
      <w:r>
        <w:rPr>
          <w:rFonts w:hint="eastAsia"/>
          <w:b/>
          <w:bCs/>
          <w:color w:val="FF0000"/>
          <w:szCs w:val="21"/>
          <w:highlight w:val="none"/>
          <w:u w:val="single"/>
          <w:lang w:val="en-US" w:eastAsia="zh-CN"/>
        </w:rPr>
        <w:t>12</w:t>
      </w:r>
      <w:r>
        <w:rPr>
          <w:rFonts w:hint="eastAsia"/>
          <w:b/>
          <w:bCs/>
          <w:color w:val="FF0000"/>
          <w:szCs w:val="21"/>
          <w:highlight w:val="none"/>
          <w:u w:val="single"/>
        </w:rPr>
        <w:t>期</w:t>
      </w:r>
      <w:r>
        <w:rPr>
          <w:rFonts w:hint="eastAsia"/>
          <w:szCs w:val="21"/>
        </w:rPr>
        <w:t>定额价乘以下浮率计取；</w:t>
      </w:r>
    </w:p>
    <w:p>
      <w:pPr>
        <w:adjustRightInd w:val="0"/>
        <w:snapToGrid w:val="0"/>
        <w:spacing w:line="360" w:lineRule="auto"/>
        <w:ind w:firstLine="420" w:firstLineChars="200"/>
        <w:rPr>
          <w:szCs w:val="21"/>
        </w:rPr>
      </w:pPr>
      <w:r>
        <w:rPr>
          <w:rFonts w:hint="eastAsia"/>
          <w:szCs w:val="21"/>
        </w:rPr>
        <w:t>1</w:t>
      </w:r>
      <w:r>
        <w:rPr>
          <w:szCs w:val="21"/>
        </w:rPr>
        <w:t>.3</w:t>
      </w:r>
      <w:r>
        <w:rPr>
          <w:rFonts w:hint="eastAsia"/>
          <w:szCs w:val="21"/>
        </w:rPr>
        <w:t>施工措施费用的核算：实际施工时，施工措施发生了变化时，由造价机构按照实际施工的措施进行造价后对原“标底”中的措施费部分进行调整，并按照中标人</w:t>
      </w:r>
      <w:r>
        <w:rPr>
          <w:rFonts w:hint="eastAsia"/>
          <w:b w:val="0"/>
          <w:bCs w:val="0"/>
          <w:color w:val="auto"/>
          <w:szCs w:val="21"/>
          <w:highlight w:val="none"/>
        </w:rPr>
        <w:t>中标价下浮率</w:t>
      </w:r>
      <w:r>
        <w:rPr>
          <w:rFonts w:hint="eastAsia"/>
          <w:szCs w:val="21"/>
        </w:rPr>
        <w:t>折算后结算。</w:t>
      </w:r>
    </w:p>
    <w:p>
      <w:pPr>
        <w:adjustRightInd w:val="0"/>
        <w:snapToGrid w:val="0"/>
        <w:spacing w:line="360" w:lineRule="auto"/>
        <w:ind w:firstLine="420" w:firstLineChars="200"/>
        <w:rPr>
          <w:szCs w:val="21"/>
        </w:rPr>
      </w:pPr>
      <w:r>
        <w:rPr>
          <w:rFonts w:hint="eastAsia"/>
          <w:szCs w:val="21"/>
        </w:rPr>
        <w:t>1</w:t>
      </w:r>
      <w:r>
        <w:rPr>
          <w:szCs w:val="21"/>
        </w:rPr>
        <w:t>.4</w:t>
      </w:r>
      <w:r>
        <w:rPr>
          <w:rFonts w:hint="eastAsia"/>
          <w:szCs w:val="21"/>
        </w:rPr>
        <w:t>工程造价由</w:t>
      </w:r>
      <w:r>
        <w:rPr>
          <w:rFonts w:hint="eastAsia"/>
          <w:b w:val="0"/>
          <w:bCs w:val="0"/>
          <w:szCs w:val="21"/>
          <w:highlight w:val="none"/>
          <w:lang w:eastAsia="zh-CN"/>
        </w:rPr>
        <w:t>公司</w:t>
      </w:r>
      <w:r>
        <w:rPr>
          <w:rFonts w:hint="eastAsia"/>
          <w:b w:val="0"/>
          <w:bCs w:val="0"/>
          <w:szCs w:val="21"/>
          <w:highlight w:val="none"/>
        </w:rPr>
        <w:t>审计部门</w:t>
      </w:r>
      <w:r>
        <w:rPr>
          <w:rFonts w:hint="eastAsia"/>
          <w:szCs w:val="21"/>
        </w:rPr>
        <w:t>审定。</w:t>
      </w:r>
    </w:p>
    <w:p>
      <w:pPr>
        <w:adjustRightInd w:val="0"/>
        <w:snapToGrid w:val="0"/>
        <w:spacing w:line="360" w:lineRule="auto"/>
        <w:ind w:firstLine="420" w:firstLineChars="200"/>
        <w:rPr>
          <w:szCs w:val="21"/>
        </w:rPr>
      </w:pPr>
      <w:r>
        <w:rPr>
          <w:rFonts w:hint="eastAsia"/>
          <w:szCs w:val="21"/>
        </w:rPr>
        <w:t>1</w:t>
      </w:r>
      <w:r>
        <w:rPr>
          <w:szCs w:val="21"/>
        </w:rPr>
        <w:t>.5</w:t>
      </w:r>
      <w:r>
        <w:rPr>
          <w:rFonts w:hint="eastAsia"/>
          <w:szCs w:val="21"/>
        </w:rPr>
        <w:t>本工程原则上不作增减调整，严格按照招标文件内容和图纸进行施工。施工过程中，乙方如发现工作内容与招标文件中的工程量清单不符时，应立即停止并通知甲方现场解决，不得任意更改工作项目，在有关部门还没处理完毕之前不能施工，此间处理过程的工期按实际顺延。</w:t>
      </w:r>
    </w:p>
    <w:p>
      <w:pPr>
        <w:adjustRightInd w:val="0"/>
        <w:snapToGrid w:val="0"/>
        <w:spacing w:line="360" w:lineRule="auto"/>
        <w:ind w:firstLine="420" w:firstLineChars="200"/>
        <w:rPr>
          <w:szCs w:val="21"/>
        </w:rPr>
      </w:pPr>
      <w:r>
        <w:rPr>
          <w:rFonts w:hint="eastAsia"/>
          <w:szCs w:val="21"/>
        </w:rPr>
        <w:t>1</w:t>
      </w:r>
      <w:r>
        <w:rPr>
          <w:szCs w:val="21"/>
        </w:rPr>
        <w:t>.6</w:t>
      </w:r>
      <w:r>
        <w:rPr>
          <w:rFonts w:hint="eastAsia"/>
          <w:szCs w:val="21"/>
        </w:rPr>
        <w:t>工程量以招标文件的工程量清单为准，施工中如遇与工程量清单不符时参照本补充条款第2条进行结算。</w:t>
      </w:r>
    </w:p>
    <w:p>
      <w:pPr>
        <w:adjustRightInd w:val="0"/>
        <w:snapToGrid w:val="0"/>
        <w:spacing w:line="360" w:lineRule="auto"/>
        <w:ind w:firstLine="420" w:firstLineChars="200"/>
        <w:rPr>
          <w:szCs w:val="21"/>
        </w:rPr>
      </w:pPr>
      <w:r>
        <w:rPr>
          <w:rFonts w:hint="eastAsia"/>
          <w:szCs w:val="21"/>
        </w:rPr>
        <w:t>1</w:t>
      </w:r>
      <w:r>
        <w:rPr>
          <w:szCs w:val="21"/>
        </w:rPr>
        <w:t>.7</w:t>
      </w:r>
      <w:r>
        <w:rPr>
          <w:rFonts w:hint="eastAsia"/>
          <w:szCs w:val="21"/>
        </w:rPr>
        <w:t>施工过程中的会议纪要作为合同附件。</w:t>
      </w:r>
    </w:p>
    <w:p>
      <w:pPr>
        <w:adjustRightInd w:val="0"/>
        <w:snapToGrid w:val="0"/>
        <w:spacing w:line="360" w:lineRule="auto"/>
        <w:rPr>
          <w:szCs w:val="21"/>
        </w:rPr>
      </w:pPr>
      <w:r>
        <w:rPr>
          <w:szCs w:val="21"/>
        </w:rPr>
        <w:t>2</w:t>
      </w:r>
      <w:r>
        <w:rPr>
          <w:rFonts w:hint="eastAsia"/>
          <w:szCs w:val="21"/>
        </w:rPr>
        <w:t>、项目管理班组</w:t>
      </w:r>
    </w:p>
    <w:p>
      <w:pPr>
        <w:adjustRightInd w:val="0"/>
        <w:snapToGrid w:val="0"/>
        <w:spacing w:line="360" w:lineRule="auto"/>
        <w:ind w:firstLine="420" w:firstLineChars="200"/>
        <w:rPr>
          <w:szCs w:val="21"/>
        </w:rPr>
      </w:pPr>
      <w:r>
        <w:rPr>
          <w:szCs w:val="21"/>
        </w:rPr>
        <w:t>2.1</w:t>
      </w:r>
      <w:r>
        <w:rPr>
          <w:rFonts w:hint="eastAsia"/>
          <w:szCs w:val="21"/>
        </w:rPr>
        <w:t xml:space="preserve">项目经理的姓名： </w:t>
      </w:r>
    </w:p>
    <w:p>
      <w:pPr>
        <w:adjustRightInd w:val="0"/>
        <w:snapToGrid w:val="0"/>
        <w:spacing w:line="360" w:lineRule="auto"/>
        <w:ind w:firstLine="420" w:firstLineChars="200"/>
        <w:rPr>
          <w:szCs w:val="21"/>
        </w:rPr>
      </w:pPr>
      <w:r>
        <w:rPr>
          <w:szCs w:val="21"/>
        </w:rPr>
        <w:t>2.2</w:t>
      </w:r>
      <w:r>
        <w:rPr>
          <w:rFonts w:hint="eastAsia"/>
          <w:szCs w:val="21"/>
        </w:rPr>
        <w:t>项目经理与投标文件承诺不一致或未及时到位发包人将按照下列方式对承包人进行处罚：</w:t>
      </w:r>
    </w:p>
    <w:p>
      <w:pPr>
        <w:adjustRightInd w:val="0"/>
        <w:snapToGrid w:val="0"/>
        <w:spacing w:line="360" w:lineRule="auto"/>
        <w:ind w:firstLine="420" w:firstLineChars="200"/>
        <w:rPr>
          <w:szCs w:val="21"/>
        </w:rPr>
      </w:pPr>
      <w:r>
        <w:rPr>
          <w:szCs w:val="21"/>
        </w:rPr>
        <w:t>2.2.1</w:t>
      </w:r>
      <w:r>
        <w:rPr>
          <w:rFonts w:hint="eastAsia"/>
          <w:szCs w:val="21"/>
        </w:rPr>
        <w:t>施工方不得随意变更项目经理（除非有不可抗力的原因），未经建设方同意变更一次罚款50000元人民币。</w:t>
      </w:r>
    </w:p>
    <w:p>
      <w:pPr>
        <w:adjustRightInd w:val="0"/>
        <w:snapToGrid w:val="0"/>
        <w:spacing w:line="360" w:lineRule="auto"/>
        <w:ind w:firstLine="420" w:firstLineChars="200"/>
        <w:rPr>
          <w:szCs w:val="21"/>
        </w:rPr>
      </w:pPr>
      <w:r>
        <w:rPr>
          <w:szCs w:val="21"/>
        </w:rPr>
        <w:t>2.2.2</w:t>
      </w:r>
      <w:r>
        <w:rPr>
          <w:rFonts w:hint="eastAsia"/>
          <w:szCs w:val="21"/>
        </w:rPr>
        <w:t>建设方对项目经理不满意，可以提出更换，施工方必须立即更换。</w:t>
      </w:r>
    </w:p>
    <w:p>
      <w:pPr>
        <w:adjustRightInd w:val="0"/>
        <w:snapToGrid w:val="0"/>
        <w:spacing w:line="360" w:lineRule="auto"/>
        <w:ind w:firstLine="420" w:firstLineChars="200"/>
        <w:rPr>
          <w:szCs w:val="21"/>
        </w:rPr>
      </w:pPr>
      <w:r>
        <w:rPr>
          <w:szCs w:val="21"/>
        </w:rPr>
        <w:t>2.2.3</w:t>
      </w:r>
      <w:r>
        <w:rPr>
          <w:rFonts w:hint="eastAsia"/>
          <w:szCs w:val="21"/>
        </w:rPr>
        <w:t>未经建设方同意，项目经理缺席工程例会一次，罚款1000元人民币。</w:t>
      </w:r>
    </w:p>
    <w:p>
      <w:pPr>
        <w:adjustRightInd w:val="0"/>
        <w:snapToGrid w:val="0"/>
        <w:spacing w:line="360" w:lineRule="auto"/>
        <w:ind w:firstLine="420" w:firstLineChars="200"/>
        <w:rPr>
          <w:szCs w:val="21"/>
        </w:rPr>
      </w:pPr>
      <w:r>
        <w:rPr>
          <w:szCs w:val="21"/>
        </w:rPr>
        <w:t>2.2.4</w:t>
      </w:r>
      <w:r>
        <w:rPr>
          <w:rFonts w:hint="eastAsia"/>
          <w:szCs w:val="21"/>
        </w:rPr>
        <w:t>施工方必须保证不出现与本项目有关的任何形式的闹事，发生一次，罚款</w:t>
      </w:r>
      <w:r>
        <w:rPr>
          <w:szCs w:val="21"/>
        </w:rPr>
        <w:t>5</w:t>
      </w:r>
      <w:r>
        <w:rPr>
          <w:rFonts w:hint="eastAsia"/>
          <w:szCs w:val="21"/>
        </w:rPr>
        <w:t>000元人民币，结算时从工程款中直接扣除。,</w:t>
      </w:r>
    </w:p>
    <w:p>
      <w:pPr>
        <w:adjustRightInd w:val="0"/>
        <w:snapToGrid w:val="0"/>
        <w:spacing w:line="360" w:lineRule="auto"/>
        <w:ind w:firstLine="420" w:firstLineChars="200"/>
        <w:rPr>
          <w:szCs w:val="21"/>
        </w:rPr>
      </w:pPr>
      <w:r>
        <w:rPr>
          <w:szCs w:val="21"/>
        </w:rPr>
        <w:t>2.2.5</w:t>
      </w:r>
      <w:r>
        <w:rPr>
          <w:rFonts w:hint="eastAsia"/>
          <w:szCs w:val="21"/>
        </w:rPr>
        <w:t>施工方应充分了解本工程的紧迫性和重要性，施工方应为本项目配备专业工程师、施工员、预算员、质检员、安全员、材料员和资料员等工程管理必需人员。</w:t>
      </w:r>
    </w:p>
    <w:p>
      <w:pPr>
        <w:adjustRightInd w:val="0"/>
        <w:snapToGrid w:val="0"/>
        <w:spacing w:line="360" w:lineRule="auto"/>
        <w:rPr>
          <w:szCs w:val="21"/>
        </w:rPr>
      </w:pPr>
      <w:r>
        <w:rPr>
          <w:szCs w:val="21"/>
        </w:rPr>
        <w:t>3</w:t>
      </w:r>
      <w:r>
        <w:rPr>
          <w:rFonts w:hint="eastAsia"/>
          <w:szCs w:val="21"/>
        </w:rPr>
        <w:t>、工程验收合格后，施工方</w:t>
      </w:r>
      <w:r>
        <w:rPr>
          <w:szCs w:val="21"/>
        </w:rPr>
        <w:t>15</w:t>
      </w:r>
      <w:r>
        <w:rPr>
          <w:rFonts w:hint="eastAsia"/>
          <w:szCs w:val="21"/>
        </w:rPr>
        <w:t>个工作日内向甲方递送结算资料。如过期未递送结算资料，由此产生的结果由施工方负责。</w:t>
      </w:r>
    </w:p>
    <w:p>
      <w:pPr>
        <w:adjustRightInd w:val="0"/>
        <w:snapToGrid w:val="0"/>
        <w:spacing w:line="360" w:lineRule="auto"/>
        <w:rPr>
          <w:b/>
          <w:bCs/>
          <w:color w:val="FF0000"/>
          <w:szCs w:val="21"/>
        </w:rPr>
      </w:pPr>
      <w:r>
        <w:rPr>
          <w:rFonts w:hint="eastAsia"/>
          <w:szCs w:val="21"/>
        </w:rPr>
        <w:t>4、</w:t>
      </w:r>
      <w:r>
        <w:rPr>
          <w:rFonts w:hint="eastAsia"/>
          <w:b w:val="0"/>
          <w:bCs w:val="0"/>
          <w:color w:val="auto"/>
          <w:szCs w:val="21"/>
        </w:rPr>
        <w:t>施工过程中产生所用的水、电费用由乙方承担。</w:t>
      </w:r>
    </w:p>
    <w:p>
      <w:pPr>
        <w:adjustRightInd w:val="0"/>
        <w:snapToGrid w:val="0"/>
        <w:spacing w:line="360" w:lineRule="auto"/>
        <w:rPr>
          <w:szCs w:val="21"/>
        </w:rPr>
      </w:pPr>
      <w:r>
        <w:rPr>
          <w:szCs w:val="21"/>
        </w:rPr>
        <w:t>5</w:t>
      </w:r>
      <w:r>
        <w:rPr>
          <w:rFonts w:hint="eastAsia"/>
          <w:szCs w:val="21"/>
        </w:rPr>
        <w:t>、中标价为未经审计的最高限价。</w:t>
      </w:r>
    </w:p>
    <w:p>
      <w:r>
        <w:rPr>
          <w:szCs w:val="21"/>
        </w:rPr>
        <w:t>6</w:t>
      </w:r>
      <w:r>
        <w:rPr>
          <w:rFonts w:hint="eastAsia"/>
          <w:szCs w:val="21"/>
        </w:rPr>
        <w:t>、合同文本条款与“补充条款”约定有冲突时，以补充条款为准。</w:t>
      </w:r>
      <w:r>
        <w:tab/>
      </w:r>
    </w:p>
    <w:p/>
    <w:p>
      <w:pPr>
        <w:pStyle w:val="5"/>
        <w:spacing w:before="120" w:beforeLines="50" w:after="120" w:afterLines="50"/>
        <w:rPr>
          <w:b/>
          <w:bCs/>
          <w:color w:val="FF0000"/>
          <w:sz w:val="28"/>
          <w:szCs w:val="28"/>
          <w:highlight w:val="none"/>
        </w:rPr>
      </w:pPr>
      <w:r>
        <w:rPr>
          <w:rFonts w:hint="eastAsia"/>
          <w:b/>
          <w:bCs/>
          <w:color w:val="FF0000"/>
          <w:sz w:val="28"/>
          <w:szCs w:val="28"/>
          <w:highlight w:val="none"/>
        </w:rPr>
        <w:t>六、图纸(见附件)</w:t>
      </w:r>
    </w:p>
    <w:p>
      <w:pPr>
        <w:pStyle w:val="5"/>
        <w:spacing w:before="120" w:beforeLines="50" w:after="120" w:afterLines="50"/>
        <w:rPr>
          <w:b/>
          <w:bCs/>
          <w:color w:val="FF0000"/>
          <w:highlight w:val="none"/>
        </w:rPr>
      </w:pPr>
      <w:r>
        <w:rPr>
          <w:rFonts w:hint="eastAsia"/>
          <w:b/>
          <w:bCs/>
          <w:color w:val="FF0000"/>
          <w:sz w:val="28"/>
          <w:szCs w:val="28"/>
          <w:highlight w:val="none"/>
        </w:rPr>
        <w:t>七、工程量清单（见附件）</w:t>
      </w:r>
    </w:p>
    <w:p>
      <w:pPr>
        <w:pStyle w:val="30"/>
        <w:spacing w:line="360" w:lineRule="auto"/>
        <w:rPr>
          <w:rFonts w:hAnsi="宋体"/>
          <w:b/>
          <w:bCs/>
          <w:snapToGrid w:val="0"/>
          <w:kern w:val="0"/>
          <w:szCs w:val="21"/>
          <w:lang w:val="zh-CN"/>
        </w:rPr>
      </w:pPr>
    </w:p>
    <w:p>
      <w:pPr>
        <w:adjustRightInd w:val="0"/>
        <w:snapToGrid w:val="0"/>
        <w:spacing w:line="360" w:lineRule="auto"/>
        <w:jc w:val="left"/>
        <w:rPr>
          <w:b/>
          <w:bCs/>
          <w:snapToGrid w:val="0"/>
          <w:kern w:val="0"/>
          <w:szCs w:val="21"/>
          <w:lang w:val="zh-CN"/>
        </w:rPr>
      </w:pPr>
      <w:r>
        <w:rPr>
          <w:b/>
          <w:bCs/>
          <w:snapToGrid w:val="0"/>
          <w:kern w:val="0"/>
          <w:szCs w:val="21"/>
          <w:lang w:val="zh-CN"/>
        </w:rPr>
        <w:t>要求：</w:t>
      </w:r>
    </w:p>
    <w:p>
      <w:pPr>
        <w:adjustRightInd w:val="0"/>
        <w:snapToGrid w:val="0"/>
        <w:spacing w:line="360" w:lineRule="auto"/>
        <w:ind w:firstLine="392" w:firstLineChars="187"/>
        <w:jc w:val="left"/>
        <w:rPr>
          <w:color w:val="000000"/>
          <w:szCs w:val="21"/>
        </w:rPr>
      </w:pPr>
      <w:r>
        <w:rPr>
          <w:color w:val="000000"/>
          <w:szCs w:val="21"/>
        </w:rPr>
        <w:t>1、工程计价办法</w:t>
      </w:r>
      <w:r>
        <w:rPr>
          <w:color w:val="000000"/>
          <w:szCs w:val="21"/>
          <w:highlight w:val="none"/>
        </w:rPr>
        <w:t>：</w:t>
      </w:r>
      <w:r>
        <w:rPr>
          <w:b/>
          <w:color w:val="000000"/>
          <w:szCs w:val="21"/>
          <w:highlight w:val="none"/>
          <w:u w:val="single"/>
        </w:rPr>
        <w:t>综合单价法</w:t>
      </w:r>
      <w:r>
        <w:rPr>
          <w:color w:val="000000"/>
          <w:szCs w:val="21"/>
          <w:highlight w:val="none"/>
        </w:rPr>
        <w:t>。</w:t>
      </w:r>
    </w:p>
    <w:p>
      <w:pPr>
        <w:adjustRightInd w:val="0"/>
        <w:snapToGrid w:val="0"/>
        <w:spacing w:line="360" w:lineRule="auto"/>
        <w:ind w:firstLine="392" w:firstLineChars="187"/>
        <w:jc w:val="left"/>
        <w:rPr>
          <w:color w:val="000000"/>
          <w:szCs w:val="21"/>
        </w:rPr>
      </w:pPr>
      <w:r>
        <w:rPr>
          <w:color w:val="000000"/>
          <w:szCs w:val="21"/>
        </w:rPr>
        <w:t>2</w:t>
      </w:r>
      <w:r>
        <w:rPr>
          <w:rFonts w:hint="eastAsia"/>
          <w:color w:val="000000"/>
          <w:szCs w:val="21"/>
        </w:rPr>
        <w:t>、</w:t>
      </w:r>
      <w:r>
        <w:rPr>
          <w:color w:val="000000"/>
          <w:szCs w:val="21"/>
        </w:rPr>
        <w:t>工程量清单应与投标须知、合同条件、工程建设标准及技术要求和图纸等文件结合起来理解或解释。</w:t>
      </w:r>
    </w:p>
    <w:p>
      <w:pPr>
        <w:adjustRightInd w:val="0"/>
        <w:snapToGrid w:val="0"/>
        <w:spacing w:line="360" w:lineRule="auto"/>
        <w:ind w:firstLine="392" w:firstLineChars="187"/>
        <w:jc w:val="left"/>
        <w:rPr>
          <w:color w:val="000000"/>
          <w:szCs w:val="21"/>
        </w:rPr>
      </w:pPr>
      <w:r>
        <w:rPr>
          <w:color w:val="000000"/>
          <w:szCs w:val="21"/>
        </w:rPr>
        <w:t>3、本工程量清单是采购人委托相关单位根据本招标文件中所提供的设计文件编制的。</w:t>
      </w:r>
    </w:p>
    <w:p>
      <w:pPr>
        <w:adjustRightInd w:val="0"/>
        <w:snapToGrid w:val="0"/>
        <w:spacing w:line="360" w:lineRule="auto"/>
        <w:ind w:firstLine="392" w:firstLineChars="187"/>
        <w:jc w:val="left"/>
        <w:rPr>
          <w:color w:val="000000"/>
          <w:szCs w:val="21"/>
        </w:rPr>
      </w:pPr>
      <w:r>
        <w:rPr>
          <w:color w:val="000000"/>
          <w:szCs w:val="21"/>
        </w:rPr>
        <w:t>4</w:t>
      </w:r>
      <w:r>
        <w:rPr>
          <w:rFonts w:hint="eastAsia"/>
          <w:color w:val="000000"/>
          <w:szCs w:val="21"/>
        </w:rPr>
        <w:t>、</w:t>
      </w:r>
      <w:r>
        <w:rPr>
          <w:color w:val="000000"/>
          <w:szCs w:val="21"/>
        </w:rPr>
        <w:t>按照《建设工程工程量清单计价规范》的规定，“工程量清单格式”主要包括以下几个部分，但不局限于以下部分：</w:t>
      </w:r>
    </w:p>
    <w:p>
      <w:pPr>
        <w:adjustRightInd w:val="0"/>
        <w:snapToGrid w:val="0"/>
        <w:spacing w:line="360" w:lineRule="auto"/>
        <w:ind w:firstLine="392" w:firstLineChars="187"/>
        <w:jc w:val="left"/>
        <w:rPr>
          <w:color w:val="000000"/>
          <w:szCs w:val="21"/>
        </w:rPr>
      </w:pPr>
      <w:r>
        <w:rPr>
          <w:color w:val="000000"/>
          <w:szCs w:val="21"/>
        </w:rPr>
        <w:t>（1）清单封面；</w:t>
      </w:r>
    </w:p>
    <w:p>
      <w:pPr>
        <w:adjustRightInd w:val="0"/>
        <w:snapToGrid w:val="0"/>
        <w:spacing w:line="360" w:lineRule="auto"/>
        <w:ind w:firstLine="392" w:firstLineChars="187"/>
        <w:jc w:val="left"/>
        <w:rPr>
          <w:color w:val="000000"/>
          <w:szCs w:val="21"/>
        </w:rPr>
      </w:pPr>
      <w:r>
        <w:rPr>
          <w:color w:val="000000"/>
          <w:szCs w:val="21"/>
        </w:rPr>
        <w:t>（2）总说明；</w:t>
      </w:r>
    </w:p>
    <w:p>
      <w:pPr>
        <w:adjustRightInd w:val="0"/>
        <w:snapToGrid w:val="0"/>
        <w:spacing w:line="360" w:lineRule="auto"/>
        <w:ind w:firstLine="392" w:firstLineChars="187"/>
        <w:jc w:val="left"/>
        <w:rPr>
          <w:color w:val="000000"/>
          <w:szCs w:val="21"/>
        </w:rPr>
      </w:pPr>
      <w:r>
        <w:rPr>
          <w:color w:val="000000"/>
          <w:szCs w:val="21"/>
        </w:rPr>
        <w:t>包括：工程概况、工程招标范围、工程量清单编制依据、工程质量、材料、施工的特殊要求、预留金及暂定金额的情况等。</w:t>
      </w:r>
    </w:p>
    <w:p>
      <w:pPr>
        <w:adjustRightInd w:val="0"/>
        <w:snapToGrid w:val="0"/>
        <w:spacing w:line="360" w:lineRule="auto"/>
        <w:ind w:firstLine="392" w:firstLineChars="187"/>
        <w:jc w:val="left"/>
        <w:rPr>
          <w:color w:val="000000"/>
          <w:szCs w:val="21"/>
        </w:rPr>
      </w:pPr>
      <w:r>
        <w:rPr>
          <w:color w:val="000000"/>
          <w:szCs w:val="21"/>
        </w:rPr>
        <w:t>（3）工程项目清单；</w:t>
      </w:r>
    </w:p>
    <w:p>
      <w:pPr>
        <w:adjustRightInd w:val="0"/>
        <w:snapToGrid w:val="0"/>
        <w:spacing w:line="360" w:lineRule="auto"/>
        <w:ind w:firstLine="392" w:firstLineChars="187"/>
        <w:jc w:val="left"/>
        <w:rPr>
          <w:color w:val="000000"/>
          <w:szCs w:val="21"/>
        </w:rPr>
      </w:pPr>
      <w:r>
        <w:rPr>
          <w:color w:val="000000"/>
          <w:szCs w:val="21"/>
        </w:rPr>
        <w:t>指本次招标的工程项目所包含的单项工程及每个单项工程所包含的单位工程，只有一个单位工程时可不填此表。</w:t>
      </w:r>
    </w:p>
    <w:p>
      <w:pPr>
        <w:adjustRightInd w:val="0"/>
        <w:snapToGrid w:val="0"/>
        <w:spacing w:line="360" w:lineRule="auto"/>
        <w:ind w:firstLine="392" w:firstLineChars="187"/>
        <w:jc w:val="left"/>
        <w:rPr>
          <w:color w:val="000000"/>
          <w:szCs w:val="21"/>
        </w:rPr>
      </w:pPr>
      <w:r>
        <w:rPr>
          <w:color w:val="000000"/>
          <w:szCs w:val="21"/>
        </w:rPr>
        <w:t>（4）分部分项工程量清单；</w:t>
      </w:r>
    </w:p>
    <w:p>
      <w:pPr>
        <w:adjustRightInd w:val="0"/>
        <w:snapToGrid w:val="0"/>
        <w:spacing w:line="360" w:lineRule="auto"/>
        <w:ind w:firstLine="392" w:firstLineChars="187"/>
        <w:jc w:val="left"/>
        <w:rPr>
          <w:color w:val="000000"/>
          <w:szCs w:val="21"/>
        </w:rPr>
      </w:pPr>
      <w:r>
        <w:rPr>
          <w:color w:val="000000"/>
          <w:szCs w:val="21"/>
        </w:rPr>
        <w:t>（5）措施项目清单；</w:t>
      </w:r>
    </w:p>
    <w:p>
      <w:pPr>
        <w:adjustRightInd w:val="0"/>
        <w:snapToGrid w:val="0"/>
        <w:spacing w:line="360" w:lineRule="auto"/>
        <w:ind w:firstLine="392" w:firstLineChars="187"/>
        <w:jc w:val="left"/>
        <w:rPr>
          <w:color w:val="000000"/>
          <w:szCs w:val="21"/>
        </w:rPr>
      </w:pPr>
      <w:r>
        <w:rPr>
          <w:color w:val="000000"/>
          <w:szCs w:val="21"/>
        </w:rPr>
        <w:t>（6）其他项目清单；</w:t>
      </w:r>
    </w:p>
    <w:p>
      <w:pPr>
        <w:adjustRightInd w:val="0"/>
        <w:snapToGrid w:val="0"/>
        <w:spacing w:line="360" w:lineRule="auto"/>
        <w:ind w:firstLine="392" w:firstLineChars="187"/>
        <w:jc w:val="left"/>
        <w:rPr>
          <w:color w:val="000000"/>
          <w:szCs w:val="21"/>
        </w:rPr>
      </w:pPr>
      <w:r>
        <w:rPr>
          <w:color w:val="000000"/>
          <w:szCs w:val="21"/>
        </w:rPr>
        <w:t>该表分为采购人部分和投标人部分，采购人部分可采购人另行招标采购材料设备费用等，由采购人填写；投标人部分可包括总承包服务费、零星工作项目费等，由投标人根据工程情况，投标报价时填写。</w:t>
      </w:r>
    </w:p>
    <w:p>
      <w:pPr>
        <w:adjustRightInd w:val="0"/>
        <w:snapToGrid w:val="0"/>
        <w:spacing w:line="360" w:lineRule="auto"/>
        <w:ind w:firstLine="392" w:firstLineChars="187"/>
        <w:jc w:val="left"/>
        <w:rPr>
          <w:color w:val="000000"/>
          <w:szCs w:val="21"/>
        </w:rPr>
      </w:pPr>
      <w:r>
        <w:rPr>
          <w:color w:val="000000"/>
          <w:szCs w:val="21"/>
        </w:rPr>
        <w:t>（7）零星工作项目表；</w:t>
      </w:r>
    </w:p>
    <w:p>
      <w:pPr>
        <w:adjustRightInd w:val="0"/>
        <w:snapToGrid w:val="0"/>
        <w:spacing w:line="360" w:lineRule="auto"/>
        <w:ind w:firstLine="392" w:firstLineChars="187"/>
        <w:jc w:val="left"/>
        <w:rPr>
          <w:color w:val="000000"/>
          <w:szCs w:val="21"/>
        </w:rPr>
      </w:pPr>
      <w:r>
        <w:rPr>
          <w:color w:val="000000"/>
          <w:szCs w:val="21"/>
        </w:rPr>
        <w:t>指采购人提出的工程量暂估的零星工作项目，该表费用由投标人计算后汇入其他项目清单的投标人部分。</w:t>
      </w:r>
    </w:p>
    <w:p>
      <w:pPr>
        <w:adjustRightInd w:val="0"/>
        <w:snapToGrid w:val="0"/>
        <w:spacing w:line="360" w:lineRule="auto"/>
        <w:ind w:firstLine="392" w:firstLineChars="187"/>
        <w:jc w:val="left"/>
        <w:rPr>
          <w:color w:val="000000"/>
          <w:szCs w:val="21"/>
        </w:rPr>
      </w:pPr>
      <w:r>
        <w:rPr>
          <w:color w:val="000000"/>
          <w:szCs w:val="21"/>
        </w:rPr>
        <w:t>5.本工程要求采用的工程量计算规则，应作为本工程招投标双方进行工程招投标和结算计量、计价的共同依据。</w:t>
      </w:r>
    </w:p>
    <w:p>
      <w:pPr>
        <w:adjustRightInd w:val="0"/>
        <w:snapToGrid w:val="0"/>
        <w:spacing w:line="360" w:lineRule="auto"/>
        <w:ind w:firstLine="392" w:firstLineChars="187"/>
        <w:jc w:val="left"/>
        <w:rPr>
          <w:color w:val="000000"/>
          <w:szCs w:val="21"/>
        </w:rPr>
      </w:pPr>
      <w:r>
        <w:rPr>
          <w:color w:val="000000"/>
          <w:szCs w:val="21"/>
        </w:rPr>
        <w:t>6.本工程要求采用的工程量计算规则是《建设工程工程量清单计价规范》（GB50500-2013）及深圳市补充规范；</w:t>
      </w:r>
    </w:p>
    <w:p>
      <w:pPr>
        <w:adjustRightInd w:val="0"/>
        <w:snapToGrid w:val="0"/>
        <w:spacing w:line="360" w:lineRule="auto"/>
        <w:ind w:firstLine="392" w:firstLineChars="187"/>
        <w:jc w:val="left"/>
        <w:rPr>
          <w:color w:val="000000"/>
          <w:szCs w:val="21"/>
        </w:rPr>
      </w:pPr>
      <w:r>
        <w:rPr>
          <w:color w:val="000000"/>
          <w:szCs w:val="21"/>
        </w:rPr>
        <w:t>7.对“分部分项工程量清单”的说明和报价要求</w:t>
      </w:r>
    </w:p>
    <w:p>
      <w:pPr>
        <w:adjustRightInd w:val="0"/>
        <w:snapToGrid w:val="0"/>
        <w:spacing w:line="360" w:lineRule="auto"/>
        <w:ind w:firstLine="392" w:firstLineChars="187"/>
        <w:jc w:val="left"/>
        <w:rPr>
          <w:color w:val="000000"/>
          <w:szCs w:val="21"/>
        </w:rPr>
      </w:pPr>
      <w:r>
        <w:rPr>
          <w:color w:val="000000"/>
          <w:szCs w:val="21"/>
        </w:rPr>
        <w:t>（1）该清单所列的工程量系采购人的估算，是临时的，作为投标报价的共同基础。不应被理解为是对采购人要求工作内容的全部定义，也不能作为投标人应完成的实际工程量。结算时，应以由承包人和采购人或由采购人授权委托的工程师共同计量、核实的实际完成的工程量为准。</w:t>
      </w:r>
    </w:p>
    <w:p>
      <w:pPr>
        <w:adjustRightInd w:val="0"/>
        <w:snapToGrid w:val="0"/>
        <w:spacing w:line="360" w:lineRule="auto"/>
        <w:ind w:firstLine="394" w:firstLineChars="187"/>
        <w:jc w:val="left"/>
        <w:rPr>
          <w:b/>
          <w:bCs/>
          <w:color w:val="FF0000"/>
          <w:szCs w:val="21"/>
        </w:rPr>
      </w:pPr>
      <w:r>
        <w:rPr>
          <w:b/>
          <w:bCs/>
          <w:color w:val="FF0000"/>
          <w:szCs w:val="21"/>
        </w:rPr>
        <w:t>（2）该清单中所填入的综合单价和合价应包括直接成本（即人工、材料、机械）和费用（管理费、利润）、风险金等全部费用。但涉及到采购人自行采购的设备材料的项目不得计入材料设备的价格。</w:t>
      </w:r>
    </w:p>
    <w:p>
      <w:pPr>
        <w:adjustRightInd w:val="0"/>
        <w:snapToGrid w:val="0"/>
        <w:spacing w:line="360" w:lineRule="auto"/>
        <w:ind w:firstLine="392" w:firstLineChars="187"/>
        <w:jc w:val="left"/>
        <w:rPr>
          <w:color w:val="000000"/>
          <w:szCs w:val="21"/>
        </w:rPr>
      </w:pPr>
      <w:r>
        <w:rPr>
          <w:color w:val="000000"/>
          <w:szCs w:val="21"/>
        </w:rPr>
        <w:t>（3） 该清单中不再重复或概括工程及材料的一般说明，在编制和填写工程量清单的每一项的综合单价和合价时应参考投标须知和合同条件的有关条款。</w:t>
      </w:r>
    </w:p>
    <w:p>
      <w:pPr>
        <w:adjustRightInd w:val="0"/>
        <w:snapToGrid w:val="0"/>
        <w:spacing w:line="360" w:lineRule="auto"/>
        <w:ind w:firstLine="392" w:firstLineChars="187"/>
        <w:jc w:val="left"/>
        <w:rPr>
          <w:color w:val="000000"/>
          <w:szCs w:val="21"/>
        </w:rPr>
      </w:pPr>
      <w:r>
        <w:rPr>
          <w:color w:val="000000"/>
          <w:szCs w:val="21"/>
        </w:rPr>
        <w:t>（4）该清单的各项目说明中含有“暂定材料设备单价”的，应明确说明此单价是否包括运输费、采保费等费用。投标时投标人不得修改。结算时，应按本招标文件的合同条件中约定的方法调整。</w:t>
      </w:r>
    </w:p>
    <w:p>
      <w:pPr>
        <w:adjustRightInd w:val="0"/>
        <w:snapToGrid w:val="0"/>
        <w:spacing w:line="360" w:lineRule="auto"/>
        <w:ind w:firstLine="392" w:firstLineChars="187"/>
        <w:jc w:val="left"/>
        <w:rPr>
          <w:color w:val="000000"/>
          <w:szCs w:val="21"/>
        </w:rPr>
      </w:pPr>
      <w:r>
        <w:rPr>
          <w:color w:val="000000"/>
          <w:szCs w:val="21"/>
        </w:rPr>
        <w:t>（5）针对该清单，投标人报价时应提供 “分部分项工程量清单综合单价分析表（简表）”。</w:t>
      </w:r>
    </w:p>
    <w:p>
      <w:pPr>
        <w:adjustRightInd w:val="0"/>
        <w:snapToGrid w:val="0"/>
        <w:spacing w:line="360" w:lineRule="auto"/>
        <w:ind w:firstLine="392" w:firstLineChars="187"/>
        <w:jc w:val="left"/>
        <w:rPr>
          <w:color w:val="000000"/>
          <w:szCs w:val="21"/>
        </w:rPr>
      </w:pPr>
      <w:r>
        <w:rPr>
          <w:rFonts w:hint="eastAsia"/>
          <w:color w:val="000000"/>
          <w:szCs w:val="21"/>
          <w:lang w:val="en-US" w:eastAsia="zh-CN"/>
        </w:rPr>
        <w:t>8.</w:t>
      </w:r>
      <w:r>
        <w:rPr>
          <w:color w:val="000000"/>
          <w:szCs w:val="21"/>
        </w:rPr>
        <w:t>对“措施项目清单”的说明和报价要求：</w:t>
      </w:r>
    </w:p>
    <w:p>
      <w:pPr>
        <w:adjustRightInd w:val="0"/>
        <w:snapToGrid w:val="0"/>
        <w:spacing w:line="360" w:lineRule="auto"/>
        <w:ind w:firstLine="392" w:firstLineChars="187"/>
        <w:jc w:val="left"/>
        <w:rPr>
          <w:color w:val="000000"/>
          <w:szCs w:val="21"/>
        </w:rPr>
      </w:pPr>
      <w:r>
        <w:rPr>
          <w:color w:val="000000"/>
          <w:szCs w:val="21"/>
        </w:rPr>
        <w:t>（1）该清单所列项目均以“一项”提出，是采购人根据一般情况估计的项目，投标人实际措施项目不同的，可以对具体列项内容进行调整。</w:t>
      </w:r>
    </w:p>
    <w:p>
      <w:pPr>
        <w:adjustRightInd w:val="0"/>
        <w:snapToGrid w:val="0"/>
        <w:spacing w:line="360" w:lineRule="auto"/>
        <w:ind w:firstLine="392" w:firstLineChars="187"/>
        <w:jc w:val="left"/>
        <w:rPr>
          <w:color w:val="000000"/>
          <w:szCs w:val="21"/>
        </w:rPr>
      </w:pPr>
      <w:r>
        <w:rPr>
          <w:color w:val="000000"/>
          <w:szCs w:val="21"/>
        </w:rPr>
        <w:t>（2）该清单的报价为包干费用，除非合同条件中有明确的约定，该费用不得调整。</w:t>
      </w:r>
    </w:p>
    <w:p>
      <w:pPr>
        <w:adjustRightInd w:val="0"/>
        <w:snapToGrid w:val="0"/>
        <w:spacing w:line="360" w:lineRule="auto"/>
        <w:ind w:firstLine="392" w:firstLineChars="187"/>
        <w:jc w:val="left"/>
        <w:rPr>
          <w:color w:val="000000"/>
          <w:szCs w:val="21"/>
        </w:rPr>
      </w:pPr>
      <w:r>
        <w:rPr>
          <w:color w:val="000000"/>
          <w:szCs w:val="21"/>
        </w:rPr>
        <w:t>（3）如该清单中列入了“施工单位现场安全文明施工措施费”，该费用包括临时设施费、安全施工费、文明施工费，作为非竞争性费用。如该清单未列入此项费用，投标人应以“分部分项清单计价表”、“其他项目清单计价表”以及“措施项目清单计价表”中的“混凝土、钢筋混凝土模板及支架”、“脚手架”、“垂直运输机械费”、“大型机械设备进出场及安拆”的费用合计为计算基础，并根据本企业的成本，参照相关规定进行计算。</w:t>
      </w:r>
    </w:p>
    <w:p>
      <w:pPr>
        <w:adjustRightInd w:val="0"/>
        <w:snapToGrid w:val="0"/>
        <w:spacing w:line="360" w:lineRule="auto"/>
        <w:ind w:firstLine="420" w:firstLineChars="200"/>
        <w:jc w:val="left"/>
        <w:rPr>
          <w:b/>
          <w:color w:val="FF0000"/>
        </w:rPr>
      </w:pPr>
      <w:r>
        <w:rPr>
          <w:rFonts w:hint="eastAsia"/>
          <w:color w:val="000000"/>
          <w:szCs w:val="21"/>
          <w:lang w:val="en-US" w:eastAsia="zh-CN"/>
        </w:rPr>
        <w:t>9.</w:t>
      </w:r>
      <w:r>
        <w:rPr>
          <w:color w:val="000000"/>
          <w:szCs w:val="21"/>
        </w:rPr>
        <w:t>如发现采购人提供的工程量清单的项目及工程量与图纸实际不符时，除招标文件另有要求外，投标人应在答疑期间提出，采购人应进行复核并在网上发出修正。如没有做出修正，投标人仍应按原提供的项目及工程量报价，并将项差与量差体现在报价中，并在备注中注明，但不得对工程量清单进行修改。</w:t>
      </w:r>
    </w:p>
    <w:p>
      <w:pPr>
        <w:rPr>
          <w:b/>
          <w:color w:val="FF0000"/>
        </w:rPr>
      </w:pPr>
    </w:p>
    <w:p>
      <w:pPr>
        <w:ind w:firstLine="411" w:firstLineChars="196"/>
        <w:rPr>
          <w:color w:val="000000"/>
          <w:szCs w:val="21"/>
        </w:rPr>
      </w:pPr>
    </w:p>
    <w:p>
      <w:pPr>
        <w:keepNext/>
        <w:keepLines/>
        <w:adjustRightInd w:val="0"/>
        <w:spacing w:before="120" w:beforeLines="50" w:after="120" w:afterLines="50"/>
        <w:jc w:val="center"/>
        <w:textAlignment w:val="baseline"/>
        <w:outlineLvl w:val="1"/>
        <w:rPr>
          <w:b/>
          <w:bCs/>
          <w:kern w:val="0"/>
          <w:sz w:val="28"/>
          <w:szCs w:val="28"/>
        </w:rPr>
      </w:pPr>
      <w:r>
        <w:rPr>
          <w:rFonts w:hint="eastAsia"/>
          <w:b/>
          <w:bCs/>
          <w:kern w:val="0"/>
          <w:sz w:val="28"/>
          <w:szCs w:val="28"/>
        </w:rPr>
        <w:t>七</w:t>
      </w:r>
      <w:r>
        <w:rPr>
          <w:b/>
          <w:bCs/>
          <w:kern w:val="0"/>
          <w:sz w:val="28"/>
          <w:szCs w:val="28"/>
        </w:rPr>
        <w:t>、投标报价</w:t>
      </w:r>
    </w:p>
    <w:p>
      <w:pPr>
        <w:adjustRightInd w:val="0"/>
        <w:snapToGrid w:val="0"/>
        <w:spacing w:line="360" w:lineRule="auto"/>
        <w:ind w:firstLine="411" w:firstLineChars="196"/>
        <w:jc w:val="left"/>
        <w:rPr>
          <w:szCs w:val="21"/>
        </w:rPr>
      </w:pPr>
      <w:r>
        <w:rPr>
          <w:szCs w:val="21"/>
        </w:rPr>
        <w:t>1、本工程的工程量清单的投标单价</w:t>
      </w:r>
      <w:bookmarkStart w:id="11" w:name="工程量清单计价方式"/>
      <w:r>
        <w:rPr>
          <w:szCs w:val="21"/>
        </w:rPr>
        <w:t>按综合单价方式</w:t>
      </w:r>
      <w:bookmarkEnd w:id="11"/>
      <w:r>
        <w:rPr>
          <w:szCs w:val="21"/>
        </w:rPr>
        <w:t>进行报价；</w:t>
      </w:r>
    </w:p>
    <w:p>
      <w:pPr>
        <w:adjustRightInd w:val="0"/>
        <w:snapToGrid w:val="0"/>
        <w:spacing w:line="360" w:lineRule="auto"/>
        <w:ind w:firstLine="411" w:firstLineChars="196"/>
        <w:jc w:val="left"/>
        <w:rPr>
          <w:szCs w:val="21"/>
        </w:rPr>
      </w:pPr>
      <w:r>
        <w:rPr>
          <w:szCs w:val="21"/>
        </w:rPr>
        <w:t>2、投标人应根据本企业的成本自行决定报价，但不得以低于其企业成本的报价竞标；</w:t>
      </w:r>
    </w:p>
    <w:p>
      <w:pPr>
        <w:adjustRightInd w:val="0"/>
        <w:snapToGrid w:val="0"/>
        <w:spacing w:line="360" w:lineRule="auto"/>
        <w:ind w:firstLine="411" w:firstLineChars="196"/>
        <w:jc w:val="left"/>
        <w:rPr>
          <w:szCs w:val="21"/>
        </w:rPr>
      </w:pPr>
      <w:r>
        <w:rPr>
          <w:szCs w:val="21"/>
        </w:rPr>
        <w:t>3、投标人的投标总报价不得超过财政预算限额；</w:t>
      </w:r>
    </w:p>
    <w:p>
      <w:pPr>
        <w:adjustRightInd w:val="0"/>
        <w:snapToGrid w:val="0"/>
        <w:spacing w:line="360" w:lineRule="auto"/>
        <w:ind w:firstLine="411" w:firstLineChars="196"/>
        <w:jc w:val="left"/>
        <w:rPr>
          <w:szCs w:val="21"/>
        </w:rPr>
      </w:pPr>
      <w:r>
        <w:rPr>
          <w:szCs w:val="21"/>
        </w:rPr>
        <w:t>4、投标人的投标报价，应是本项目招标范围和招标文件及合同条款上所列的各项内容中所述的全部，不得以任何理由予以重复，并以投标人在工程量清单中提出的综合单价或总价为依据；</w:t>
      </w:r>
    </w:p>
    <w:p>
      <w:pPr>
        <w:adjustRightInd w:val="0"/>
        <w:snapToGrid w:val="0"/>
        <w:spacing w:line="360" w:lineRule="auto"/>
        <w:ind w:firstLine="411" w:firstLineChars="196"/>
        <w:jc w:val="left"/>
        <w:rPr>
          <w:szCs w:val="21"/>
        </w:rPr>
      </w:pPr>
      <w:r>
        <w:rPr>
          <w:szCs w:val="21"/>
        </w:rPr>
        <w:t>5、除非</w:t>
      </w:r>
      <w:r>
        <w:rPr>
          <w:rFonts w:hint="eastAsia"/>
          <w:szCs w:val="21"/>
        </w:rPr>
        <w:t>深圳市深大体育文化发展有限公司</w:t>
      </w:r>
      <w:r>
        <w:rPr>
          <w:szCs w:val="21"/>
        </w:rPr>
        <w:t>通过修改招标文件予以更正，否则，投标人应毫无例外地按工程量清单中列出的工程项目和数量填报综合单价和合价。投标人未填综合单价或合价的项目，在实施后，将不得以支付，并视作该项费用已包括在其它有价款的综合单价或合价内；</w:t>
      </w:r>
    </w:p>
    <w:p>
      <w:pPr>
        <w:adjustRightInd w:val="0"/>
        <w:snapToGrid w:val="0"/>
        <w:spacing w:line="360" w:lineRule="auto"/>
        <w:ind w:firstLine="411" w:firstLineChars="196"/>
        <w:jc w:val="left"/>
        <w:rPr>
          <w:szCs w:val="21"/>
        </w:rPr>
      </w:pPr>
      <w:r>
        <w:rPr>
          <w:szCs w:val="21"/>
        </w:rPr>
        <w:t>6、投标人应先到工地踏勘以充分了解工地的位置、情况、道路、储存空间、装卸限制及任何其它足以影响投标报价的情况，任何因忽视或误解工地情况而导致的索赔或工期延长申请将不获批准；</w:t>
      </w:r>
    </w:p>
    <w:p>
      <w:pPr>
        <w:adjustRightInd w:val="0"/>
        <w:snapToGrid w:val="0"/>
        <w:spacing w:line="360" w:lineRule="auto"/>
        <w:ind w:firstLine="411" w:firstLineChars="196"/>
        <w:jc w:val="left"/>
        <w:rPr>
          <w:szCs w:val="21"/>
        </w:rPr>
      </w:pPr>
      <w:r>
        <w:rPr>
          <w:szCs w:val="21"/>
        </w:rPr>
        <w:t>7、投标人不得期望通过索赔、签证等方式获取补偿，否则，除可能遭到拒绝外，还可能将被作为不良行为记录在案，并可能影响其以后参加</w:t>
      </w:r>
      <w:r>
        <w:rPr>
          <w:rFonts w:hint="eastAsia"/>
          <w:szCs w:val="21"/>
        </w:rPr>
        <w:t>深圳市深大体育文化发展有限公司</w:t>
      </w:r>
      <w:r>
        <w:rPr>
          <w:szCs w:val="21"/>
        </w:rPr>
        <w:t>采购的项目投标。各投标人在投标报价时，应充分考虑投标报价的风险。</w:t>
      </w:r>
    </w:p>
    <w:p>
      <w:pPr>
        <w:adjustRightInd w:val="0"/>
        <w:snapToGrid w:val="0"/>
        <w:spacing w:line="360" w:lineRule="auto"/>
        <w:ind w:firstLine="411" w:firstLineChars="196"/>
        <w:jc w:val="left"/>
        <w:rPr>
          <w:b w:val="0"/>
          <w:bCs w:val="0"/>
          <w:color w:val="auto"/>
          <w:szCs w:val="21"/>
        </w:rPr>
      </w:pPr>
      <w:r>
        <w:rPr>
          <w:b w:val="0"/>
          <w:bCs w:val="0"/>
          <w:color w:val="auto"/>
          <w:szCs w:val="21"/>
        </w:rPr>
        <w:t>8、投标人投标报价总额一经中标后，即作为中标单位与采购单位签订该项目合同的总价。合同方式见第一章相关条款。</w:t>
      </w:r>
    </w:p>
    <w:p>
      <w:pPr>
        <w:adjustRightInd w:val="0"/>
        <w:snapToGrid w:val="0"/>
        <w:spacing w:line="360" w:lineRule="auto"/>
        <w:ind w:firstLine="411" w:firstLineChars="196"/>
        <w:jc w:val="left"/>
        <w:rPr>
          <w:b w:val="0"/>
          <w:bCs w:val="0"/>
          <w:color w:val="auto"/>
          <w:szCs w:val="21"/>
        </w:rPr>
      </w:pPr>
      <w:r>
        <w:rPr>
          <w:b w:val="0"/>
          <w:bCs w:val="0"/>
          <w:color w:val="auto"/>
          <w:szCs w:val="21"/>
        </w:rPr>
        <w:t>（1）如本项目采用固定总价合同。投标人所投报的投标报价为图纸内容与工程量清单的总包干价格，对没有填写综合单价与合价的项目费用，应视为已包括在工程量清单的其他综合单价与合价之中。如有工程量清单未包含图纸内容的漏项，视同已包含在其他项目中，总价与单价不予调整。</w:t>
      </w:r>
    </w:p>
    <w:p>
      <w:pPr>
        <w:adjustRightInd w:val="0"/>
        <w:snapToGrid w:val="0"/>
        <w:spacing w:line="360" w:lineRule="auto"/>
        <w:ind w:firstLine="411" w:firstLineChars="196"/>
        <w:jc w:val="left"/>
        <w:rPr>
          <w:b w:val="0"/>
          <w:bCs w:val="0"/>
          <w:color w:val="auto"/>
          <w:szCs w:val="21"/>
        </w:rPr>
      </w:pPr>
      <w:r>
        <w:rPr>
          <w:b w:val="0"/>
          <w:bCs w:val="0"/>
          <w:color w:val="auto"/>
          <w:szCs w:val="21"/>
        </w:rPr>
        <w:t>（2）如本项目采用固定单价合同。工程量清单所列的工程量系采购单位的估算，是临时的，作为投标报价的共同基础，不应被理解为是对采购单位要求工作内容的全部定义，也不能作为投标人应完成的实际工程量。承包人必须按图纸及有关标准、规范的要求进行施工，实际完成的工程量与分部分项工程量清单中的差异结算时可作调整。凡超出图纸范围又未经变更审批程序的内容，都不予计量；未施工的项目，经监理工程师核实后予以扣减。</w:t>
      </w:r>
    </w:p>
    <w:p>
      <w:pPr>
        <w:adjustRightInd w:val="0"/>
        <w:snapToGrid w:val="0"/>
        <w:spacing w:line="360" w:lineRule="auto"/>
        <w:ind w:firstLine="411" w:firstLineChars="196"/>
        <w:jc w:val="left"/>
        <w:rPr>
          <w:szCs w:val="21"/>
        </w:rPr>
      </w:pPr>
      <w:r>
        <w:rPr>
          <w:szCs w:val="21"/>
        </w:rPr>
        <w:t>（3）投标人的投标报价必须充分考虑到在施工中实施的施工组织设计对工程造价的影响,并在投标报价中反映出来。</w:t>
      </w:r>
    </w:p>
    <w:p>
      <w:pPr>
        <w:adjustRightInd w:val="0"/>
        <w:snapToGrid w:val="0"/>
        <w:spacing w:line="360" w:lineRule="auto"/>
        <w:ind w:firstLine="411" w:firstLineChars="196"/>
        <w:jc w:val="left"/>
        <w:rPr>
          <w:szCs w:val="21"/>
        </w:rPr>
      </w:pPr>
      <w:r>
        <w:rPr>
          <w:szCs w:val="21"/>
        </w:rPr>
        <w:t>9、本项目不接受总价优惠折扣形式的报价，投标人应将对项目的优惠直接在清单报价中体现出来。</w:t>
      </w:r>
    </w:p>
    <w:p>
      <w:pPr>
        <w:adjustRightInd w:val="0"/>
        <w:snapToGrid w:val="0"/>
        <w:spacing w:line="360" w:lineRule="auto"/>
        <w:ind w:firstLine="411" w:firstLineChars="196"/>
        <w:jc w:val="left"/>
        <w:rPr>
          <w:szCs w:val="21"/>
        </w:rPr>
      </w:pPr>
      <w:r>
        <w:rPr>
          <w:szCs w:val="21"/>
        </w:rPr>
        <w:t>10、采购单位委托承包人办理的保险事项：</w:t>
      </w:r>
      <w:bookmarkStart w:id="12" w:name="发包人委托承包人办理的保险事项"/>
      <w:r>
        <w:rPr>
          <w:szCs w:val="21"/>
        </w:rPr>
        <w:t>建设工程一切险和第三者责任险，所需的保险费应包含在投标价中</w:t>
      </w:r>
      <w:bookmarkEnd w:id="12"/>
      <w:r>
        <w:rPr>
          <w:szCs w:val="21"/>
        </w:rPr>
        <w:t>，施工中若发生安全事故，一切责任及费用由施工单位负责。</w:t>
      </w:r>
    </w:p>
    <w:p>
      <w:pPr>
        <w:adjustRightInd w:val="0"/>
        <w:snapToGrid w:val="0"/>
        <w:spacing w:line="360" w:lineRule="auto"/>
        <w:ind w:firstLine="411" w:firstLineChars="196"/>
        <w:jc w:val="left"/>
        <w:rPr>
          <w:szCs w:val="21"/>
        </w:rPr>
      </w:pPr>
      <w:r>
        <w:rPr>
          <w:szCs w:val="21"/>
        </w:rPr>
        <w:t>11、工程完工后，承包人应恢复修建前的原有状态（工程量按实计算），并使监理工程师和采购单位满意，满足深圳大学管理部门的规定和要求。</w:t>
      </w:r>
    </w:p>
    <w:p>
      <w:pPr>
        <w:adjustRightInd w:val="0"/>
        <w:snapToGrid w:val="0"/>
        <w:spacing w:line="360" w:lineRule="auto"/>
        <w:ind w:firstLine="411" w:firstLineChars="196"/>
        <w:jc w:val="left"/>
        <w:rPr>
          <w:b w:val="0"/>
          <w:bCs w:val="0"/>
          <w:color w:val="auto"/>
          <w:szCs w:val="21"/>
        </w:rPr>
      </w:pPr>
      <w:r>
        <w:rPr>
          <w:b w:val="0"/>
          <w:bCs w:val="0"/>
          <w:color w:val="auto"/>
          <w:szCs w:val="21"/>
        </w:rPr>
        <w:t>12、如本工程涉及取土和弃土项目，地点、时间、路线承包人应取得国土、城管部门的同意，不得由此带给采购人任何费用的增加。凡是因承包人措施不当而引起的罚款、索赔和指控等由承包人自行承担。投标价不因取土或弃土实际运距与分部分项工程量清单不同而作调整。土方回填料必须满足国家技术规范之要求，绿化填土面层必须选用适宜种植的填土。</w:t>
      </w:r>
    </w:p>
    <w:p>
      <w:pPr>
        <w:adjustRightInd w:val="0"/>
        <w:snapToGrid w:val="0"/>
        <w:spacing w:line="360" w:lineRule="auto"/>
        <w:ind w:firstLine="411" w:firstLineChars="196"/>
        <w:jc w:val="left"/>
        <w:rPr>
          <w:b w:val="0"/>
          <w:bCs w:val="0"/>
          <w:color w:val="auto"/>
          <w:szCs w:val="21"/>
        </w:rPr>
      </w:pPr>
      <w:r>
        <w:rPr>
          <w:b w:val="0"/>
          <w:bCs w:val="0"/>
          <w:color w:val="auto"/>
          <w:szCs w:val="21"/>
        </w:rPr>
        <w:t>13、一切与施工相关的检验实验费（政府有关部门规定由建设单位支付的检验实验费除外）已含在投标价中。</w:t>
      </w:r>
    </w:p>
    <w:p>
      <w:pPr>
        <w:adjustRightInd w:val="0"/>
        <w:snapToGrid w:val="0"/>
        <w:spacing w:line="360" w:lineRule="auto"/>
        <w:ind w:firstLine="392" w:firstLineChars="187"/>
        <w:jc w:val="left"/>
        <w:rPr>
          <w:szCs w:val="21"/>
        </w:rPr>
      </w:pPr>
      <w:r>
        <w:rPr>
          <w:szCs w:val="21"/>
        </w:rPr>
        <w:t>14、承包人的交通维护方案必须保证施工期间的交通组织符合深圳市公安交通管理的有关规定，保证小区车辆运行通畅和施工安全，其费用已含在投标价中。</w:t>
      </w:r>
    </w:p>
    <w:p>
      <w:pPr>
        <w:keepNext/>
        <w:keepLines/>
        <w:adjustRightInd w:val="0"/>
        <w:spacing w:before="120" w:beforeLines="50" w:after="120" w:afterLines="50"/>
        <w:jc w:val="center"/>
        <w:textAlignment w:val="baseline"/>
        <w:outlineLvl w:val="1"/>
        <w:rPr>
          <w:b/>
          <w:bCs/>
          <w:kern w:val="0"/>
          <w:sz w:val="28"/>
          <w:szCs w:val="28"/>
        </w:rPr>
      </w:pPr>
      <w:r>
        <w:rPr>
          <w:rFonts w:hint="eastAsia"/>
          <w:b/>
          <w:bCs/>
          <w:kern w:val="0"/>
          <w:sz w:val="28"/>
          <w:szCs w:val="28"/>
        </w:rPr>
        <w:t>八</w:t>
      </w:r>
      <w:r>
        <w:rPr>
          <w:b/>
          <w:bCs/>
          <w:kern w:val="0"/>
          <w:sz w:val="28"/>
          <w:szCs w:val="28"/>
        </w:rPr>
        <w:t>、注意事项</w:t>
      </w:r>
    </w:p>
    <w:p>
      <w:pPr>
        <w:adjustRightInd w:val="0"/>
        <w:snapToGrid w:val="0"/>
        <w:spacing w:line="360" w:lineRule="auto"/>
        <w:ind w:firstLine="392" w:firstLineChars="187"/>
        <w:jc w:val="left"/>
        <w:rPr>
          <w:color w:val="000000"/>
          <w:szCs w:val="21"/>
        </w:rPr>
      </w:pPr>
      <w:r>
        <w:rPr>
          <w:color w:val="000000"/>
          <w:szCs w:val="21"/>
        </w:rPr>
        <w:t>1、中标人不得将项目非法分包或转包给任何单位和个人。否则，采购单位有权即刻终止合同，并要求中标人赔偿相应损失。</w:t>
      </w:r>
    </w:p>
    <w:p>
      <w:pPr>
        <w:adjustRightInd w:val="0"/>
        <w:snapToGrid w:val="0"/>
        <w:spacing w:line="360" w:lineRule="auto"/>
        <w:ind w:firstLine="392" w:firstLineChars="187"/>
        <w:jc w:val="left"/>
        <w:rPr>
          <w:color w:val="000000"/>
          <w:szCs w:val="21"/>
        </w:rPr>
      </w:pPr>
      <w:r>
        <w:rPr>
          <w:color w:val="000000"/>
          <w:szCs w:val="21"/>
        </w:rPr>
        <w:t>2、投标人若认为招标文件的技术要求或其他要求有倾向性或不公正性，可在招标答疑阶段提出，以维护招标行为的公平、公正。</w:t>
      </w:r>
    </w:p>
    <w:p>
      <w:pPr>
        <w:adjustRightInd w:val="0"/>
        <w:snapToGrid w:val="0"/>
        <w:spacing w:line="360" w:lineRule="auto"/>
        <w:ind w:firstLine="392" w:firstLineChars="187"/>
        <w:jc w:val="left"/>
        <w:rPr>
          <w:color w:val="000000"/>
          <w:szCs w:val="21"/>
        </w:rPr>
      </w:pPr>
      <w:r>
        <w:rPr>
          <w:color w:val="000000"/>
          <w:szCs w:val="21"/>
        </w:rPr>
        <w:t>3、投标人使用的标准必须是国际公认或国家、或地方政府颁布的同等或更高的标准，如投标人使用的标准低于上述标准,评标委员会将有权不予接受，投标人必须列表将明显的差异详细说明。</w:t>
      </w:r>
    </w:p>
    <w:p>
      <w:pPr>
        <w:adjustRightInd w:val="0"/>
        <w:snapToGrid w:val="0"/>
        <w:spacing w:line="360" w:lineRule="auto"/>
        <w:ind w:firstLine="411" w:firstLineChars="196"/>
        <w:jc w:val="left"/>
        <w:rPr>
          <w:b/>
          <w:color w:val="000000"/>
          <w:szCs w:val="21"/>
        </w:rPr>
      </w:pPr>
      <w:r>
        <w:rPr>
          <w:color w:val="000000"/>
          <w:szCs w:val="21"/>
        </w:rPr>
        <w:t>4、</w:t>
      </w:r>
      <w:r>
        <w:rPr>
          <w:b/>
          <w:color w:val="000000"/>
          <w:szCs w:val="21"/>
        </w:rPr>
        <w:t>招标文件、图纸、工程量清单中出现的材料、设备品牌均为投标参考，投标人可根据项目情况结合自身实际选择不低于参考品牌的材料、设备投标。</w:t>
      </w:r>
    </w:p>
    <w:p>
      <w:pPr>
        <w:rPr>
          <w:b/>
          <w:sz w:val="24"/>
        </w:rPr>
      </w:pPr>
    </w:p>
    <w:p>
      <w:pPr>
        <w:pStyle w:val="5"/>
        <w:keepNext w:val="0"/>
        <w:keepLines w:val="0"/>
        <w:pageBreakBefore/>
        <w:rPr>
          <w:rFonts w:ascii="华文新魏" w:hAnsi="华文新魏" w:eastAsia="华文新魏" w:cs="华文新魏"/>
          <w:kern w:val="2"/>
          <w:sz w:val="44"/>
          <w:szCs w:val="44"/>
        </w:rPr>
      </w:pPr>
      <w:bookmarkStart w:id="13" w:name="_Toc100052414"/>
      <w:bookmarkStart w:id="14" w:name="_Toc73521680"/>
      <w:bookmarkStart w:id="15" w:name="_Toc84303603"/>
      <w:bookmarkStart w:id="16" w:name="_Toc101074886"/>
      <w:bookmarkStart w:id="17" w:name="_Toc73517685"/>
      <w:bookmarkStart w:id="18" w:name="_Toc73518163"/>
      <w:bookmarkStart w:id="19" w:name="_Toc73521592"/>
      <w:r>
        <w:rPr>
          <w:rFonts w:hint="eastAsia" w:ascii="华文新魏" w:hAnsi="华文新魏" w:eastAsia="华文新魏" w:cs="华文新魏"/>
          <w:kern w:val="2"/>
          <w:sz w:val="44"/>
          <w:szCs w:val="44"/>
        </w:rPr>
        <w:t>第三章  合同条款及格式（</w:t>
      </w:r>
      <w:r>
        <w:rPr>
          <w:rFonts w:hint="eastAsia" w:ascii="华文新魏" w:hAnsi="华文新魏" w:eastAsia="华文新魏" w:cs="华文新魏"/>
          <w:color w:val="FF0000"/>
          <w:kern w:val="2"/>
          <w:sz w:val="44"/>
          <w:szCs w:val="44"/>
        </w:rPr>
        <w:t>仅供参考</w:t>
      </w:r>
      <w:r>
        <w:rPr>
          <w:rFonts w:hint="eastAsia" w:ascii="华文新魏" w:hAnsi="华文新魏" w:eastAsia="华文新魏" w:cs="华文新魏"/>
          <w:kern w:val="2"/>
          <w:sz w:val="44"/>
          <w:szCs w:val="44"/>
        </w:rPr>
        <w:t>）</w:t>
      </w:r>
    </w:p>
    <w:p>
      <w:pPr>
        <w:pStyle w:val="4"/>
        <w:jc w:val="center"/>
      </w:pPr>
      <w:r>
        <w:rPr>
          <w:rFonts w:hint="eastAsia"/>
        </w:rPr>
        <w:t>有专业类别的格式合同范本请选择相应的合同</w:t>
      </w:r>
    </w:p>
    <w:p>
      <w:pPr>
        <w:pStyle w:val="3"/>
        <w:spacing w:before="120" w:after="120"/>
        <w:jc w:val="center"/>
      </w:pPr>
      <w:r>
        <w:rPr>
          <w:rFonts w:hint="eastAsia"/>
        </w:rPr>
        <w:t>一、合同条款</w:t>
      </w:r>
      <w:bookmarkEnd w:id="13"/>
      <w:bookmarkEnd w:id="14"/>
      <w:bookmarkEnd w:id="15"/>
      <w:bookmarkEnd w:id="16"/>
      <w:bookmarkEnd w:id="17"/>
      <w:bookmarkEnd w:id="18"/>
      <w:bookmarkEnd w:id="19"/>
    </w:p>
    <w:p>
      <w:pPr>
        <w:jc w:val="center"/>
      </w:pPr>
      <w:r>
        <w:rPr>
          <w:rFonts w:hint="eastAsia" w:ascii="宋体" w:hAnsi="宋体"/>
          <w:b/>
          <w:bCs/>
        </w:rPr>
        <w:t>详见《深圳市建筑工程施工合同》范本</w:t>
      </w:r>
    </w:p>
    <w:p>
      <w:pPr>
        <w:widowControl/>
        <w:jc w:val="left"/>
        <w:rPr>
          <w:b/>
          <w:color w:val="000000"/>
          <w:sz w:val="24"/>
        </w:rPr>
      </w:pPr>
      <w:bookmarkStart w:id="20" w:name="bt建筑工程质量保修书"/>
      <w:bookmarkEnd w:id="20"/>
      <w:r>
        <w:rPr>
          <w:b/>
          <w:color w:val="000000"/>
          <w:sz w:val="24"/>
        </w:rPr>
        <w:br w:type="page"/>
      </w:r>
    </w:p>
    <w:p>
      <w:pPr>
        <w:pStyle w:val="5"/>
        <w:rPr>
          <w:rFonts w:ascii="华文新魏" w:hAnsi="华文新魏" w:eastAsia="华文新魏" w:cs="华文新魏"/>
          <w:kern w:val="2"/>
          <w:sz w:val="44"/>
          <w:szCs w:val="44"/>
        </w:rPr>
      </w:pPr>
      <w:bookmarkStart w:id="21" w:name="bt投标书"/>
      <w:bookmarkEnd w:id="21"/>
      <w:bookmarkStart w:id="22" w:name="bt附件"/>
      <w:bookmarkEnd w:id="22"/>
      <w:r>
        <w:rPr>
          <w:rFonts w:hint="eastAsia" w:ascii="华文新魏" w:hAnsi="华文新魏" w:eastAsia="华文新魏" w:cs="华文新魏"/>
          <w:kern w:val="2"/>
          <w:sz w:val="44"/>
          <w:szCs w:val="44"/>
        </w:rPr>
        <w:t>第四章  投标文件格式</w:t>
      </w:r>
    </w:p>
    <w:p>
      <w:pPr>
        <w:spacing w:line="360" w:lineRule="auto"/>
        <w:ind w:firstLine="480" w:firstLineChars="200"/>
        <w:rPr>
          <w:rFonts w:ascii="宋体" w:hAnsi="宋体" w:cs="宋体"/>
          <w:color w:val="FF0000"/>
          <w:sz w:val="24"/>
        </w:rPr>
      </w:pPr>
      <w:r>
        <w:rPr>
          <w:rStyle w:val="70"/>
          <w:rFonts w:hint="eastAsia" w:ascii="宋体" w:hAnsi="宋体" w:eastAsia="宋体" w:cs="宋体"/>
          <w:sz w:val="24"/>
        </w:rPr>
        <w:t>特别提醒：</w:t>
      </w:r>
      <w:r>
        <w:rPr>
          <w:rFonts w:hint="eastAsia" w:ascii="宋体" w:hAnsi="宋体" w:cs="宋体"/>
          <w:color w:val="FF0000"/>
          <w:sz w:val="24"/>
        </w:rPr>
        <w:t>投标人在编辑投标文件时，在投标文件目录中属于本节点内容的必须在本节点中填写，填写到其他节点或附件的将可能导致废标，一切后果由供应商自行承担。</w:t>
      </w:r>
    </w:p>
    <w:p>
      <w:pPr>
        <w:rPr>
          <w:rFonts w:ascii="宋体" w:hAnsi="宋体"/>
          <w:sz w:val="24"/>
        </w:rPr>
      </w:pPr>
    </w:p>
    <w:p>
      <w:pPr>
        <w:ind w:firstLine="480" w:firstLineChars="200"/>
        <w:rPr>
          <w:rFonts w:ascii="宋体" w:hAnsi="宋体"/>
          <w:sz w:val="24"/>
        </w:rPr>
      </w:pPr>
      <w:r>
        <w:rPr>
          <w:rFonts w:hint="eastAsia" w:ascii="宋体" w:hAnsi="宋体"/>
          <w:sz w:val="24"/>
        </w:rPr>
        <w:t>投标文件组成：</w:t>
      </w:r>
    </w:p>
    <w:p>
      <w:pPr>
        <w:ind w:firstLine="480" w:firstLineChars="200"/>
        <w:rPr>
          <w:rFonts w:ascii="宋体" w:hAnsi="宋体"/>
          <w:sz w:val="24"/>
        </w:rPr>
      </w:pPr>
    </w:p>
    <w:p>
      <w:pPr>
        <w:pStyle w:val="7"/>
        <w:numPr>
          <w:ilvl w:val="0"/>
          <w:numId w:val="3"/>
        </w:numPr>
        <w:ind w:left="420" w:leftChars="200"/>
        <w:rPr>
          <w:rFonts w:ascii="宋体" w:hAnsi="宋体"/>
          <w:color w:val="000000"/>
          <w:szCs w:val="21"/>
        </w:rPr>
      </w:pPr>
      <w:r>
        <w:rPr>
          <w:rFonts w:hint="eastAsia" w:ascii="宋体" w:hAnsi="宋体"/>
          <w:color w:val="000000"/>
          <w:szCs w:val="21"/>
        </w:rPr>
        <w:t>投标文件封面</w:t>
      </w:r>
    </w:p>
    <w:p>
      <w:pPr>
        <w:pStyle w:val="7"/>
        <w:ind w:left="420" w:leftChars="200" w:firstLine="0"/>
        <w:rPr>
          <w:rFonts w:ascii="宋体" w:hAnsi="宋体"/>
          <w:color w:val="000000"/>
          <w:szCs w:val="21"/>
        </w:rPr>
      </w:pPr>
    </w:p>
    <w:p>
      <w:pPr>
        <w:pStyle w:val="7"/>
        <w:ind w:left="420" w:leftChars="200"/>
        <w:rPr>
          <w:rFonts w:ascii="宋体" w:hAnsi="宋体"/>
          <w:color w:val="000000"/>
          <w:szCs w:val="21"/>
        </w:rPr>
      </w:pPr>
      <w:r>
        <w:rPr>
          <w:rFonts w:hint="eastAsia" w:ascii="宋体" w:hAnsi="宋体"/>
          <w:color w:val="000000"/>
          <w:szCs w:val="21"/>
        </w:rPr>
        <w:t>2</w:t>
      </w:r>
      <w:r>
        <w:rPr>
          <w:rFonts w:ascii="宋体" w:hAnsi="宋体"/>
          <w:color w:val="000000"/>
          <w:szCs w:val="21"/>
        </w:rPr>
        <w:t>、</w:t>
      </w:r>
      <w:r>
        <w:rPr>
          <w:rFonts w:hint="eastAsia" w:ascii="宋体" w:hAnsi="宋体"/>
          <w:color w:val="000000"/>
          <w:szCs w:val="21"/>
        </w:rPr>
        <w:t>目录</w:t>
      </w:r>
    </w:p>
    <w:p>
      <w:pPr>
        <w:pStyle w:val="7"/>
        <w:ind w:left="420" w:leftChars="200"/>
        <w:rPr>
          <w:rFonts w:ascii="宋体" w:hAnsi="宋体"/>
          <w:color w:val="000000"/>
          <w:szCs w:val="21"/>
        </w:rPr>
      </w:pPr>
    </w:p>
    <w:p>
      <w:pPr>
        <w:pStyle w:val="7"/>
        <w:ind w:left="420" w:leftChars="200"/>
        <w:rPr>
          <w:rFonts w:ascii="宋体" w:hAnsi="宋体"/>
          <w:color w:val="000000"/>
          <w:szCs w:val="21"/>
        </w:rPr>
      </w:pPr>
      <w:r>
        <w:rPr>
          <w:rFonts w:ascii="宋体" w:hAnsi="宋体"/>
          <w:color w:val="000000"/>
          <w:szCs w:val="21"/>
        </w:rPr>
        <w:t>3</w:t>
      </w:r>
      <w:r>
        <w:rPr>
          <w:rFonts w:hint="eastAsia" w:ascii="宋体" w:hAnsi="宋体"/>
          <w:color w:val="000000"/>
          <w:szCs w:val="21"/>
        </w:rPr>
        <w:t>、投标文件第一部分，主要包括以下内容：</w:t>
      </w:r>
    </w:p>
    <w:p>
      <w:pPr>
        <w:pStyle w:val="7"/>
        <w:ind w:left="420" w:leftChars="200"/>
        <w:rPr>
          <w:rFonts w:ascii="宋体" w:hAnsi="宋体"/>
          <w:color w:val="000000"/>
          <w:szCs w:val="21"/>
        </w:rPr>
      </w:pPr>
      <w:r>
        <w:rPr>
          <w:rFonts w:hint="eastAsia" w:ascii="宋体" w:hAnsi="宋体"/>
          <w:color w:val="000000"/>
          <w:szCs w:val="21"/>
        </w:rPr>
        <w:t>（1</w:t>
      </w:r>
      <w:r>
        <w:rPr>
          <w:rFonts w:ascii="宋体" w:hAnsi="宋体"/>
          <w:color w:val="000000"/>
          <w:szCs w:val="21"/>
        </w:rPr>
        <w:t>）</w:t>
      </w:r>
      <w:r>
        <w:rPr>
          <w:rFonts w:hint="eastAsia" w:ascii="宋体" w:hAnsi="宋体"/>
          <w:color w:val="000000"/>
          <w:szCs w:val="21"/>
        </w:rPr>
        <w:t>投标</w:t>
      </w:r>
      <w:r>
        <w:rPr>
          <w:rFonts w:ascii="宋体" w:hAnsi="宋体"/>
          <w:color w:val="000000"/>
          <w:szCs w:val="21"/>
        </w:rPr>
        <w:t>一览表</w:t>
      </w:r>
    </w:p>
    <w:p>
      <w:pPr>
        <w:pStyle w:val="7"/>
        <w:ind w:left="420" w:leftChars="200"/>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）法定代表人资格证明书</w:t>
      </w:r>
    </w:p>
    <w:p>
      <w:pPr>
        <w:pStyle w:val="7"/>
        <w:ind w:left="420" w:leftChars="200"/>
        <w:rPr>
          <w:rFonts w:ascii="宋体" w:hAnsi="宋体"/>
          <w:szCs w:val="21"/>
        </w:rPr>
      </w:pPr>
      <w:r>
        <w:rPr>
          <w:rFonts w:hint="eastAsia" w:ascii="宋体" w:hAnsi="宋体"/>
          <w:szCs w:val="21"/>
        </w:rPr>
        <w:t>（</w:t>
      </w:r>
      <w:r>
        <w:rPr>
          <w:rFonts w:ascii="宋体" w:hAnsi="宋体"/>
          <w:szCs w:val="21"/>
        </w:rPr>
        <w:t>3</w:t>
      </w:r>
      <w:r>
        <w:rPr>
          <w:rFonts w:hint="eastAsia" w:ascii="宋体" w:hAnsi="宋体"/>
          <w:szCs w:val="21"/>
        </w:rPr>
        <w:t>）投标文件签署授权委托书</w:t>
      </w:r>
    </w:p>
    <w:p>
      <w:pPr>
        <w:pStyle w:val="7"/>
        <w:ind w:left="420" w:leftChars="200"/>
        <w:rPr>
          <w:rFonts w:ascii="宋体" w:hAnsi="宋体"/>
          <w:szCs w:val="21"/>
        </w:rPr>
      </w:pPr>
      <w:r>
        <w:rPr>
          <w:rFonts w:hint="eastAsia" w:ascii="宋体" w:hAnsi="宋体"/>
          <w:szCs w:val="21"/>
        </w:rPr>
        <w:t>（</w:t>
      </w:r>
      <w:r>
        <w:rPr>
          <w:rFonts w:ascii="宋体" w:hAnsi="宋体"/>
          <w:szCs w:val="21"/>
        </w:rPr>
        <w:t>4</w:t>
      </w:r>
      <w:r>
        <w:rPr>
          <w:rFonts w:hint="eastAsia" w:ascii="宋体" w:hAnsi="宋体"/>
          <w:szCs w:val="21"/>
        </w:rPr>
        <w:t>）投标函</w:t>
      </w:r>
    </w:p>
    <w:p>
      <w:pPr>
        <w:pStyle w:val="7"/>
        <w:ind w:left="420" w:leftChars="200"/>
        <w:rPr>
          <w:rFonts w:ascii="宋体" w:hAnsi="宋体"/>
          <w:szCs w:val="21"/>
        </w:rPr>
      </w:pPr>
      <w:r>
        <w:rPr>
          <w:rFonts w:hint="eastAsia" w:ascii="宋体" w:hAnsi="宋体"/>
          <w:szCs w:val="21"/>
        </w:rPr>
        <w:t>（</w:t>
      </w:r>
      <w:r>
        <w:rPr>
          <w:rFonts w:ascii="宋体" w:hAnsi="宋体"/>
          <w:szCs w:val="21"/>
        </w:rPr>
        <w:t>5</w:t>
      </w:r>
      <w:r>
        <w:rPr>
          <w:rFonts w:hint="eastAsia" w:ascii="宋体" w:hAnsi="宋体"/>
          <w:szCs w:val="21"/>
        </w:rPr>
        <w:t>）承诺函</w:t>
      </w:r>
    </w:p>
    <w:p>
      <w:pPr>
        <w:pStyle w:val="7"/>
        <w:ind w:left="420" w:leftChars="200"/>
        <w:rPr>
          <w:rFonts w:ascii="宋体" w:hAnsi="宋体"/>
          <w:szCs w:val="21"/>
        </w:rPr>
      </w:pPr>
      <w:r>
        <w:rPr>
          <w:rFonts w:hint="eastAsia" w:ascii="宋体" w:hAnsi="宋体"/>
          <w:szCs w:val="21"/>
        </w:rPr>
        <w:t>（</w:t>
      </w:r>
      <w:r>
        <w:rPr>
          <w:rFonts w:ascii="宋体" w:hAnsi="宋体"/>
          <w:szCs w:val="21"/>
        </w:rPr>
        <w:t>6）</w:t>
      </w:r>
      <w:r>
        <w:rPr>
          <w:rFonts w:hint="eastAsia" w:ascii="宋体" w:hAnsi="宋体"/>
          <w:szCs w:val="21"/>
        </w:rPr>
        <w:t>无违法</w:t>
      </w:r>
      <w:r>
        <w:rPr>
          <w:rFonts w:ascii="宋体" w:hAnsi="宋体"/>
          <w:szCs w:val="21"/>
        </w:rPr>
        <w:t>违规行为承诺函</w:t>
      </w:r>
    </w:p>
    <w:p>
      <w:pPr>
        <w:pStyle w:val="7"/>
        <w:ind w:left="420" w:leftChars="200"/>
        <w:rPr>
          <w:rFonts w:ascii="宋体" w:hAnsi="宋体"/>
          <w:szCs w:val="21"/>
        </w:rPr>
      </w:pPr>
      <w:r>
        <w:rPr>
          <w:rFonts w:hint="eastAsia" w:ascii="宋体" w:hAnsi="宋体"/>
          <w:szCs w:val="21"/>
        </w:rPr>
        <w:t>（</w:t>
      </w:r>
      <w:r>
        <w:rPr>
          <w:rFonts w:ascii="宋体" w:hAnsi="宋体"/>
          <w:szCs w:val="21"/>
        </w:rPr>
        <w:t>7</w:t>
      </w:r>
      <w:r>
        <w:rPr>
          <w:rFonts w:hint="eastAsia" w:ascii="宋体" w:hAnsi="宋体"/>
          <w:szCs w:val="21"/>
        </w:rPr>
        <w:t>）投标人情况介绍及相关资质材料</w:t>
      </w:r>
    </w:p>
    <w:p>
      <w:pPr>
        <w:pStyle w:val="7"/>
        <w:ind w:left="420" w:leftChars="200"/>
        <w:rPr>
          <w:rFonts w:ascii="宋体" w:hAnsi="宋体"/>
          <w:szCs w:val="21"/>
        </w:rPr>
      </w:pPr>
      <w:r>
        <w:rPr>
          <w:rFonts w:hint="eastAsia" w:ascii="宋体" w:hAnsi="宋体"/>
          <w:szCs w:val="21"/>
        </w:rPr>
        <w:t>（</w:t>
      </w:r>
      <w:r>
        <w:rPr>
          <w:rFonts w:ascii="宋体" w:hAnsi="宋体"/>
          <w:szCs w:val="21"/>
        </w:rPr>
        <w:t>8</w:t>
      </w:r>
      <w:r>
        <w:rPr>
          <w:rFonts w:hint="eastAsia" w:ascii="宋体" w:hAnsi="宋体"/>
          <w:szCs w:val="21"/>
        </w:rPr>
        <w:t>）投标人同类项目业绩情况（格式自定）</w:t>
      </w:r>
    </w:p>
    <w:p>
      <w:pPr>
        <w:pStyle w:val="7"/>
        <w:ind w:left="420" w:leftChars="200"/>
        <w:rPr>
          <w:rFonts w:ascii="宋体" w:hAnsi="宋体"/>
          <w:szCs w:val="21"/>
        </w:rPr>
      </w:pPr>
      <w:r>
        <w:rPr>
          <w:rFonts w:hint="eastAsia" w:ascii="宋体" w:hAnsi="宋体"/>
          <w:szCs w:val="21"/>
        </w:rPr>
        <w:t>（</w:t>
      </w:r>
      <w:r>
        <w:rPr>
          <w:rFonts w:ascii="宋体" w:hAnsi="宋体"/>
          <w:szCs w:val="21"/>
        </w:rPr>
        <w:t>9</w:t>
      </w:r>
      <w:r>
        <w:rPr>
          <w:rFonts w:hint="eastAsia" w:ascii="宋体" w:hAnsi="宋体"/>
          <w:szCs w:val="21"/>
        </w:rPr>
        <w:t>）投标人奖项（荣誉、表彰）情况（格式自定）</w:t>
      </w:r>
    </w:p>
    <w:p>
      <w:pPr>
        <w:pStyle w:val="7"/>
        <w:ind w:left="420" w:leftChars="200"/>
        <w:rPr>
          <w:rFonts w:ascii="宋体" w:hAnsi="宋体"/>
          <w:szCs w:val="21"/>
        </w:rPr>
      </w:pPr>
      <w:r>
        <w:rPr>
          <w:rFonts w:hint="eastAsia" w:ascii="宋体" w:hAnsi="宋体"/>
          <w:szCs w:val="21"/>
        </w:rPr>
        <w:t>（</w:t>
      </w:r>
      <w:r>
        <w:rPr>
          <w:rFonts w:ascii="宋体" w:hAnsi="宋体"/>
          <w:szCs w:val="21"/>
        </w:rPr>
        <w:t>10</w:t>
      </w:r>
      <w:r>
        <w:rPr>
          <w:rFonts w:hint="eastAsia" w:ascii="宋体" w:hAnsi="宋体"/>
          <w:szCs w:val="21"/>
        </w:rPr>
        <w:t>）投标人纳税情况（格式自定）</w:t>
      </w:r>
    </w:p>
    <w:p>
      <w:pPr>
        <w:pStyle w:val="7"/>
        <w:ind w:left="420" w:leftChars="200"/>
        <w:rPr>
          <w:rFonts w:ascii="宋体" w:hAnsi="宋体"/>
          <w:szCs w:val="21"/>
        </w:rPr>
      </w:pPr>
      <w:r>
        <w:rPr>
          <w:rFonts w:hint="eastAsia" w:ascii="宋体" w:hAnsi="宋体"/>
          <w:szCs w:val="21"/>
        </w:rPr>
        <w:t>（1</w:t>
      </w:r>
      <w:r>
        <w:rPr>
          <w:rFonts w:ascii="宋体" w:hAnsi="宋体"/>
          <w:szCs w:val="21"/>
        </w:rPr>
        <w:t>1</w:t>
      </w:r>
      <w:r>
        <w:rPr>
          <w:rFonts w:hint="eastAsia" w:ascii="宋体" w:hAnsi="宋体"/>
          <w:szCs w:val="21"/>
        </w:rPr>
        <w:t>）投标人规模（员工人数）情况（格式自定）</w:t>
      </w:r>
    </w:p>
    <w:p>
      <w:pPr>
        <w:pStyle w:val="7"/>
        <w:ind w:left="420" w:leftChars="200"/>
        <w:rPr>
          <w:rFonts w:ascii="宋体" w:hAnsi="宋体"/>
          <w:szCs w:val="21"/>
        </w:rPr>
      </w:pPr>
      <w:r>
        <w:rPr>
          <w:rFonts w:hint="eastAsia" w:ascii="宋体" w:hAnsi="宋体"/>
          <w:szCs w:val="21"/>
        </w:rPr>
        <w:t>（1</w:t>
      </w:r>
      <w:r>
        <w:rPr>
          <w:rFonts w:ascii="宋体" w:hAnsi="宋体"/>
          <w:szCs w:val="21"/>
        </w:rPr>
        <w:t>2</w:t>
      </w:r>
      <w:r>
        <w:rPr>
          <w:rFonts w:hint="eastAsia" w:ascii="宋体" w:hAnsi="宋体"/>
          <w:szCs w:val="21"/>
        </w:rPr>
        <w:t>）招标文件要求的其它内容及投标人认为需要补充的其它内容（格式自定）</w:t>
      </w:r>
    </w:p>
    <w:p>
      <w:pPr>
        <w:pStyle w:val="7"/>
        <w:ind w:left="210" w:leftChars="100" w:firstLine="1619" w:firstLineChars="771"/>
        <w:rPr>
          <w:rFonts w:ascii="宋体" w:hAnsi="宋体"/>
          <w:color w:val="000000"/>
          <w:szCs w:val="21"/>
        </w:rPr>
      </w:pPr>
    </w:p>
    <w:p>
      <w:pPr>
        <w:pStyle w:val="7"/>
        <w:ind w:left="420" w:leftChars="200"/>
        <w:rPr>
          <w:rFonts w:ascii="宋体" w:hAnsi="宋体"/>
          <w:color w:val="000000"/>
          <w:szCs w:val="21"/>
        </w:rPr>
      </w:pPr>
      <w:r>
        <w:rPr>
          <w:rFonts w:ascii="宋体" w:hAnsi="宋体"/>
          <w:color w:val="000000"/>
          <w:szCs w:val="21"/>
        </w:rPr>
        <w:t>4</w:t>
      </w:r>
      <w:r>
        <w:rPr>
          <w:rFonts w:hint="eastAsia" w:ascii="宋体" w:hAnsi="宋体"/>
          <w:color w:val="000000"/>
          <w:szCs w:val="21"/>
        </w:rPr>
        <w:t>、投标文件第二</w:t>
      </w:r>
      <w:r>
        <w:rPr>
          <w:rFonts w:ascii="宋体" w:hAnsi="宋体"/>
          <w:color w:val="000000"/>
          <w:szCs w:val="21"/>
        </w:rPr>
        <w:t>部分</w:t>
      </w:r>
      <w:r>
        <w:rPr>
          <w:rFonts w:hint="eastAsia" w:ascii="宋体" w:hAnsi="宋体"/>
          <w:color w:val="000000"/>
          <w:szCs w:val="21"/>
        </w:rPr>
        <w:t>，主要包括下列内容：</w:t>
      </w:r>
    </w:p>
    <w:p>
      <w:pPr>
        <w:pStyle w:val="7"/>
        <w:ind w:left="420" w:leftChars="200"/>
        <w:rPr>
          <w:rFonts w:ascii="宋体" w:hAnsi="宋体"/>
          <w:szCs w:val="21"/>
        </w:rPr>
      </w:pPr>
      <w:r>
        <w:rPr>
          <w:rFonts w:hint="eastAsia" w:ascii="宋体" w:hAnsi="宋体"/>
          <w:szCs w:val="21"/>
        </w:rPr>
        <w:t>（1）授权委托代理人联系方式</w:t>
      </w:r>
    </w:p>
    <w:p>
      <w:pPr>
        <w:pStyle w:val="7"/>
        <w:ind w:left="420" w:leftChars="200"/>
        <w:rPr>
          <w:rFonts w:ascii="宋体" w:hAnsi="宋体"/>
          <w:szCs w:val="21"/>
        </w:rPr>
      </w:pPr>
      <w:r>
        <w:rPr>
          <w:rFonts w:hint="eastAsia" w:ascii="宋体" w:hAnsi="宋体"/>
          <w:szCs w:val="21"/>
        </w:rPr>
        <w:t>（2）工程量清单报价格式</w:t>
      </w:r>
    </w:p>
    <w:p>
      <w:pPr>
        <w:pStyle w:val="7"/>
        <w:ind w:left="420" w:leftChars="200"/>
        <w:rPr>
          <w:rFonts w:ascii="宋体" w:hAnsi="宋体"/>
          <w:szCs w:val="21"/>
        </w:rPr>
      </w:pPr>
      <w:r>
        <w:rPr>
          <w:rFonts w:hint="eastAsia" w:ascii="宋体" w:hAnsi="宋体"/>
          <w:szCs w:val="21"/>
        </w:rPr>
        <w:t>（3）拟采用材料品牌型号表</w:t>
      </w:r>
    </w:p>
    <w:p>
      <w:pPr>
        <w:pStyle w:val="7"/>
        <w:ind w:left="420" w:leftChars="200"/>
        <w:rPr>
          <w:rFonts w:ascii="宋体" w:hAnsi="宋体"/>
          <w:color w:val="FF0000"/>
          <w:szCs w:val="21"/>
        </w:rPr>
      </w:pPr>
      <w:r>
        <w:rPr>
          <w:rFonts w:hint="eastAsia" w:ascii="宋体" w:hAnsi="宋体"/>
          <w:color w:val="000000"/>
          <w:szCs w:val="21"/>
        </w:rPr>
        <w:t>（</w:t>
      </w:r>
      <w:r>
        <w:rPr>
          <w:rFonts w:ascii="宋体" w:hAnsi="宋体"/>
          <w:color w:val="000000"/>
          <w:szCs w:val="21"/>
        </w:rPr>
        <w:t>4</w:t>
      </w:r>
      <w:r>
        <w:rPr>
          <w:rFonts w:hint="eastAsia" w:ascii="宋体" w:hAnsi="宋体"/>
          <w:color w:val="000000"/>
          <w:szCs w:val="21"/>
        </w:rPr>
        <w:t>）</w:t>
      </w:r>
      <w:r>
        <w:rPr>
          <w:rFonts w:hint="eastAsia" w:ascii="宋体" w:hAnsi="宋体"/>
          <w:szCs w:val="21"/>
        </w:rPr>
        <w:t>项目总体概述及理解</w:t>
      </w:r>
      <w:r>
        <w:rPr>
          <w:rFonts w:hint="eastAsia" w:ascii="宋体" w:hAnsi="宋体"/>
          <w:color w:val="000000"/>
          <w:szCs w:val="21"/>
        </w:rPr>
        <w:t>(格式自定)</w:t>
      </w:r>
    </w:p>
    <w:p>
      <w:pPr>
        <w:pStyle w:val="7"/>
        <w:ind w:left="420" w:leftChars="200"/>
        <w:rPr>
          <w:rFonts w:ascii="宋体" w:hAnsi="宋体"/>
          <w:color w:val="FF0000"/>
          <w:szCs w:val="21"/>
        </w:rPr>
      </w:pPr>
      <w:r>
        <w:rPr>
          <w:rFonts w:hint="eastAsia" w:ascii="宋体" w:hAnsi="宋体"/>
          <w:color w:val="000000"/>
          <w:szCs w:val="21"/>
        </w:rPr>
        <w:t>（</w:t>
      </w:r>
      <w:r>
        <w:rPr>
          <w:rFonts w:ascii="宋体" w:hAnsi="宋体"/>
          <w:color w:val="000000"/>
          <w:szCs w:val="21"/>
        </w:rPr>
        <w:t>5</w:t>
      </w:r>
      <w:r>
        <w:rPr>
          <w:rFonts w:hint="eastAsia" w:ascii="宋体" w:hAnsi="宋体"/>
          <w:color w:val="000000"/>
          <w:szCs w:val="21"/>
        </w:rPr>
        <w:t>）</w:t>
      </w:r>
      <w:r>
        <w:rPr>
          <w:rFonts w:hint="eastAsia" w:ascii="宋体" w:hAnsi="宋体"/>
          <w:szCs w:val="21"/>
        </w:rPr>
        <w:t>施工组织计划、施工技术、施工工艺及相关的合理化建议</w:t>
      </w:r>
      <w:r>
        <w:rPr>
          <w:rFonts w:hint="eastAsia" w:ascii="宋体" w:hAnsi="宋体"/>
          <w:color w:val="000000"/>
          <w:szCs w:val="21"/>
        </w:rPr>
        <w:t>(格式自定)</w:t>
      </w:r>
    </w:p>
    <w:p>
      <w:pPr>
        <w:pStyle w:val="7"/>
        <w:ind w:left="420" w:leftChars="200"/>
        <w:rPr>
          <w:rFonts w:ascii="宋体" w:hAnsi="宋体"/>
          <w:color w:val="FF0000"/>
          <w:szCs w:val="21"/>
        </w:rPr>
      </w:pPr>
      <w:r>
        <w:rPr>
          <w:rFonts w:hint="eastAsia" w:ascii="宋体" w:hAnsi="宋体"/>
          <w:color w:val="000000"/>
          <w:szCs w:val="21"/>
        </w:rPr>
        <w:t>（</w:t>
      </w:r>
      <w:r>
        <w:rPr>
          <w:rFonts w:ascii="宋体" w:hAnsi="宋体"/>
          <w:color w:val="000000"/>
          <w:szCs w:val="21"/>
        </w:rPr>
        <w:t>6</w:t>
      </w:r>
      <w:r>
        <w:rPr>
          <w:rFonts w:hint="eastAsia" w:ascii="宋体" w:hAnsi="宋体"/>
          <w:color w:val="000000"/>
          <w:szCs w:val="21"/>
        </w:rPr>
        <w:t>）</w:t>
      </w:r>
      <w:r>
        <w:rPr>
          <w:rFonts w:hint="eastAsia" w:ascii="宋体" w:hAnsi="宋体"/>
          <w:szCs w:val="21"/>
        </w:rPr>
        <w:t>项目实施关键施工技术（重点难点）分析及解决方案</w:t>
      </w:r>
      <w:r>
        <w:rPr>
          <w:rFonts w:hint="eastAsia" w:ascii="宋体" w:hAnsi="宋体"/>
          <w:color w:val="000000"/>
          <w:szCs w:val="21"/>
        </w:rPr>
        <w:t>（格式自定）</w:t>
      </w:r>
    </w:p>
    <w:p>
      <w:pPr>
        <w:pStyle w:val="7"/>
        <w:ind w:left="420" w:leftChars="200"/>
        <w:rPr>
          <w:rFonts w:ascii="宋体" w:hAnsi="宋体"/>
          <w:color w:val="FF0000"/>
          <w:szCs w:val="21"/>
        </w:rPr>
      </w:pPr>
      <w:r>
        <w:rPr>
          <w:rFonts w:hint="eastAsia" w:ascii="宋体" w:hAnsi="宋体"/>
          <w:szCs w:val="21"/>
        </w:rPr>
        <w:t>（</w:t>
      </w:r>
      <w:r>
        <w:rPr>
          <w:rFonts w:ascii="宋体" w:hAnsi="宋体"/>
          <w:szCs w:val="21"/>
        </w:rPr>
        <w:t>7</w:t>
      </w:r>
      <w:r>
        <w:rPr>
          <w:rFonts w:hint="eastAsia" w:ascii="宋体" w:hAnsi="宋体"/>
          <w:szCs w:val="21"/>
        </w:rPr>
        <w:t>）拟采用施工材料（设备）的性能（节能环保情况）、品牌档次及质量可靠性</w:t>
      </w:r>
      <w:r>
        <w:rPr>
          <w:rFonts w:hint="eastAsia" w:ascii="宋体" w:hAnsi="宋体"/>
          <w:color w:val="000000"/>
          <w:szCs w:val="21"/>
        </w:rPr>
        <w:t>（格式自定）</w:t>
      </w:r>
    </w:p>
    <w:p>
      <w:pPr>
        <w:pStyle w:val="7"/>
        <w:ind w:left="420" w:leftChars="200"/>
        <w:rPr>
          <w:rFonts w:ascii="宋体" w:hAnsi="宋体"/>
          <w:color w:val="FF0000"/>
          <w:szCs w:val="21"/>
        </w:rPr>
      </w:pPr>
      <w:r>
        <w:rPr>
          <w:rFonts w:hint="eastAsia" w:ascii="宋体" w:hAnsi="宋体"/>
          <w:color w:val="000000"/>
          <w:szCs w:val="21"/>
        </w:rPr>
        <w:t>（</w:t>
      </w:r>
      <w:r>
        <w:rPr>
          <w:rFonts w:ascii="宋体" w:hAnsi="宋体"/>
          <w:color w:val="000000"/>
          <w:szCs w:val="21"/>
        </w:rPr>
        <w:t>8</w:t>
      </w:r>
      <w:r>
        <w:rPr>
          <w:rFonts w:hint="eastAsia" w:ascii="宋体" w:hAnsi="宋体"/>
          <w:color w:val="000000"/>
          <w:szCs w:val="21"/>
        </w:rPr>
        <w:t>）</w:t>
      </w:r>
      <w:r>
        <w:rPr>
          <w:rFonts w:hint="eastAsia" w:ascii="宋体" w:hAnsi="宋体"/>
          <w:szCs w:val="21"/>
        </w:rPr>
        <w:t>拟投入劳动力（项目经理、技术人员、管理班子、机械设备、场地）情况</w:t>
      </w:r>
      <w:r>
        <w:rPr>
          <w:rFonts w:hint="eastAsia" w:ascii="宋体" w:hAnsi="宋体"/>
          <w:color w:val="000000"/>
          <w:szCs w:val="21"/>
        </w:rPr>
        <w:t>（格式自定）</w:t>
      </w:r>
    </w:p>
    <w:p>
      <w:pPr>
        <w:pStyle w:val="7"/>
        <w:ind w:left="420" w:leftChars="200"/>
        <w:rPr>
          <w:rFonts w:ascii="宋体" w:hAnsi="宋体"/>
          <w:color w:val="000000"/>
          <w:szCs w:val="21"/>
        </w:rPr>
      </w:pPr>
      <w:r>
        <w:rPr>
          <w:rFonts w:hint="eastAsia" w:ascii="宋体" w:hAnsi="宋体"/>
          <w:color w:val="000000"/>
          <w:szCs w:val="21"/>
        </w:rPr>
        <w:t>（</w:t>
      </w:r>
      <w:r>
        <w:rPr>
          <w:rFonts w:ascii="宋体" w:hAnsi="宋体"/>
          <w:color w:val="000000"/>
          <w:szCs w:val="21"/>
        </w:rPr>
        <w:t>9</w:t>
      </w:r>
      <w:r>
        <w:rPr>
          <w:rFonts w:hint="eastAsia" w:ascii="宋体" w:hAnsi="宋体"/>
          <w:color w:val="000000"/>
          <w:szCs w:val="21"/>
        </w:rPr>
        <w:t>）施工质量（环保、工期、售后服务）保障措施及相关的违约承诺（格式自定）</w:t>
      </w:r>
    </w:p>
    <w:p>
      <w:pPr>
        <w:ind w:left="420" w:leftChars="200"/>
        <w:rPr>
          <w:rFonts w:ascii="仿宋_GB2312" w:eastAsia="仿宋_GB2312"/>
          <w:color w:val="FF0000"/>
          <w:sz w:val="24"/>
        </w:rPr>
      </w:pPr>
    </w:p>
    <w:p>
      <w:r>
        <w:br w:type="page"/>
      </w:r>
    </w:p>
    <w:p>
      <w:pPr>
        <w:rPr>
          <w:rFonts w:asciiTheme="minorEastAsia" w:hAnsiTheme="minorEastAsia" w:eastAsiaTheme="minorEastAsia"/>
          <w:b/>
          <w:color w:val="FF0000"/>
          <w:sz w:val="30"/>
          <w:szCs w:val="30"/>
        </w:rPr>
      </w:pPr>
      <w:r>
        <w:rPr>
          <w:rFonts w:hint="eastAsia" w:asciiTheme="minorEastAsia" w:hAnsiTheme="minorEastAsia" w:eastAsiaTheme="minorEastAsia"/>
          <w:b/>
          <w:color w:val="FF0000"/>
          <w:sz w:val="30"/>
          <w:szCs w:val="30"/>
        </w:rPr>
        <w:t>封面</w:t>
      </w:r>
    </w:p>
    <w:p>
      <w:pPr>
        <w:rPr>
          <w:rFonts w:asciiTheme="minorEastAsia" w:hAnsiTheme="minorEastAsia" w:eastAsiaTheme="minorEastAsia"/>
          <w:b/>
          <w:color w:val="FF0000"/>
          <w:sz w:val="30"/>
          <w:szCs w:val="30"/>
        </w:rPr>
      </w:pPr>
    </w:p>
    <w:p>
      <w:pPr>
        <w:jc w:val="right"/>
        <w:rPr>
          <w:rFonts w:asciiTheme="minorEastAsia" w:hAnsiTheme="minorEastAsia" w:eastAsiaTheme="minorEastAsia"/>
          <w:b/>
          <w:sz w:val="36"/>
          <w:szCs w:val="36"/>
        </w:rPr>
      </w:pPr>
      <w:r>
        <w:rPr>
          <w:rFonts w:hint="eastAsia" w:asciiTheme="minorEastAsia" w:hAnsiTheme="minorEastAsia" w:eastAsiaTheme="minorEastAsia"/>
          <w:b/>
          <w:sz w:val="36"/>
          <w:szCs w:val="36"/>
          <w:highlight w:val="yellow"/>
        </w:rPr>
        <w:t>正本</w:t>
      </w:r>
      <w:r>
        <w:rPr>
          <w:rFonts w:asciiTheme="minorEastAsia" w:hAnsiTheme="minorEastAsia" w:eastAsiaTheme="minorEastAsia"/>
          <w:b/>
          <w:sz w:val="36"/>
          <w:szCs w:val="36"/>
          <w:highlight w:val="yellow"/>
        </w:rPr>
        <w:t>/副本</w:t>
      </w:r>
    </w:p>
    <w:p>
      <w:pPr>
        <w:jc w:val="center"/>
        <w:rPr>
          <w:rFonts w:asciiTheme="minorEastAsia" w:hAnsiTheme="minorEastAsia" w:eastAsiaTheme="minorEastAsia"/>
          <w:b/>
          <w:sz w:val="52"/>
          <w:szCs w:val="52"/>
        </w:rPr>
      </w:pPr>
    </w:p>
    <w:p>
      <w:pPr>
        <w:jc w:val="center"/>
        <w:rPr>
          <w:rFonts w:asciiTheme="minorEastAsia" w:hAnsiTheme="minorEastAsia" w:eastAsiaTheme="minorEastAsia"/>
          <w:b/>
          <w:sz w:val="52"/>
          <w:szCs w:val="52"/>
        </w:rPr>
      </w:pPr>
    </w:p>
    <w:p>
      <w:pPr>
        <w:jc w:val="center"/>
        <w:rPr>
          <w:rFonts w:asciiTheme="minorEastAsia" w:hAnsiTheme="minorEastAsia" w:eastAsiaTheme="minorEastAsia"/>
          <w:b/>
          <w:sz w:val="84"/>
          <w:szCs w:val="84"/>
        </w:rPr>
      </w:pPr>
      <w:r>
        <w:rPr>
          <w:rFonts w:hint="eastAsia" w:asciiTheme="minorEastAsia" w:hAnsiTheme="minorEastAsia" w:eastAsiaTheme="minorEastAsia"/>
          <w:b/>
          <w:sz w:val="84"/>
          <w:szCs w:val="84"/>
        </w:rPr>
        <w:t>投 标 文 件</w:t>
      </w:r>
    </w:p>
    <w:p>
      <w:pPr>
        <w:rPr>
          <w:rFonts w:asciiTheme="minorEastAsia" w:hAnsiTheme="minorEastAsia" w:eastAsiaTheme="minorEastAsia"/>
          <w:b/>
          <w:sz w:val="30"/>
          <w:szCs w:val="30"/>
        </w:rPr>
      </w:pPr>
    </w:p>
    <w:p>
      <w:pPr>
        <w:rPr>
          <w:rFonts w:asciiTheme="minorEastAsia" w:hAnsiTheme="minorEastAsia" w:eastAsiaTheme="minorEastAsia"/>
          <w:b/>
          <w:sz w:val="30"/>
          <w:szCs w:val="30"/>
        </w:rPr>
      </w:pPr>
    </w:p>
    <w:p>
      <w:pPr>
        <w:rPr>
          <w:rFonts w:asciiTheme="minorEastAsia" w:hAnsiTheme="minorEastAsia" w:eastAsiaTheme="minorEastAsia"/>
          <w:b/>
          <w:sz w:val="30"/>
          <w:szCs w:val="30"/>
        </w:rPr>
      </w:pPr>
    </w:p>
    <w:p>
      <w:pPr>
        <w:rPr>
          <w:rFonts w:asciiTheme="minorEastAsia" w:hAnsiTheme="minorEastAsia" w:eastAsiaTheme="minorEastAsia"/>
          <w:b/>
          <w:sz w:val="32"/>
          <w:szCs w:val="32"/>
        </w:rPr>
      </w:pPr>
      <w:r>
        <w:rPr>
          <w:rFonts w:hint="eastAsia" w:asciiTheme="minorEastAsia" w:hAnsiTheme="minorEastAsia" w:eastAsiaTheme="minorEastAsia"/>
          <w:b/>
          <w:sz w:val="32"/>
          <w:szCs w:val="32"/>
        </w:rPr>
        <w:t>项目编号：</w:t>
      </w:r>
    </w:p>
    <w:p>
      <w:pPr>
        <w:rPr>
          <w:rFonts w:asciiTheme="minorEastAsia" w:hAnsiTheme="minorEastAsia" w:eastAsiaTheme="minorEastAsia"/>
          <w:b/>
          <w:sz w:val="32"/>
          <w:szCs w:val="32"/>
        </w:rPr>
      </w:pPr>
    </w:p>
    <w:p>
      <w:pPr>
        <w:rPr>
          <w:rFonts w:asciiTheme="minorEastAsia" w:hAnsiTheme="minorEastAsia" w:eastAsiaTheme="minorEastAsia"/>
          <w:b/>
          <w:sz w:val="32"/>
          <w:szCs w:val="32"/>
        </w:rPr>
      </w:pPr>
      <w:r>
        <w:rPr>
          <w:rFonts w:hint="eastAsia" w:asciiTheme="minorEastAsia" w:hAnsiTheme="minorEastAsia" w:eastAsiaTheme="minorEastAsia"/>
          <w:b/>
          <w:sz w:val="32"/>
          <w:szCs w:val="32"/>
        </w:rPr>
        <w:t>项目</w:t>
      </w:r>
      <w:r>
        <w:rPr>
          <w:rFonts w:asciiTheme="minorEastAsia" w:hAnsiTheme="minorEastAsia" w:eastAsiaTheme="minorEastAsia"/>
          <w:b/>
          <w:sz w:val="32"/>
          <w:szCs w:val="32"/>
        </w:rPr>
        <w:t>名称：</w:t>
      </w:r>
    </w:p>
    <w:p>
      <w:pPr>
        <w:rPr>
          <w:rFonts w:asciiTheme="minorEastAsia" w:hAnsiTheme="minorEastAsia" w:eastAsiaTheme="minorEastAsia"/>
          <w:b/>
          <w:sz w:val="30"/>
          <w:szCs w:val="30"/>
        </w:rPr>
      </w:pPr>
    </w:p>
    <w:p>
      <w:pPr>
        <w:rPr>
          <w:rFonts w:asciiTheme="minorEastAsia" w:hAnsiTheme="minorEastAsia" w:eastAsiaTheme="minorEastAsia"/>
          <w:b/>
          <w:sz w:val="30"/>
          <w:szCs w:val="30"/>
        </w:rPr>
      </w:pPr>
    </w:p>
    <w:p>
      <w:pPr>
        <w:rPr>
          <w:rFonts w:asciiTheme="minorEastAsia" w:hAnsiTheme="minorEastAsia" w:eastAsiaTheme="minorEastAsia"/>
          <w:b/>
          <w:sz w:val="30"/>
          <w:szCs w:val="30"/>
        </w:rPr>
      </w:pPr>
    </w:p>
    <w:p>
      <w:pPr>
        <w:rPr>
          <w:rFonts w:asciiTheme="minorEastAsia" w:hAnsiTheme="minorEastAsia" w:eastAsiaTheme="minorEastAsia"/>
          <w:b/>
          <w:sz w:val="30"/>
          <w:szCs w:val="30"/>
        </w:rPr>
      </w:pPr>
    </w:p>
    <w:p>
      <w:pPr>
        <w:rPr>
          <w:rFonts w:asciiTheme="minorEastAsia" w:hAnsiTheme="minorEastAsia" w:eastAsiaTheme="minorEastAsia"/>
          <w:b/>
          <w:sz w:val="30"/>
          <w:szCs w:val="30"/>
        </w:rPr>
      </w:pPr>
    </w:p>
    <w:p>
      <w:pPr>
        <w:rPr>
          <w:rFonts w:asciiTheme="minorEastAsia" w:hAnsiTheme="minorEastAsia" w:eastAsiaTheme="minorEastAsia"/>
          <w:b/>
          <w:sz w:val="30"/>
          <w:szCs w:val="30"/>
        </w:rPr>
      </w:pPr>
    </w:p>
    <w:p>
      <w:pPr>
        <w:rPr>
          <w:rFonts w:asciiTheme="minorEastAsia" w:hAnsiTheme="minorEastAsia" w:eastAsiaTheme="minorEastAsia"/>
          <w:b/>
          <w:sz w:val="30"/>
          <w:szCs w:val="30"/>
        </w:rPr>
      </w:pPr>
    </w:p>
    <w:p>
      <w:pPr>
        <w:rPr>
          <w:rFonts w:asciiTheme="minorEastAsia" w:hAnsiTheme="minorEastAsia" w:eastAsiaTheme="minorEastAsia"/>
          <w:b/>
          <w:sz w:val="30"/>
          <w:szCs w:val="30"/>
        </w:rPr>
      </w:pPr>
    </w:p>
    <w:p>
      <w:pPr>
        <w:rPr>
          <w:rFonts w:asciiTheme="minorEastAsia" w:hAnsiTheme="minorEastAsia" w:eastAsiaTheme="minorEastAsia"/>
          <w:b/>
          <w:sz w:val="30"/>
          <w:szCs w:val="30"/>
        </w:rPr>
      </w:pPr>
    </w:p>
    <w:p>
      <w:pPr>
        <w:rPr>
          <w:rFonts w:asciiTheme="minorEastAsia" w:hAnsiTheme="minorEastAsia" w:eastAsiaTheme="minorEastAsia"/>
          <w:b/>
          <w:sz w:val="30"/>
          <w:szCs w:val="30"/>
        </w:rPr>
      </w:pPr>
    </w:p>
    <w:p>
      <w:pPr>
        <w:rPr>
          <w:rFonts w:asciiTheme="minorEastAsia" w:hAnsiTheme="minorEastAsia" w:eastAsiaTheme="minorEastAsia"/>
          <w:b/>
          <w:sz w:val="30"/>
          <w:szCs w:val="30"/>
        </w:rPr>
      </w:pPr>
    </w:p>
    <w:p>
      <w:pPr>
        <w:rPr>
          <w:rFonts w:asciiTheme="minorEastAsia" w:hAnsiTheme="minorEastAsia" w:eastAsiaTheme="minorEastAsia"/>
          <w:b/>
          <w:sz w:val="32"/>
          <w:szCs w:val="32"/>
        </w:rPr>
      </w:pPr>
      <w:r>
        <w:rPr>
          <w:rFonts w:hint="eastAsia" w:asciiTheme="minorEastAsia" w:hAnsiTheme="minorEastAsia" w:eastAsiaTheme="minorEastAsia"/>
          <w:b/>
          <w:sz w:val="32"/>
          <w:szCs w:val="32"/>
        </w:rPr>
        <w:t>投标人</w:t>
      </w:r>
      <w:r>
        <w:rPr>
          <w:rFonts w:asciiTheme="minorEastAsia" w:hAnsiTheme="minorEastAsia" w:eastAsiaTheme="minorEastAsia"/>
          <w:b/>
          <w:sz w:val="32"/>
          <w:szCs w:val="32"/>
        </w:rPr>
        <w:t>（供应商</w:t>
      </w:r>
      <w:r>
        <w:rPr>
          <w:rFonts w:hint="eastAsia" w:asciiTheme="minorEastAsia" w:hAnsiTheme="minorEastAsia" w:eastAsiaTheme="minorEastAsia"/>
          <w:b/>
          <w:sz w:val="32"/>
          <w:szCs w:val="32"/>
        </w:rPr>
        <w:t>）</w:t>
      </w:r>
      <w:r>
        <w:rPr>
          <w:rFonts w:asciiTheme="minorEastAsia" w:hAnsiTheme="minorEastAsia" w:eastAsiaTheme="minorEastAsia"/>
          <w:b/>
          <w:sz w:val="32"/>
          <w:szCs w:val="32"/>
        </w:rPr>
        <w:t>：</w:t>
      </w:r>
    </w:p>
    <w:p>
      <w:pPr>
        <w:rPr>
          <w:rFonts w:asciiTheme="minorEastAsia" w:hAnsiTheme="minorEastAsia" w:eastAsiaTheme="minorEastAsia"/>
          <w:b/>
          <w:color w:val="FF0000"/>
          <w:sz w:val="30"/>
          <w:szCs w:val="30"/>
        </w:rPr>
      </w:pPr>
    </w:p>
    <w:p>
      <w:pPr>
        <w:rPr>
          <w:rFonts w:asciiTheme="minorEastAsia" w:hAnsiTheme="minorEastAsia" w:eastAsiaTheme="minorEastAsia"/>
          <w:b/>
          <w:color w:val="FF0000"/>
          <w:sz w:val="30"/>
          <w:szCs w:val="30"/>
        </w:rPr>
      </w:pPr>
    </w:p>
    <w:p>
      <w:pPr>
        <w:widowControl/>
        <w:jc w:val="left"/>
        <w:rPr>
          <w:rFonts w:asciiTheme="minorEastAsia" w:hAnsiTheme="minorEastAsia" w:eastAsiaTheme="minorEastAsia"/>
          <w:b/>
          <w:color w:val="FF0000"/>
          <w:sz w:val="30"/>
          <w:szCs w:val="30"/>
        </w:rPr>
      </w:pPr>
      <w:r>
        <w:rPr>
          <w:rFonts w:asciiTheme="minorEastAsia" w:hAnsiTheme="minorEastAsia" w:eastAsiaTheme="minorEastAsia"/>
          <w:b/>
          <w:color w:val="FF0000"/>
          <w:sz w:val="30"/>
          <w:szCs w:val="30"/>
        </w:rPr>
        <w:br w:type="page"/>
      </w:r>
    </w:p>
    <w:p>
      <w:pPr>
        <w:jc w:val="center"/>
        <w:rPr>
          <w:rFonts w:asciiTheme="minorEastAsia" w:hAnsiTheme="minorEastAsia" w:eastAsiaTheme="minorEastAsia"/>
          <w:b/>
          <w:sz w:val="48"/>
          <w:szCs w:val="48"/>
        </w:rPr>
      </w:pPr>
      <w:r>
        <w:rPr>
          <w:rFonts w:hint="eastAsia" w:asciiTheme="minorEastAsia" w:hAnsiTheme="minorEastAsia" w:eastAsiaTheme="minorEastAsia"/>
          <w:b/>
          <w:sz w:val="48"/>
          <w:szCs w:val="48"/>
        </w:rPr>
        <w:t>目录</w:t>
      </w:r>
    </w:p>
    <w:p>
      <w:pPr>
        <w:rPr>
          <w:rFonts w:ascii="仿宋_GB2312" w:eastAsia="仿宋_GB2312"/>
          <w:sz w:val="30"/>
          <w:szCs w:val="30"/>
        </w:rPr>
      </w:pPr>
    </w:p>
    <w:p>
      <w:pPr>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一、投标一览表                                </w:t>
      </w:r>
      <w:r>
        <w:rPr>
          <w:rFonts w:asciiTheme="minorEastAsia" w:hAnsiTheme="minorEastAsia" w:eastAsiaTheme="minorEastAsia"/>
          <w:sz w:val="28"/>
          <w:szCs w:val="28"/>
        </w:rPr>
        <w:t>2</w:t>
      </w:r>
    </w:p>
    <w:p>
      <w:pPr>
        <w:widowControl/>
        <w:jc w:val="left"/>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二、法定代表人资格证明书                      </w:t>
      </w:r>
      <w:r>
        <w:rPr>
          <w:rFonts w:asciiTheme="minorEastAsia" w:hAnsiTheme="minorEastAsia" w:eastAsiaTheme="minorEastAsia"/>
          <w:sz w:val="28"/>
          <w:szCs w:val="28"/>
        </w:rPr>
        <w:t>3</w:t>
      </w:r>
    </w:p>
    <w:p>
      <w:pPr>
        <w:jc w:val="center"/>
        <w:rPr>
          <w:rFonts w:hint="eastAsia"/>
          <w:color w:val="FF0000"/>
        </w:rPr>
      </w:pPr>
    </w:p>
    <w:p>
      <w:pPr>
        <w:jc w:val="center"/>
        <w:rPr>
          <w:rFonts w:hint="eastAsia" w:eastAsia="宋体"/>
          <w:color w:val="FF0000"/>
          <w:sz w:val="24"/>
          <w:lang w:eastAsia="zh-CN"/>
        </w:rPr>
      </w:pPr>
      <w:r>
        <w:rPr>
          <w:rFonts w:hint="eastAsia"/>
          <w:color w:val="FF0000"/>
        </w:rPr>
        <w:t>其余</w:t>
      </w:r>
      <w:r>
        <w:rPr>
          <w:rFonts w:hint="eastAsia"/>
          <w:color w:val="FF0000"/>
          <w:lang w:eastAsia="zh-CN"/>
        </w:rPr>
        <w:t>目录内容</w:t>
      </w:r>
      <w:r>
        <w:rPr>
          <w:rFonts w:hint="eastAsia"/>
          <w:color w:val="FF0000"/>
        </w:rPr>
        <w:t>由投标人</w:t>
      </w:r>
      <w:r>
        <w:rPr>
          <w:rFonts w:hint="eastAsia"/>
          <w:color w:val="FF0000"/>
          <w:lang w:eastAsia="zh-CN"/>
        </w:rPr>
        <w:t>根据投标文件拟定</w:t>
      </w:r>
    </w:p>
    <w:p>
      <w:pPr>
        <w:widowControl/>
        <w:numPr>
          <w:ilvl w:val="0"/>
          <w:numId w:val="4"/>
        </w:numPr>
        <w:jc w:val="left"/>
        <w:rPr>
          <w:rFonts w:ascii="仿宋_GB2312" w:eastAsia="仿宋_GB2312"/>
          <w:b/>
          <w:color w:val="FF0000"/>
          <w:sz w:val="30"/>
          <w:szCs w:val="30"/>
        </w:rPr>
      </w:pPr>
      <w:r>
        <w:rPr>
          <w:rFonts w:ascii="仿宋_GB2312" w:eastAsia="仿宋_GB2312"/>
          <w:b/>
          <w:color w:val="FF0000"/>
          <w:sz w:val="30"/>
          <w:szCs w:val="30"/>
        </w:rPr>
        <w:br w:type="page"/>
      </w:r>
    </w:p>
    <w:p>
      <w:pPr>
        <w:rPr>
          <w:rFonts w:ascii="仿宋_GB2312" w:eastAsia="仿宋_GB2312"/>
          <w:b/>
          <w:color w:val="FF0000"/>
          <w:sz w:val="30"/>
          <w:szCs w:val="30"/>
        </w:rPr>
      </w:pPr>
      <w:r>
        <w:rPr>
          <w:rFonts w:hint="eastAsia" w:ascii="仿宋_GB2312" w:eastAsia="仿宋_GB2312"/>
          <w:b/>
          <w:color w:val="FF0000"/>
          <w:sz w:val="30"/>
          <w:szCs w:val="30"/>
        </w:rPr>
        <w:t>投标文件第一部分：</w:t>
      </w:r>
    </w:p>
    <w:p>
      <w:pPr>
        <w:pStyle w:val="3"/>
        <w:jc w:val="center"/>
        <w:rPr>
          <w:rFonts w:ascii="华文新魏" w:hAnsi="华文新魏" w:eastAsia="华文新魏" w:cs="华文新魏"/>
          <w:bCs/>
          <w:kern w:val="0"/>
          <w:sz w:val="44"/>
          <w:szCs w:val="44"/>
        </w:rPr>
      </w:pPr>
      <w:r>
        <w:rPr>
          <w:rFonts w:hint="eastAsia" w:ascii="华文新魏" w:hAnsi="华文新魏" w:eastAsia="华文新魏" w:cs="华文新魏"/>
          <w:bCs/>
          <w:kern w:val="0"/>
          <w:sz w:val="44"/>
          <w:szCs w:val="44"/>
        </w:rPr>
        <w:t>一、投标一览表</w:t>
      </w:r>
    </w:p>
    <w:p>
      <w:pPr>
        <w:rPr>
          <w:sz w:val="24"/>
        </w:rPr>
      </w:pPr>
    </w:p>
    <w:p>
      <w:pPr>
        <w:spacing w:line="360" w:lineRule="auto"/>
        <w:rPr>
          <w:szCs w:val="21"/>
        </w:rPr>
      </w:pPr>
      <w:r>
        <w:rPr>
          <w:rFonts w:hint="eastAsia"/>
          <w:szCs w:val="21"/>
        </w:rPr>
        <w:t>投标人名称：_________________ （公章）</w:t>
      </w:r>
    </w:p>
    <w:p>
      <w:pPr>
        <w:spacing w:line="360" w:lineRule="auto"/>
        <w:rPr>
          <w:szCs w:val="21"/>
          <w:u w:val="single"/>
        </w:rPr>
      </w:pPr>
      <w:r>
        <w:rPr>
          <w:rFonts w:hint="eastAsia"/>
          <w:szCs w:val="21"/>
        </w:rPr>
        <w:t xml:space="preserve">项目编号/包号：_______________ </w:t>
      </w:r>
    </w:p>
    <w:p>
      <w:pPr>
        <w:spacing w:line="360" w:lineRule="auto"/>
        <w:rPr>
          <w:szCs w:val="21"/>
          <w:u w:val="single"/>
        </w:rPr>
      </w:pPr>
    </w:p>
    <w:tbl>
      <w:tblPr>
        <w:tblStyle w:val="54"/>
        <w:tblW w:w="8028" w:type="dxa"/>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8"/>
        <w:gridCol w:w="1980"/>
        <w:gridCol w:w="1440"/>
        <w:gridCol w:w="1620"/>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2988" w:type="dxa"/>
            <w:tcBorders>
              <w:top w:val="double" w:color="auto" w:sz="4" w:space="0"/>
              <w:bottom w:val="single" w:color="auto" w:sz="4" w:space="0"/>
            </w:tcBorders>
            <w:vAlign w:val="center"/>
          </w:tcPr>
          <w:p>
            <w:pPr>
              <w:spacing w:line="360" w:lineRule="auto"/>
              <w:rPr>
                <w:szCs w:val="21"/>
              </w:rPr>
            </w:pPr>
            <w:r>
              <w:rPr>
                <w:rFonts w:hint="eastAsia"/>
                <w:szCs w:val="21"/>
              </w:rPr>
              <w:t>项目名称</w:t>
            </w:r>
          </w:p>
        </w:tc>
        <w:tc>
          <w:tcPr>
            <w:tcW w:w="1980" w:type="dxa"/>
            <w:tcBorders>
              <w:top w:val="double" w:color="auto" w:sz="4" w:space="0"/>
              <w:bottom w:val="single" w:color="auto" w:sz="4" w:space="0"/>
            </w:tcBorders>
            <w:vAlign w:val="center"/>
          </w:tcPr>
          <w:p>
            <w:pPr>
              <w:spacing w:line="360" w:lineRule="auto"/>
              <w:rPr>
                <w:szCs w:val="21"/>
              </w:rPr>
            </w:pPr>
            <w:r>
              <w:rPr>
                <w:rFonts w:hint="eastAsia"/>
                <w:szCs w:val="21"/>
              </w:rPr>
              <w:t>投标总价（元/人民币）</w:t>
            </w:r>
          </w:p>
        </w:tc>
        <w:tc>
          <w:tcPr>
            <w:tcW w:w="1440" w:type="dxa"/>
            <w:tcBorders>
              <w:top w:val="double" w:color="auto" w:sz="4" w:space="0"/>
              <w:bottom w:val="single" w:color="auto" w:sz="4" w:space="0"/>
            </w:tcBorders>
            <w:vAlign w:val="center"/>
          </w:tcPr>
          <w:p>
            <w:pPr>
              <w:spacing w:line="360" w:lineRule="auto"/>
              <w:rPr>
                <w:szCs w:val="21"/>
              </w:rPr>
            </w:pPr>
            <w:r>
              <w:rPr>
                <w:rFonts w:hint="eastAsia"/>
                <w:szCs w:val="21"/>
              </w:rPr>
              <w:t>服务期限（天）</w:t>
            </w:r>
          </w:p>
        </w:tc>
        <w:tc>
          <w:tcPr>
            <w:tcW w:w="1620" w:type="dxa"/>
            <w:tcBorders>
              <w:top w:val="double" w:color="auto" w:sz="4" w:space="0"/>
              <w:bottom w:val="single" w:color="auto" w:sz="4" w:space="0"/>
            </w:tcBorders>
            <w:vAlign w:val="center"/>
          </w:tcPr>
          <w:p>
            <w:pPr>
              <w:spacing w:line="360" w:lineRule="auto"/>
              <w:rPr>
                <w:szCs w:val="21"/>
              </w:rPr>
            </w:pPr>
            <w:r>
              <w:rPr>
                <w:rFonts w:hint="eastAsia"/>
                <w:szCs w:val="21"/>
              </w:rPr>
              <w:t>备注</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738" w:hRule="atLeast"/>
        </w:trPr>
        <w:tc>
          <w:tcPr>
            <w:tcW w:w="2988" w:type="dxa"/>
            <w:tcBorders>
              <w:top w:val="single" w:color="auto" w:sz="4" w:space="0"/>
            </w:tcBorders>
            <w:vAlign w:val="center"/>
          </w:tcPr>
          <w:p>
            <w:pPr>
              <w:spacing w:line="360" w:lineRule="auto"/>
              <w:rPr>
                <w:szCs w:val="21"/>
                <w:u w:val="single"/>
              </w:rPr>
            </w:pPr>
            <w:r>
              <w:rPr>
                <w:rFonts w:hint="eastAsia"/>
                <w:szCs w:val="21"/>
              </w:rPr>
              <w:t>项目</w:t>
            </w:r>
          </w:p>
        </w:tc>
        <w:tc>
          <w:tcPr>
            <w:tcW w:w="1980" w:type="dxa"/>
            <w:tcBorders>
              <w:top w:val="single" w:color="auto" w:sz="4" w:space="0"/>
            </w:tcBorders>
            <w:vAlign w:val="center"/>
          </w:tcPr>
          <w:p>
            <w:pPr>
              <w:spacing w:line="360" w:lineRule="auto"/>
              <w:rPr>
                <w:szCs w:val="21"/>
              </w:rPr>
            </w:pPr>
            <w:r>
              <w:rPr>
                <w:rFonts w:hint="eastAsia"/>
                <w:szCs w:val="21"/>
              </w:rPr>
              <w:t>大写：</w:t>
            </w:r>
          </w:p>
          <w:p>
            <w:pPr>
              <w:spacing w:line="360" w:lineRule="auto"/>
              <w:rPr>
                <w:szCs w:val="21"/>
              </w:rPr>
            </w:pPr>
            <w:r>
              <w:rPr>
                <w:rFonts w:hint="eastAsia"/>
                <w:szCs w:val="21"/>
              </w:rPr>
              <w:t>小写：</w:t>
            </w:r>
          </w:p>
        </w:tc>
        <w:tc>
          <w:tcPr>
            <w:tcW w:w="1440" w:type="dxa"/>
            <w:tcBorders>
              <w:top w:val="single" w:color="auto" w:sz="4" w:space="0"/>
            </w:tcBorders>
            <w:vAlign w:val="center"/>
          </w:tcPr>
          <w:p>
            <w:pPr>
              <w:spacing w:line="360" w:lineRule="auto"/>
              <w:rPr>
                <w:szCs w:val="21"/>
              </w:rPr>
            </w:pPr>
          </w:p>
        </w:tc>
        <w:tc>
          <w:tcPr>
            <w:tcW w:w="1620" w:type="dxa"/>
            <w:tcBorders>
              <w:top w:val="single" w:color="auto" w:sz="4" w:space="0"/>
            </w:tcBorders>
            <w:vAlign w:val="center"/>
          </w:tcPr>
          <w:p>
            <w:pPr>
              <w:spacing w:line="360" w:lineRule="auto"/>
              <w:rPr>
                <w:szCs w:val="21"/>
              </w:rPr>
            </w:pPr>
          </w:p>
        </w:tc>
      </w:tr>
    </w:tbl>
    <w:p>
      <w:pPr>
        <w:spacing w:line="360" w:lineRule="auto"/>
        <w:rPr>
          <w:szCs w:val="21"/>
        </w:rPr>
      </w:pPr>
    </w:p>
    <w:p>
      <w:pPr>
        <w:spacing w:line="360" w:lineRule="auto"/>
        <w:rPr>
          <w:szCs w:val="21"/>
        </w:rPr>
      </w:pPr>
      <w:r>
        <w:rPr>
          <w:rFonts w:hint="eastAsia"/>
          <w:szCs w:val="21"/>
        </w:rPr>
        <w:t>注：1、价格应按“招标文件”中规定的货币单位填写。</w:t>
      </w:r>
    </w:p>
    <w:p>
      <w:pPr>
        <w:spacing w:line="360" w:lineRule="auto"/>
        <w:rPr>
          <w:szCs w:val="21"/>
        </w:rPr>
      </w:pPr>
      <w:r>
        <w:rPr>
          <w:rFonts w:hint="eastAsia"/>
          <w:szCs w:val="21"/>
        </w:rPr>
        <w:t>2、本项目服务期限要求为x年，即xxx个日历日。</w:t>
      </w:r>
    </w:p>
    <w:p>
      <w:pPr>
        <w:spacing w:line="360" w:lineRule="auto"/>
        <w:rPr>
          <w:szCs w:val="21"/>
        </w:rPr>
      </w:pPr>
      <w:r>
        <w:rPr>
          <w:rFonts w:hint="eastAsia"/>
          <w:szCs w:val="21"/>
        </w:rPr>
        <w:t>3、投标人如果需要对报价或其它内容加以说明，可在备注栏填写。</w:t>
      </w:r>
    </w:p>
    <w:p>
      <w:pPr>
        <w:spacing w:line="360" w:lineRule="auto"/>
        <w:rPr>
          <w:szCs w:val="21"/>
        </w:rPr>
      </w:pPr>
    </w:p>
    <w:p>
      <w:pPr>
        <w:spacing w:line="360" w:lineRule="auto"/>
        <w:rPr>
          <w:szCs w:val="21"/>
        </w:rPr>
      </w:pPr>
    </w:p>
    <w:p>
      <w:pPr>
        <w:spacing w:line="360" w:lineRule="auto"/>
        <w:rPr>
          <w:szCs w:val="21"/>
        </w:rPr>
      </w:pPr>
    </w:p>
    <w:p>
      <w:pPr>
        <w:spacing w:line="360" w:lineRule="auto"/>
        <w:rPr>
          <w:szCs w:val="21"/>
        </w:rPr>
      </w:pPr>
      <w:r>
        <w:rPr>
          <w:rFonts w:hint="eastAsia"/>
          <w:szCs w:val="21"/>
        </w:rPr>
        <w:t>投标人代表签字：____________________    日期：   年   月   日</w:t>
      </w:r>
    </w:p>
    <w:p>
      <w:pPr>
        <w:rPr>
          <w:rFonts w:ascii="宋体" w:hAnsi="宋体"/>
          <w:sz w:val="24"/>
        </w:rPr>
      </w:pPr>
      <w:r>
        <w:rPr>
          <w:szCs w:val="21"/>
        </w:rPr>
        <w:br w:type="page"/>
      </w:r>
    </w:p>
    <w:p>
      <w:pPr>
        <w:pStyle w:val="3"/>
        <w:jc w:val="center"/>
        <w:rPr>
          <w:rFonts w:ascii="华文新魏" w:hAnsi="华文新魏" w:eastAsia="华文新魏" w:cs="华文新魏"/>
          <w:b w:val="0"/>
          <w:kern w:val="0"/>
          <w:sz w:val="44"/>
          <w:szCs w:val="44"/>
        </w:rPr>
      </w:pPr>
      <w:r>
        <w:rPr>
          <w:rFonts w:hint="eastAsia" w:ascii="华文新魏" w:hAnsi="华文新魏" w:eastAsia="华文新魏" w:cs="华文新魏"/>
          <w:b w:val="0"/>
          <w:kern w:val="0"/>
          <w:sz w:val="44"/>
          <w:szCs w:val="44"/>
        </w:rPr>
        <w:t>二、法定代表人资格证明书</w:t>
      </w:r>
    </w:p>
    <w:p>
      <w:pPr>
        <w:rPr>
          <w:sz w:val="24"/>
        </w:rPr>
      </w:pPr>
    </w:p>
    <w:p>
      <w:pPr>
        <w:spacing w:line="360" w:lineRule="auto"/>
        <w:rPr>
          <w:szCs w:val="21"/>
        </w:rPr>
      </w:pPr>
      <w:r>
        <w:rPr>
          <w:rFonts w:hint="eastAsia"/>
          <w:szCs w:val="21"/>
        </w:rPr>
        <w:t>，现任我单位职务，为法定代表人，特此证明。</w:t>
      </w:r>
    </w:p>
    <w:p>
      <w:pPr>
        <w:spacing w:line="360" w:lineRule="auto"/>
        <w:rPr>
          <w:szCs w:val="21"/>
        </w:rPr>
      </w:pPr>
      <w:r>
        <w:rPr>
          <w:rFonts w:hint="eastAsia"/>
          <w:szCs w:val="21"/>
        </w:rPr>
        <w:t>有效日期：         签发日期：         单位：                      （公章）</w:t>
      </w:r>
    </w:p>
    <w:p>
      <w:pPr>
        <w:spacing w:line="360" w:lineRule="auto"/>
        <w:rPr>
          <w:szCs w:val="21"/>
        </w:rPr>
      </w:pPr>
      <w:r>
        <w:rPr>
          <w:rFonts w:hint="eastAsia"/>
          <w:szCs w:val="21"/>
        </w:rPr>
        <w:t>附：</w:t>
      </w:r>
    </w:p>
    <w:p>
      <w:pPr>
        <w:spacing w:line="360" w:lineRule="auto"/>
        <w:rPr>
          <w:szCs w:val="21"/>
        </w:rPr>
      </w:pPr>
      <w:r>
        <w:rPr>
          <w:rFonts w:hint="eastAsia"/>
          <w:szCs w:val="21"/>
        </w:rPr>
        <w:t xml:space="preserve">营业执照号码：                </w:t>
      </w:r>
    </w:p>
    <w:p>
      <w:pPr>
        <w:spacing w:line="360" w:lineRule="auto"/>
        <w:rPr>
          <w:szCs w:val="21"/>
        </w:rPr>
      </w:pPr>
      <w:r>
        <w:rPr>
          <w:rFonts w:hint="eastAsia"/>
          <w:szCs w:val="21"/>
        </w:rPr>
        <w:t>主营：</w:t>
      </w:r>
    </w:p>
    <w:p>
      <w:pPr>
        <w:spacing w:line="360" w:lineRule="auto"/>
        <w:rPr>
          <w:szCs w:val="21"/>
        </w:rPr>
      </w:pPr>
      <w:r>
        <w:rPr>
          <w:rFonts w:hint="eastAsia"/>
          <w:szCs w:val="21"/>
        </w:rPr>
        <w:t>兼营：</w:t>
      </w:r>
    </w:p>
    <w:p>
      <w:pPr>
        <w:spacing w:line="360" w:lineRule="auto"/>
        <w:ind w:firstLine="420" w:firstLineChars="200"/>
        <w:rPr>
          <w:szCs w:val="21"/>
        </w:rPr>
      </w:pPr>
      <w:r>
        <w:rPr>
          <w:rFonts w:hint="eastAsia"/>
          <w:szCs w:val="21"/>
        </w:rPr>
        <w:t>说明：</w:t>
      </w:r>
    </w:p>
    <w:p>
      <w:pPr>
        <w:spacing w:line="360" w:lineRule="auto"/>
        <w:ind w:firstLine="525" w:firstLineChars="250"/>
        <w:rPr>
          <w:szCs w:val="21"/>
        </w:rPr>
      </w:pPr>
      <w:r>
        <w:rPr>
          <w:rFonts w:hint="eastAsia"/>
          <w:szCs w:val="21"/>
        </w:rPr>
        <w:t>1、法定代表人为企业事业单位、国家机关、社会团体的主要行政负责人。</w:t>
      </w:r>
    </w:p>
    <w:p>
      <w:pPr>
        <w:rPr>
          <w:szCs w:val="21"/>
        </w:rPr>
      </w:pPr>
      <w:r>
        <w:rPr>
          <w:rFonts w:hint="eastAsia"/>
          <w:szCs w:val="21"/>
        </w:rPr>
        <w:t xml:space="preserve">     2、内容必须填写真实、清楚，涂改无效，不得转让、买卖。</w:t>
      </w:r>
    </w:p>
    <w:p>
      <w:pPr>
        <w:rPr>
          <w:sz w:val="24"/>
        </w:rPr>
      </w:pPr>
    </w:p>
    <w:p>
      <w:pPr>
        <w:rPr>
          <w:b/>
          <w:bCs/>
          <w:sz w:val="24"/>
        </w:rPr>
      </w:pPr>
    </w:p>
    <w:p>
      <w:pPr>
        <w:rPr>
          <w:b/>
          <w:bCs/>
          <w:sz w:val="24"/>
        </w:rPr>
      </w:pPr>
    </w:p>
    <w:p>
      <w:pPr>
        <w:rPr>
          <w:b/>
          <w:bCs/>
          <w:sz w:val="24"/>
        </w:rPr>
      </w:pPr>
    </w:p>
    <w:p>
      <w:pPr>
        <w:pStyle w:val="3"/>
        <w:spacing w:before="120" w:after="120"/>
        <w:jc w:val="center"/>
        <w:rPr>
          <w:rFonts w:ascii="华文新魏" w:hAnsi="华文新魏" w:eastAsia="华文新魏" w:cs="华文新魏"/>
          <w:b w:val="0"/>
          <w:kern w:val="0"/>
          <w:sz w:val="44"/>
          <w:szCs w:val="44"/>
        </w:rPr>
      </w:pPr>
      <w:r>
        <w:rPr>
          <w:rFonts w:hint="eastAsia" w:ascii="华文新魏" w:hAnsi="华文新魏" w:eastAsia="华文新魏" w:cs="华文新魏"/>
          <w:b w:val="0"/>
          <w:kern w:val="0"/>
          <w:sz w:val="44"/>
          <w:szCs w:val="44"/>
        </w:rPr>
        <w:t>三、投标文件签署授权委托书</w:t>
      </w:r>
    </w:p>
    <w:p>
      <w:pPr>
        <w:spacing w:line="360" w:lineRule="auto"/>
        <w:ind w:firstLine="420" w:firstLineChars="200"/>
        <w:rPr>
          <w:szCs w:val="21"/>
        </w:rPr>
      </w:pPr>
      <w:r>
        <w:rPr>
          <w:rFonts w:hint="eastAsia"/>
          <w:szCs w:val="21"/>
        </w:rPr>
        <w:t>本授权委托书声明：我（姓名）系（投标人名称）的法定代表人，现授权委托（单位名称）的（姓名）为我公司签署本项目已递交的投标文件的法定代表人的授权委托代理人，代理人全权代表我所签署的本项目已递交的投标文件内容我均承认。</w:t>
      </w:r>
    </w:p>
    <w:p>
      <w:pPr>
        <w:pStyle w:val="7"/>
        <w:spacing w:line="360" w:lineRule="auto"/>
        <w:rPr>
          <w:szCs w:val="21"/>
        </w:rPr>
      </w:pPr>
      <w:r>
        <w:rPr>
          <w:rFonts w:hint="eastAsia"/>
          <w:szCs w:val="21"/>
        </w:rPr>
        <w:t>代理人无转委托权，特此委托。</w:t>
      </w:r>
    </w:p>
    <w:p>
      <w:pPr>
        <w:rPr>
          <w:szCs w:val="21"/>
        </w:rPr>
      </w:pPr>
    </w:p>
    <w:p>
      <w:pPr>
        <w:spacing w:line="360" w:lineRule="auto"/>
        <w:ind w:left="540" w:leftChars="257"/>
        <w:rPr>
          <w:szCs w:val="21"/>
          <w:u w:val="single"/>
        </w:rPr>
      </w:pPr>
      <w:r>
        <w:rPr>
          <w:rFonts w:hint="eastAsia"/>
          <w:szCs w:val="21"/>
        </w:rPr>
        <w:t>代理人：</w:t>
      </w:r>
    </w:p>
    <w:p>
      <w:pPr>
        <w:spacing w:line="360" w:lineRule="auto"/>
        <w:ind w:left="540" w:leftChars="257"/>
        <w:rPr>
          <w:szCs w:val="21"/>
          <w:u w:val="single"/>
        </w:rPr>
      </w:pPr>
      <w:r>
        <w:rPr>
          <w:rFonts w:hint="eastAsia"/>
          <w:szCs w:val="21"/>
        </w:rPr>
        <w:t>投标人：</w:t>
      </w:r>
    </w:p>
    <w:p>
      <w:pPr>
        <w:spacing w:line="360" w:lineRule="auto"/>
        <w:ind w:left="540" w:leftChars="257"/>
        <w:rPr>
          <w:szCs w:val="21"/>
        </w:rPr>
      </w:pPr>
      <w:r>
        <w:rPr>
          <w:rFonts w:hint="eastAsia"/>
          <w:szCs w:val="21"/>
        </w:rPr>
        <w:t>法定代表人：（签字或</w:t>
      </w:r>
      <w:r>
        <w:rPr>
          <w:szCs w:val="21"/>
        </w:rPr>
        <w:t>签章</w:t>
      </w:r>
      <w:r>
        <w:rPr>
          <w:rFonts w:hint="eastAsia"/>
          <w:szCs w:val="21"/>
        </w:rPr>
        <w:t>）（公章）</w:t>
      </w:r>
    </w:p>
    <w:p>
      <w:pPr>
        <w:spacing w:line="360" w:lineRule="auto"/>
        <w:ind w:left="540" w:leftChars="257"/>
        <w:rPr>
          <w:szCs w:val="21"/>
        </w:rPr>
      </w:pPr>
      <w:r>
        <w:rPr>
          <w:rFonts w:hint="eastAsia"/>
          <w:szCs w:val="21"/>
        </w:rPr>
        <w:t>授权委托日期：年月 日</w:t>
      </w:r>
    </w:p>
    <w:p>
      <w:pPr>
        <w:spacing w:line="360" w:lineRule="auto"/>
        <w:ind w:left="540" w:leftChars="257"/>
        <w:rPr>
          <w:szCs w:val="21"/>
        </w:rPr>
      </w:pPr>
    </w:p>
    <w:p>
      <w:pPr>
        <w:rPr>
          <w:kern w:val="0"/>
        </w:rPr>
      </w:pPr>
      <w:r>
        <w:rPr>
          <w:kern w:val="0"/>
        </w:rPr>
        <w:br w:type="page"/>
      </w:r>
    </w:p>
    <w:p>
      <w:pPr>
        <w:pStyle w:val="3"/>
        <w:jc w:val="center"/>
        <w:rPr>
          <w:rFonts w:ascii="华文新魏" w:hAnsi="华文新魏" w:eastAsia="华文新魏" w:cs="华文新魏"/>
          <w:b w:val="0"/>
          <w:kern w:val="0"/>
          <w:sz w:val="44"/>
          <w:szCs w:val="44"/>
        </w:rPr>
      </w:pPr>
      <w:r>
        <w:rPr>
          <w:rFonts w:hint="eastAsia" w:ascii="华文新魏" w:hAnsi="华文新魏" w:eastAsia="华文新魏" w:cs="华文新魏"/>
          <w:b w:val="0"/>
          <w:kern w:val="0"/>
          <w:sz w:val="44"/>
          <w:szCs w:val="44"/>
        </w:rPr>
        <w:t>四、投标函</w:t>
      </w:r>
    </w:p>
    <w:p>
      <w:pPr>
        <w:spacing w:line="360" w:lineRule="auto"/>
        <w:rPr>
          <w:rFonts w:ascii="宋体" w:hAnsi="宋体"/>
          <w:szCs w:val="21"/>
        </w:rPr>
      </w:pPr>
      <w:r>
        <w:rPr>
          <w:rFonts w:hint="eastAsia" w:ascii="宋体" w:hAnsi="宋体"/>
          <w:szCs w:val="21"/>
        </w:rPr>
        <w:t>致：</w:t>
      </w:r>
      <w:r>
        <w:rPr>
          <w:rFonts w:hint="eastAsia"/>
          <w:szCs w:val="21"/>
          <w:u w:val="single"/>
        </w:rPr>
        <w:t>深圳市深大体育文化发展有限公司</w:t>
      </w:r>
    </w:p>
    <w:p>
      <w:pPr>
        <w:spacing w:after="120" w:afterLines="50"/>
        <w:ind w:firstLine="420" w:firstLineChars="200"/>
        <w:rPr>
          <w:szCs w:val="21"/>
        </w:rPr>
      </w:pPr>
      <w:r>
        <w:rPr>
          <w:rFonts w:hint="eastAsia"/>
          <w:szCs w:val="21"/>
        </w:rPr>
        <w:t>1、根据已收到贵方的招标编号为SZUTT2021001GC</w:t>
      </w:r>
      <w:r>
        <w:rPr>
          <w:rFonts w:hint="eastAsia"/>
          <w:color w:val="auto"/>
          <w:szCs w:val="21"/>
        </w:rPr>
        <w:t>的</w:t>
      </w:r>
      <w:r>
        <w:rPr>
          <w:rFonts w:hint="eastAsia"/>
          <w:szCs w:val="21"/>
        </w:rPr>
        <w:t>项目的招标文件，遵照《深圳经济特区政府采购条例》和《深圳经济特区政府采购条例实施细则》等有关规定，我单位经研究上述招标文件的专用条款及通用条款后，我方愿以《投标一览表》中填写的投标报价并按招标文件要求承包上述项目并修补其任何缺陷。</w:t>
      </w:r>
    </w:p>
    <w:p>
      <w:pPr>
        <w:spacing w:after="120" w:afterLines="50"/>
        <w:ind w:firstLine="420" w:firstLineChars="200"/>
        <w:rPr>
          <w:szCs w:val="21"/>
        </w:rPr>
      </w:pPr>
      <w:r>
        <w:rPr>
          <w:rFonts w:hint="eastAsia" w:ascii="宋体" w:hAnsi="宋体"/>
          <w:szCs w:val="21"/>
        </w:rPr>
        <w:t>2、</w:t>
      </w:r>
      <w:r>
        <w:rPr>
          <w:rFonts w:hint="eastAsia"/>
          <w:szCs w:val="21"/>
        </w:rPr>
        <w:t>如果我方中标，我方将按照招标文件要求以形式提交合同价款的％作为履约担保，共同地和分别地承担责任。</w:t>
      </w:r>
    </w:p>
    <w:p>
      <w:pPr>
        <w:spacing w:after="120" w:afterLines="50"/>
        <w:ind w:firstLine="411" w:firstLineChars="196"/>
        <w:rPr>
          <w:rFonts w:ascii="宋体" w:hAnsi="宋体"/>
          <w:szCs w:val="21"/>
        </w:rPr>
      </w:pPr>
      <w:r>
        <w:rPr>
          <w:rFonts w:hint="eastAsia" w:ascii="宋体" w:hAnsi="宋体"/>
          <w:szCs w:val="21"/>
        </w:rPr>
        <w:t>3、我方同意所递交的投标文件在“对通用条款的补充内容”中的投标有效期内有效，在此期间内我方的投标有可能中标，我方将受此约束。</w:t>
      </w:r>
    </w:p>
    <w:p>
      <w:pPr>
        <w:spacing w:after="120" w:afterLines="50"/>
        <w:ind w:firstLine="411" w:firstLineChars="196"/>
        <w:rPr>
          <w:rFonts w:ascii="宋体" w:hAnsi="宋体"/>
          <w:szCs w:val="21"/>
        </w:rPr>
      </w:pPr>
      <w:r>
        <w:rPr>
          <w:rFonts w:hint="eastAsia" w:ascii="宋体" w:hAnsi="宋体"/>
          <w:szCs w:val="21"/>
        </w:rPr>
        <w:t>4、除非另外达成协议并生效，贵方的中标通知书和本投标文件将构成约束我们双方的合同。</w:t>
      </w:r>
    </w:p>
    <w:p>
      <w:pPr>
        <w:spacing w:after="120" w:afterLines="50"/>
        <w:ind w:firstLine="411" w:firstLineChars="196"/>
        <w:rPr>
          <w:rFonts w:ascii="宋体" w:hAnsi="宋体"/>
          <w:szCs w:val="21"/>
        </w:rPr>
      </w:pPr>
      <w:r>
        <w:rPr>
          <w:rFonts w:hint="eastAsia" w:ascii="宋体" w:hAnsi="宋体"/>
          <w:szCs w:val="21"/>
        </w:rPr>
        <w:t>5、我方理解贵方将不受必须接受你们所收到的最低标价或其它任何投标文件的约束。</w:t>
      </w:r>
    </w:p>
    <w:p>
      <w:pPr>
        <w:ind w:left="540" w:leftChars="257"/>
        <w:rPr>
          <w:szCs w:val="21"/>
        </w:rPr>
      </w:pPr>
      <w:r>
        <w:rPr>
          <w:rFonts w:hint="eastAsia"/>
          <w:szCs w:val="21"/>
        </w:rPr>
        <w:t xml:space="preserve">投标人：   （公章） </w:t>
      </w:r>
    </w:p>
    <w:p>
      <w:pPr>
        <w:ind w:left="540" w:leftChars="257"/>
        <w:rPr>
          <w:szCs w:val="21"/>
          <w:u w:val="single"/>
        </w:rPr>
      </w:pPr>
      <w:r>
        <w:rPr>
          <w:rFonts w:hint="eastAsia"/>
          <w:szCs w:val="21"/>
        </w:rPr>
        <w:t>单位地址：</w:t>
      </w:r>
    </w:p>
    <w:p>
      <w:pPr>
        <w:ind w:left="540" w:leftChars="257"/>
        <w:rPr>
          <w:szCs w:val="21"/>
          <w:u w:val="single"/>
        </w:rPr>
      </w:pPr>
      <w:r>
        <w:rPr>
          <w:rFonts w:hint="eastAsia"/>
          <w:szCs w:val="21"/>
        </w:rPr>
        <w:t>法定代表人或其委托代理人：</w:t>
      </w:r>
      <w:r>
        <w:rPr>
          <w:rFonts w:hint="eastAsia"/>
          <w:szCs w:val="21"/>
          <w:u w:val="single"/>
        </w:rPr>
        <w:t xml:space="preserve"> （签字</w:t>
      </w:r>
      <w:r>
        <w:rPr>
          <w:szCs w:val="21"/>
          <w:u w:val="single"/>
        </w:rPr>
        <w:t>或签章</w:t>
      </w:r>
      <w:r>
        <w:rPr>
          <w:rFonts w:hint="eastAsia"/>
          <w:szCs w:val="21"/>
          <w:u w:val="single"/>
        </w:rPr>
        <w:t xml:space="preserve">） </w:t>
      </w:r>
    </w:p>
    <w:p>
      <w:pPr>
        <w:ind w:left="540" w:leftChars="257"/>
        <w:rPr>
          <w:szCs w:val="21"/>
          <w:u w:val="single"/>
        </w:rPr>
      </w:pPr>
      <w:r>
        <w:rPr>
          <w:rFonts w:hint="eastAsia"/>
          <w:szCs w:val="21"/>
        </w:rPr>
        <w:t>邮政编码：  电话：  传真：</w:t>
      </w:r>
    </w:p>
    <w:p>
      <w:pPr>
        <w:ind w:left="540" w:leftChars="257"/>
        <w:rPr>
          <w:szCs w:val="21"/>
        </w:rPr>
      </w:pPr>
      <w:r>
        <w:rPr>
          <w:rFonts w:hint="eastAsia"/>
          <w:szCs w:val="21"/>
        </w:rPr>
        <w:t>开户银行名称：</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rPr>
        <w:tab/>
      </w:r>
      <w:r>
        <w:rPr>
          <w:rFonts w:hint="eastAsia"/>
          <w:szCs w:val="21"/>
        </w:rPr>
        <w:t>开户银行帐号：</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p>
    <w:p>
      <w:pPr>
        <w:ind w:left="540" w:leftChars="257"/>
        <w:rPr>
          <w:szCs w:val="21"/>
        </w:rPr>
      </w:pPr>
      <w:r>
        <w:rPr>
          <w:rFonts w:hint="eastAsia"/>
          <w:szCs w:val="21"/>
        </w:rPr>
        <w:t>开户银行地址：</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r>
        <w:rPr>
          <w:rFonts w:hint="eastAsia"/>
          <w:szCs w:val="21"/>
        </w:rPr>
        <w:tab/>
      </w:r>
      <w:r>
        <w:rPr>
          <w:rFonts w:hint="eastAsia"/>
          <w:szCs w:val="21"/>
        </w:rPr>
        <w:t>开户银行电话：</w:t>
      </w:r>
      <w:r>
        <w:rPr>
          <w:rFonts w:hint="eastAsia"/>
          <w:szCs w:val="21"/>
          <w:u w:val="single"/>
        </w:rPr>
        <w:tab/>
      </w:r>
      <w:r>
        <w:rPr>
          <w:rFonts w:hint="eastAsia"/>
          <w:szCs w:val="21"/>
          <w:u w:val="single"/>
        </w:rPr>
        <w:tab/>
      </w:r>
      <w:r>
        <w:rPr>
          <w:rFonts w:hint="eastAsia"/>
          <w:szCs w:val="21"/>
          <w:u w:val="single"/>
        </w:rPr>
        <w:tab/>
      </w:r>
      <w:r>
        <w:rPr>
          <w:rFonts w:hint="eastAsia"/>
          <w:szCs w:val="21"/>
          <w:u w:val="single"/>
        </w:rPr>
        <w:tab/>
      </w:r>
    </w:p>
    <w:p>
      <w:pPr>
        <w:ind w:firstLine="539" w:firstLineChars="257"/>
        <w:rPr>
          <w:sz w:val="24"/>
        </w:rPr>
      </w:pPr>
      <w:r>
        <w:rPr>
          <w:rFonts w:hint="eastAsia" w:ascii="宋体" w:hAnsi="宋体"/>
          <w:szCs w:val="21"/>
        </w:rPr>
        <w:t>日期：年月日</w:t>
      </w:r>
    </w:p>
    <w:p>
      <w:pPr>
        <w:rPr>
          <w:rFonts w:ascii="黑体" w:hAnsi="宋体" w:eastAsia="黑体"/>
        </w:rPr>
      </w:pPr>
    </w:p>
    <w:p>
      <w:pPr>
        <w:pStyle w:val="3"/>
        <w:jc w:val="center"/>
        <w:rPr>
          <w:rFonts w:ascii="华文新魏" w:hAnsi="华文新魏" w:eastAsia="华文新魏" w:cs="华文新魏"/>
          <w:b w:val="0"/>
          <w:kern w:val="0"/>
          <w:sz w:val="44"/>
          <w:szCs w:val="44"/>
        </w:rPr>
      </w:pPr>
      <w:r>
        <w:rPr>
          <w:rFonts w:hint="eastAsia" w:ascii="华文新魏" w:hAnsi="华文新魏" w:eastAsia="华文新魏" w:cs="华文新魏"/>
          <w:b w:val="0"/>
          <w:kern w:val="0"/>
          <w:sz w:val="44"/>
          <w:szCs w:val="44"/>
        </w:rPr>
        <w:t>五、承诺函</w:t>
      </w:r>
    </w:p>
    <w:p>
      <w:pPr>
        <w:rPr>
          <w:rFonts w:ascii="宋体" w:hAnsi="宋体"/>
          <w:sz w:val="24"/>
        </w:rPr>
      </w:pPr>
    </w:p>
    <w:p>
      <w:pPr>
        <w:rPr>
          <w:rFonts w:ascii="宋体" w:hAnsi="宋体"/>
          <w:szCs w:val="21"/>
        </w:rPr>
      </w:pPr>
      <w:r>
        <w:rPr>
          <w:rFonts w:hint="eastAsia" w:ascii="宋体" w:hAnsi="宋体"/>
          <w:szCs w:val="21"/>
        </w:rPr>
        <w:t>致：</w:t>
      </w:r>
      <w:r>
        <w:rPr>
          <w:rFonts w:hint="eastAsia"/>
          <w:szCs w:val="21"/>
          <w:u w:val="single"/>
        </w:rPr>
        <w:t>深圳市深大体育文化发展有限公司</w:t>
      </w:r>
    </w:p>
    <w:p>
      <w:pPr>
        <w:rPr>
          <w:rFonts w:ascii="宋体" w:hAnsi="宋体"/>
          <w:szCs w:val="21"/>
        </w:rPr>
      </w:pPr>
    </w:p>
    <w:p>
      <w:pPr>
        <w:ind w:firstLine="540"/>
        <w:rPr>
          <w:rFonts w:ascii="宋体" w:hAnsi="宋体"/>
          <w:szCs w:val="21"/>
        </w:rPr>
      </w:pPr>
      <w:r>
        <w:rPr>
          <w:rFonts w:hint="eastAsia" w:ascii="宋体" w:hAnsi="宋体"/>
          <w:szCs w:val="21"/>
        </w:rPr>
        <w:t>我公司承诺：</w:t>
      </w:r>
    </w:p>
    <w:p>
      <w:pPr>
        <w:ind w:firstLine="540"/>
        <w:rPr>
          <w:rFonts w:ascii="宋体" w:hAnsi="宋体"/>
          <w:szCs w:val="21"/>
        </w:rPr>
      </w:pPr>
      <w:r>
        <w:rPr>
          <w:rFonts w:hint="eastAsia" w:ascii="宋体" w:hAnsi="宋体"/>
          <w:szCs w:val="21"/>
        </w:rPr>
        <w:t>1.对本招标项目所提供的货物、工程或服务未侵犯知识产权。我公司已清楚，提供虚假承诺或者被有关单位确认为侵犯知识产权的，三年内不得参加深圳市深大体育文化发展有限公司采购活动。</w:t>
      </w:r>
    </w:p>
    <w:p>
      <w:pPr>
        <w:ind w:firstLine="540"/>
        <w:rPr>
          <w:rFonts w:ascii="宋体" w:hAnsi="宋体"/>
          <w:color w:val="FF0000"/>
          <w:szCs w:val="21"/>
        </w:rPr>
      </w:pPr>
      <w:r>
        <w:rPr>
          <w:rFonts w:hint="eastAsia" w:ascii="宋体" w:hAnsi="宋体"/>
          <w:color w:val="FF0000"/>
          <w:szCs w:val="21"/>
        </w:rPr>
        <w:t>2.在本项目投标过程中不弄虚作假，不隐瞒真实情况，不围标串标，不恶意质疑投诉。我公司已清楚，如违反上述要求，其投标将作废，被列入不良记录名单并在网上曝光，同时将被提请深圳大学采购监督管理部门给予一定年限内禁止参与深圳大学采购活动或其他处罚。</w:t>
      </w:r>
    </w:p>
    <w:p>
      <w:pPr>
        <w:ind w:firstLine="540"/>
        <w:rPr>
          <w:rFonts w:ascii="宋体" w:hAnsi="宋体"/>
          <w:color w:val="FF0000"/>
          <w:szCs w:val="21"/>
        </w:rPr>
      </w:pPr>
      <w:r>
        <w:rPr>
          <w:rFonts w:hint="eastAsia" w:ascii="宋体" w:hAnsi="宋体"/>
          <w:color w:val="FF0000"/>
          <w:szCs w:val="21"/>
        </w:rPr>
        <w:t>3.在本项目招标过程中，评标委员会若对投标人进行现场勘察或实地考察或检验有关证明材料的原件，我公司将随时做好接受检查的准备。</w:t>
      </w:r>
    </w:p>
    <w:p>
      <w:pPr>
        <w:rPr>
          <w:rFonts w:ascii="宋体" w:hAnsi="宋体"/>
          <w:szCs w:val="21"/>
        </w:rPr>
      </w:pPr>
      <w:r>
        <w:rPr>
          <w:rFonts w:hint="eastAsia" w:ascii="宋体" w:hAnsi="宋体"/>
          <w:szCs w:val="21"/>
        </w:rPr>
        <w:t xml:space="preserve">     4.接受、遵守、满足招标文件第二章  招标项目需求 中要求的全部内容。</w:t>
      </w:r>
    </w:p>
    <w:p>
      <w:pPr>
        <w:rPr>
          <w:rFonts w:ascii="宋体" w:hAnsi="宋体"/>
          <w:szCs w:val="21"/>
        </w:rPr>
      </w:pPr>
    </w:p>
    <w:p>
      <w:pPr>
        <w:ind w:firstLine="645"/>
        <w:rPr>
          <w:rFonts w:ascii="宋体" w:hAnsi="宋体"/>
          <w:szCs w:val="21"/>
        </w:rPr>
      </w:pPr>
      <w:r>
        <w:rPr>
          <w:rFonts w:hint="eastAsia" w:ascii="宋体" w:hAnsi="宋体"/>
          <w:szCs w:val="21"/>
        </w:rPr>
        <w:t xml:space="preserve">                       公司名称：                         （公章）</w:t>
      </w:r>
    </w:p>
    <w:p>
      <w:pPr>
        <w:ind w:firstLine="645"/>
        <w:rPr>
          <w:rFonts w:ascii="宋体" w:hAnsi="宋体"/>
          <w:szCs w:val="21"/>
        </w:rPr>
      </w:pPr>
    </w:p>
    <w:p>
      <w:pPr>
        <w:pStyle w:val="22"/>
        <w:ind w:firstLine="420" w:firstLineChars="200"/>
        <w:rPr>
          <w:rFonts w:ascii="宋体"/>
          <w:b w:val="0"/>
          <w:sz w:val="21"/>
          <w:szCs w:val="21"/>
        </w:rPr>
      </w:pPr>
      <w:r>
        <w:rPr>
          <w:rFonts w:hint="eastAsia" w:ascii="宋体"/>
          <w:b w:val="0"/>
          <w:sz w:val="21"/>
          <w:szCs w:val="21"/>
        </w:rPr>
        <w:t xml:space="preserve">                                                     二〇    年   月    日</w:t>
      </w:r>
    </w:p>
    <w:p>
      <w:pPr>
        <w:pStyle w:val="22"/>
        <w:ind w:firstLine="420" w:firstLineChars="200"/>
        <w:rPr>
          <w:rFonts w:ascii="宋体"/>
          <w:b w:val="0"/>
          <w:sz w:val="21"/>
          <w:szCs w:val="21"/>
        </w:rPr>
      </w:pPr>
    </w:p>
    <w:p>
      <w:pPr>
        <w:widowControl/>
        <w:jc w:val="left"/>
      </w:pPr>
      <w:bookmarkStart w:id="23" w:name="_Toc73521688"/>
      <w:bookmarkStart w:id="24" w:name="_Toc73518172"/>
      <w:bookmarkStart w:id="25" w:name="_Toc73517694"/>
      <w:bookmarkStart w:id="26" w:name="_Toc73521600"/>
      <w:r>
        <w:br w:type="page"/>
      </w:r>
    </w:p>
    <w:p>
      <w:pPr>
        <w:pStyle w:val="3"/>
        <w:jc w:val="center"/>
        <w:rPr>
          <w:rFonts w:ascii="华文新魏" w:hAnsi="华文新魏" w:eastAsia="华文新魏" w:cs="华文新魏"/>
          <w:b w:val="0"/>
          <w:kern w:val="0"/>
          <w:sz w:val="44"/>
          <w:szCs w:val="44"/>
        </w:rPr>
      </w:pPr>
      <w:r>
        <w:rPr>
          <w:rFonts w:hint="eastAsia" w:ascii="华文新魏" w:hAnsi="华文新魏" w:eastAsia="华文新魏" w:cs="华文新魏"/>
          <w:b w:val="0"/>
          <w:kern w:val="0"/>
          <w:sz w:val="44"/>
          <w:szCs w:val="44"/>
        </w:rPr>
        <w:t>六、无违法违规行为承诺函</w:t>
      </w:r>
    </w:p>
    <w:p>
      <w:pPr>
        <w:rPr>
          <w:rFonts w:ascii="宋体" w:hAnsi="宋体"/>
          <w:sz w:val="24"/>
        </w:rPr>
      </w:pPr>
    </w:p>
    <w:p>
      <w:pPr>
        <w:rPr>
          <w:rFonts w:ascii="宋体" w:hAnsi="宋体"/>
          <w:szCs w:val="21"/>
        </w:rPr>
      </w:pPr>
      <w:r>
        <w:rPr>
          <w:rFonts w:hint="eastAsia"/>
          <w:szCs w:val="21"/>
          <w:u w:val="single"/>
        </w:rPr>
        <w:t>深圳市深大体育文化发展有限公司</w:t>
      </w:r>
      <w:r>
        <w:rPr>
          <w:rFonts w:hint="eastAsia" w:ascii="宋体" w:hAnsi="宋体"/>
          <w:szCs w:val="21"/>
        </w:rPr>
        <w:t>：</w:t>
      </w:r>
    </w:p>
    <w:p>
      <w:pPr>
        <w:rPr>
          <w:rFonts w:ascii="宋体" w:hAnsi="宋体"/>
          <w:szCs w:val="21"/>
        </w:rPr>
      </w:pPr>
    </w:p>
    <w:p>
      <w:pPr>
        <w:spacing w:line="360" w:lineRule="auto"/>
        <w:rPr>
          <w:rFonts w:ascii="宋体" w:hAnsi="宋体"/>
          <w:szCs w:val="21"/>
        </w:rPr>
      </w:pPr>
      <w:r>
        <w:rPr>
          <w:rFonts w:hint="eastAsia" w:ascii="宋体" w:hAnsi="宋体"/>
          <w:szCs w:val="21"/>
        </w:rPr>
        <w:t>我公司在参加本次项目投标活动</w:t>
      </w:r>
      <w:r>
        <w:rPr>
          <w:rFonts w:ascii="宋体" w:hAnsi="宋体"/>
          <w:szCs w:val="21"/>
        </w:rPr>
        <w:t>中，作出如下承诺</w:t>
      </w:r>
      <w:r>
        <w:rPr>
          <w:rFonts w:hint="eastAsia" w:ascii="宋体" w:hAnsi="宋体"/>
          <w:szCs w:val="21"/>
        </w:rPr>
        <w:t>：</w:t>
      </w:r>
    </w:p>
    <w:p>
      <w:pPr>
        <w:spacing w:line="360" w:lineRule="auto"/>
        <w:ind w:firstLine="424" w:firstLineChars="202"/>
        <w:rPr>
          <w:rFonts w:ascii="宋体" w:hAnsi="宋体"/>
          <w:szCs w:val="21"/>
        </w:rPr>
      </w:pPr>
      <w:r>
        <w:rPr>
          <w:rFonts w:hint="eastAsia" w:ascii="宋体" w:hAnsi="宋体"/>
          <w:szCs w:val="21"/>
        </w:rPr>
        <w:t>一</w:t>
      </w:r>
      <w:r>
        <w:rPr>
          <w:rFonts w:ascii="宋体" w:hAnsi="宋体"/>
          <w:szCs w:val="21"/>
        </w:rPr>
        <w:t>、参加本次采购活动前三年内，在经营活动中没有重大非法记录，</w:t>
      </w:r>
    </w:p>
    <w:p>
      <w:pPr>
        <w:spacing w:line="360" w:lineRule="auto"/>
        <w:ind w:firstLine="424" w:firstLineChars="202"/>
        <w:rPr>
          <w:rFonts w:ascii="宋体" w:hAnsi="宋体"/>
          <w:szCs w:val="21"/>
        </w:rPr>
      </w:pPr>
      <w:r>
        <w:rPr>
          <w:rFonts w:hint="eastAsia" w:ascii="宋体" w:hAnsi="宋体"/>
          <w:szCs w:val="21"/>
        </w:rPr>
        <w:t>二</w:t>
      </w:r>
      <w:r>
        <w:rPr>
          <w:rFonts w:ascii="宋体" w:hAnsi="宋体"/>
          <w:szCs w:val="21"/>
        </w:rPr>
        <w:t>、未挂靠</w:t>
      </w:r>
      <w:r>
        <w:rPr>
          <w:rFonts w:hint="eastAsia" w:ascii="宋体" w:hAnsi="宋体"/>
          <w:szCs w:val="21"/>
        </w:rPr>
        <w:t>、</w:t>
      </w:r>
      <w:r>
        <w:rPr>
          <w:rFonts w:ascii="宋体" w:hAnsi="宋体"/>
          <w:szCs w:val="21"/>
        </w:rPr>
        <w:t>借用资质进行投标等违法违规行为，</w:t>
      </w:r>
    </w:p>
    <w:p>
      <w:pPr>
        <w:spacing w:line="360" w:lineRule="auto"/>
        <w:ind w:firstLine="424" w:firstLineChars="202"/>
        <w:rPr>
          <w:rFonts w:ascii="宋体" w:hAnsi="宋体"/>
          <w:szCs w:val="21"/>
        </w:rPr>
      </w:pPr>
      <w:r>
        <w:rPr>
          <w:rFonts w:hint="eastAsia" w:ascii="宋体" w:hAnsi="宋体"/>
          <w:szCs w:val="21"/>
        </w:rPr>
        <w:t>三</w:t>
      </w:r>
      <w:r>
        <w:rPr>
          <w:rFonts w:ascii="宋体" w:hAnsi="宋体"/>
          <w:szCs w:val="21"/>
        </w:rPr>
        <w:t>、提供的相关文件均真实、有效。</w:t>
      </w:r>
    </w:p>
    <w:p>
      <w:pPr>
        <w:spacing w:line="360" w:lineRule="auto"/>
        <w:ind w:firstLine="424" w:firstLineChars="202"/>
        <w:rPr>
          <w:rFonts w:ascii="宋体" w:hAnsi="宋体"/>
          <w:szCs w:val="21"/>
        </w:rPr>
      </w:pPr>
      <w:r>
        <w:rPr>
          <w:rFonts w:hint="eastAsia" w:ascii="宋体" w:hAnsi="宋体"/>
          <w:szCs w:val="21"/>
        </w:rPr>
        <w:t>若查实</w:t>
      </w:r>
      <w:r>
        <w:rPr>
          <w:rFonts w:ascii="宋体" w:hAnsi="宋体"/>
          <w:szCs w:val="21"/>
        </w:rPr>
        <w:t>我公司提供的</w:t>
      </w:r>
      <w:r>
        <w:rPr>
          <w:rFonts w:hint="eastAsia" w:ascii="宋体" w:hAnsi="宋体"/>
          <w:szCs w:val="21"/>
        </w:rPr>
        <w:t>资料</w:t>
      </w:r>
      <w:r>
        <w:rPr>
          <w:rFonts w:ascii="宋体" w:hAnsi="宋体"/>
          <w:szCs w:val="21"/>
        </w:rPr>
        <w:t>及上述承诺不</w:t>
      </w:r>
      <w:r>
        <w:rPr>
          <w:rFonts w:hint="eastAsia" w:ascii="宋体" w:hAnsi="宋体"/>
          <w:szCs w:val="21"/>
        </w:rPr>
        <w:t>属实</w:t>
      </w:r>
      <w:r>
        <w:rPr>
          <w:rFonts w:ascii="宋体" w:hAnsi="宋体"/>
          <w:szCs w:val="21"/>
        </w:rPr>
        <w:t>，则招标人有权取消我公司的投标资格及中标资格，且我公司将无条件承担由此给本次招标带来的一切</w:t>
      </w:r>
      <w:r>
        <w:rPr>
          <w:rFonts w:hint="eastAsia" w:ascii="宋体" w:hAnsi="宋体"/>
          <w:szCs w:val="21"/>
        </w:rPr>
        <w:t>后果</w:t>
      </w:r>
      <w:r>
        <w:rPr>
          <w:rFonts w:ascii="宋体" w:hAnsi="宋体"/>
          <w:szCs w:val="21"/>
        </w:rPr>
        <w:t>（</w:t>
      </w:r>
      <w:r>
        <w:rPr>
          <w:rFonts w:hint="eastAsia" w:ascii="宋体" w:hAnsi="宋体"/>
          <w:szCs w:val="21"/>
        </w:rPr>
        <w:t>包括</w:t>
      </w:r>
      <w:r>
        <w:rPr>
          <w:rFonts w:ascii="宋体" w:hAnsi="宋体"/>
          <w:szCs w:val="21"/>
        </w:rPr>
        <w:t>经济损失）</w:t>
      </w:r>
      <w:r>
        <w:rPr>
          <w:rFonts w:hint="eastAsia" w:ascii="宋体" w:hAnsi="宋体"/>
          <w:szCs w:val="21"/>
        </w:rPr>
        <w:t>。</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hint="eastAsia" w:ascii="宋体" w:hAnsi="宋体"/>
          <w:szCs w:val="21"/>
        </w:rPr>
        <w:t>特此声明</w:t>
      </w:r>
    </w:p>
    <w:p>
      <w:pPr>
        <w:spacing w:line="360" w:lineRule="auto"/>
        <w:rPr>
          <w:rFonts w:ascii="宋体" w:hAnsi="宋体"/>
          <w:szCs w:val="21"/>
        </w:rPr>
      </w:pPr>
      <w:r>
        <w:rPr>
          <w:rFonts w:hint="eastAsia" w:ascii="宋体" w:hAnsi="宋体"/>
          <w:szCs w:val="21"/>
        </w:rPr>
        <w:t>投标人名称：</w:t>
      </w:r>
      <w:r>
        <w:rPr>
          <w:rFonts w:hint="eastAsia" w:ascii="宋体" w:hAnsi="宋体"/>
          <w:b/>
          <w:szCs w:val="21"/>
        </w:rPr>
        <w:t>（加盖公章）</w:t>
      </w:r>
    </w:p>
    <w:p>
      <w:pPr>
        <w:spacing w:line="360" w:lineRule="auto"/>
        <w:rPr>
          <w:rFonts w:ascii="宋体" w:hAnsi="宋体"/>
          <w:szCs w:val="21"/>
        </w:rPr>
      </w:pPr>
    </w:p>
    <w:p>
      <w:pPr>
        <w:spacing w:line="360" w:lineRule="auto"/>
        <w:rPr>
          <w:rFonts w:ascii="宋体" w:hAnsi="宋体"/>
          <w:szCs w:val="21"/>
          <w:u w:val="single"/>
        </w:rPr>
      </w:pPr>
      <w:r>
        <w:rPr>
          <w:rFonts w:hint="eastAsia" w:ascii="宋体" w:hAnsi="宋体"/>
          <w:szCs w:val="21"/>
        </w:rPr>
        <w:t>法定</w:t>
      </w:r>
      <w:r>
        <w:rPr>
          <w:rFonts w:ascii="宋体" w:hAnsi="宋体"/>
          <w:szCs w:val="21"/>
        </w:rPr>
        <w:t>代表或</w:t>
      </w:r>
      <w:r>
        <w:rPr>
          <w:rFonts w:hint="eastAsia" w:ascii="宋体" w:hAnsi="宋体"/>
          <w:szCs w:val="21"/>
        </w:rPr>
        <w:t>投标代表签名：</w:t>
      </w:r>
    </w:p>
    <w:p>
      <w:pPr>
        <w:spacing w:line="360" w:lineRule="auto"/>
        <w:rPr>
          <w:rFonts w:ascii="宋体" w:hAnsi="宋体"/>
          <w:bCs/>
          <w:szCs w:val="21"/>
        </w:rPr>
      </w:pPr>
      <w:r>
        <w:rPr>
          <w:rFonts w:hint="eastAsia" w:ascii="宋体" w:hAnsi="宋体"/>
          <w:bCs/>
          <w:szCs w:val="21"/>
        </w:rPr>
        <w:t>日期：    年   月  日</w:t>
      </w:r>
    </w:p>
    <w:p>
      <w:pPr>
        <w:widowControl/>
        <w:jc w:val="left"/>
      </w:pPr>
      <w:r>
        <w:br w:type="page"/>
      </w:r>
    </w:p>
    <w:bookmarkEnd w:id="23"/>
    <w:bookmarkEnd w:id="24"/>
    <w:bookmarkEnd w:id="25"/>
    <w:bookmarkEnd w:id="26"/>
    <w:p>
      <w:pPr>
        <w:pStyle w:val="3"/>
        <w:jc w:val="center"/>
        <w:rPr>
          <w:rFonts w:ascii="华文新魏" w:hAnsi="华文新魏" w:eastAsia="华文新魏" w:cs="华文新魏"/>
          <w:b w:val="0"/>
          <w:kern w:val="0"/>
          <w:sz w:val="44"/>
          <w:szCs w:val="44"/>
        </w:rPr>
      </w:pPr>
      <w:bookmarkStart w:id="27" w:name="_Toc73521702"/>
      <w:bookmarkStart w:id="28" w:name="_Toc73517708"/>
      <w:bookmarkStart w:id="29" w:name="_Toc70748068"/>
      <w:bookmarkStart w:id="30" w:name="_Toc100052469"/>
      <w:bookmarkStart w:id="31" w:name="_Toc73521614"/>
      <w:bookmarkStart w:id="32" w:name="_Toc71860060"/>
      <w:bookmarkStart w:id="33" w:name="_Toc101074900"/>
      <w:bookmarkStart w:id="34" w:name="_Toc73518186"/>
      <w:r>
        <w:rPr>
          <w:rFonts w:hint="eastAsia" w:ascii="华文新魏" w:hAnsi="华文新魏" w:eastAsia="华文新魏" w:cs="华文新魏"/>
          <w:b w:val="0"/>
          <w:kern w:val="0"/>
          <w:sz w:val="44"/>
          <w:szCs w:val="44"/>
        </w:rPr>
        <w:t>七、投标人情况介绍</w:t>
      </w:r>
      <w:bookmarkEnd w:id="27"/>
      <w:bookmarkEnd w:id="28"/>
      <w:bookmarkEnd w:id="29"/>
      <w:bookmarkEnd w:id="30"/>
      <w:bookmarkEnd w:id="31"/>
      <w:bookmarkEnd w:id="32"/>
      <w:bookmarkEnd w:id="33"/>
      <w:bookmarkEnd w:id="34"/>
      <w:r>
        <w:rPr>
          <w:rFonts w:hint="eastAsia" w:ascii="华文新魏" w:hAnsi="华文新魏" w:eastAsia="华文新魏" w:cs="华文新魏"/>
          <w:b w:val="0"/>
          <w:kern w:val="0"/>
          <w:sz w:val="44"/>
          <w:szCs w:val="44"/>
        </w:rPr>
        <w:t>及相关资质材料</w:t>
      </w:r>
    </w:p>
    <w:tbl>
      <w:tblPr>
        <w:tblStyle w:val="54"/>
        <w:tblW w:w="9137"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401"/>
        <w:gridCol w:w="2076"/>
        <w:gridCol w:w="4514"/>
        <w:gridCol w:w="1411"/>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735" w:type="dxa"/>
            <w:vAlign w:val="center"/>
          </w:tcPr>
          <w:p>
            <w:pPr>
              <w:jc w:val="center"/>
              <w:rPr>
                <w:b/>
                <w:szCs w:val="21"/>
              </w:rPr>
            </w:pPr>
            <w:r>
              <w:rPr>
                <w:rFonts w:hint="eastAsia"/>
                <w:b/>
                <w:szCs w:val="21"/>
              </w:rPr>
              <w:t>序号</w:t>
            </w:r>
          </w:p>
        </w:tc>
        <w:tc>
          <w:tcPr>
            <w:tcW w:w="2477" w:type="dxa"/>
            <w:gridSpan w:val="2"/>
          </w:tcPr>
          <w:p>
            <w:pPr>
              <w:jc w:val="center"/>
              <w:rPr>
                <w:b/>
                <w:szCs w:val="21"/>
              </w:rPr>
            </w:pPr>
            <w:r>
              <w:rPr>
                <w:rFonts w:hint="eastAsia"/>
                <w:b/>
                <w:szCs w:val="21"/>
              </w:rPr>
              <w:t>项  目</w:t>
            </w:r>
          </w:p>
        </w:tc>
        <w:tc>
          <w:tcPr>
            <w:tcW w:w="4514" w:type="dxa"/>
            <w:vAlign w:val="center"/>
          </w:tcPr>
          <w:p>
            <w:pPr>
              <w:jc w:val="center"/>
              <w:rPr>
                <w:b/>
                <w:szCs w:val="21"/>
              </w:rPr>
            </w:pPr>
            <w:r>
              <w:rPr>
                <w:rFonts w:hint="eastAsia"/>
                <w:b/>
                <w:szCs w:val="21"/>
              </w:rPr>
              <w:t>内容及说明</w:t>
            </w:r>
          </w:p>
        </w:tc>
        <w:tc>
          <w:tcPr>
            <w:tcW w:w="1411" w:type="dxa"/>
            <w:vAlign w:val="center"/>
          </w:tcPr>
          <w:p>
            <w:pPr>
              <w:jc w:val="center"/>
              <w:rPr>
                <w:b/>
                <w:szCs w:val="21"/>
              </w:rPr>
            </w:pPr>
            <w:r>
              <w:rPr>
                <w:rFonts w:hint="eastAsia"/>
                <w:b/>
                <w:szCs w:val="21"/>
              </w:rPr>
              <w:t>备注</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735" w:type="dxa"/>
            <w:vAlign w:val="center"/>
          </w:tcPr>
          <w:p>
            <w:pPr>
              <w:jc w:val="center"/>
              <w:rPr>
                <w:b/>
                <w:szCs w:val="21"/>
              </w:rPr>
            </w:pPr>
            <w:r>
              <w:rPr>
                <w:rFonts w:hint="eastAsia"/>
                <w:b/>
                <w:szCs w:val="21"/>
              </w:rPr>
              <w:t>一</w:t>
            </w:r>
          </w:p>
        </w:tc>
        <w:tc>
          <w:tcPr>
            <w:tcW w:w="6991" w:type="dxa"/>
            <w:gridSpan w:val="3"/>
          </w:tcPr>
          <w:p>
            <w:pPr>
              <w:rPr>
                <w:b/>
                <w:szCs w:val="21"/>
              </w:rPr>
            </w:pPr>
            <w:r>
              <w:rPr>
                <w:rFonts w:hint="eastAsia"/>
                <w:b/>
                <w:szCs w:val="21"/>
              </w:rPr>
              <w:t>营业执照</w:t>
            </w:r>
          </w:p>
        </w:tc>
        <w:tc>
          <w:tcPr>
            <w:tcW w:w="1411" w:type="dxa"/>
            <w:vAlign w:val="center"/>
          </w:tcPr>
          <w:p>
            <w:pPr>
              <w:jc w:val="center"/>
              <w:rPr>
                <w:szCs w:val="21"/>
              </w:rPr>
            </w:pPr>
            <w:r>
              <w:rPr>
                <w:rFonts w:hint="eastAsia"/>
                <w:szCs w:val="21"/>
              </w:rPr>
              <w:t>提供复印件</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735" w:type="dxa"/>
            <w:shd w:val="clear" w:color="auto" w:fill="auto"/>
            <w:vAlign w:val="center"/>
          </w:tcPr>
          <w:p>
            <w:pPr>
              <w:jc w:val="center"/>
              <w:rPr>
                <w:szCs w:val="21"/>
              </w:rPr>
            </w:pPr>
            <w:r>
              <w:rPr>
                <w:rFonts w:hint="eastAsia"/>
                <w:szCs w:val="21"/>
              </w:rPr>
              <w:t>1</w:t>
            </w:r>
          </w:p>
        </w:tc>
        <w:tc>
          <w:tcPr>
            <w:tcW w:w="2477" w:type="dxa"/>
            <w:gridSpan w:val="2"/>
            <w:shd w:val="clear" w:color="auto" w:fill="auto"/>
            <w:vAlign w:val="center"/>
          </w:tcPr>
          <w:p>
            <w:pPr>
              <w:jc w:val="center"/>
              <w:rPr>
                <w:szCs w:val="21"/>
              </w:rPr>
            </w:pPr>
            <w:r>
              <w:rPr>
                <w:rFonts w:hint="eastAsia"/>
                <w:szCs w:val="21"/>
              </w:rPr>
              <w:t>注册年度及注册编号</w:t>
            </w:r>
          </w:p>
        </w:tc>
        <w:tc>
          <w:tcPr>
            <w:tcW w:w="4514" w:type="dxa"/>
            <w:vAlign w:val="center"/>
          </w:tcPr>
          <w:p>
            <w:pPr>
              <w:rPr>
                <w:szCs w:val="21"/>
              </w:rPr>
            </w:pPr>
          </w:p>
        </w:tc>
        <w:tc>
          <w:tcPr>
            <w:tcW w:w="1411" w:type="dxa"/>
            <w:vAlign w:val="center"/>
          </w:tcPr>
          <w:p>
            <w:pPr>
              <w:jc w:val="center"/>
              <w:rPr>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735" w:type="dxa"/>
            <w:shd w:val="clear" w:color="auto" w:fill="auto"/>
            <w:vAlign w:val="center"/>
          </w:tcPr>
          <w:p>
            <w:pPr>
              <w:jc w:val="center"/>
              <w:rPr>
                <w:szCs w:val="21"/>
              </w:rPr>
            </w:pPr>
            <w:r>
              <w:rPr>
                <w:rFonts w:hint="eastAsia"/>
                <w:szCs w:val="21"/>
              </w:rPr>
              <w:t>2</w:t>
            </w:r>
          </w:p>
        </w:tc>
        <w:tc>
          <w:tcPr>
            <w:tcW w:w="2477" w:type="dxa"/>
            <w:gridSpan w:val="2"/>
            <w:shd w:val="clear" w:color="auto" w:fill="auto"/>
            <w:vAlign w:val="center"/>
          </w:tcPr>
          <w:p>
            <w:pPr>
              <w:jc w:val="center"/>
              <w:rPr>
                <w:szCs w:val="21"/>
              </w:rPr>
            </w:pPr>
            <w:r>
              <w:rPr>
                <w:rFonts w:hint="eastAsia"/>
                <w:szCs w:val="21"/>
              </w:rPr>
              <w:t>注册资金（万元）</w:t>
            </w:r>
          </w:p>
        </w:tc>
        <w:tc>
          <w:tcPr>
            <w:tcW w:w="4514" w:type="dxa"/>
            <w:vAlign w:val="center"/>
          </w:tcPr>
          <w:p>
            <w:pPr>
              <w:rPr>
                <w:szCs w:val="21"/>
              </w:rPr>
            </w:pPr>
          </w:p>
        </w:tc>
        <w:tc>
          <w:tcPr>
            <w:tcW w:w="1411" w:type="dxa"/>
            <w:vAlign w:val="center"/>
          </w:tcPr>
          <w:p>
            <w:pPr>
              <w:jc w:val="center"/>
              <w:rPr>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735" w:type="dxa"/>
            <w:shd w:val="clear" w:color="auto" w:fill="auto"/>
            <w:vAlign w:val="center"/>
          </w:tcPr>
          <w:p>
            <w:pPr>
              <w:jc w:val="center"/>
              <w:rPr>
                <w:szCs w:val="21"/>
              </w:rPr>
            </w:pPr>
            <w:r>
              <w:rPr>
                <w:rFonts w:hint="eastAsia"/>
                <w:szCs w:val="21"/>
              </w:rPr>
              <w:t>3</w:t>
            </w:r>
          </w:p>
        </w:tc>
        <w:tc>
          <w:tcPr>
            <w:tcW w:w="2477" w:type="dxa"/>
            <w:gridSpan w:val="2"/>
            <w:shd w:val="clear" w:color="auto" w:fill="auto"/>
            <w:vAlign w:val="center"/>
          </w:tcPr>
          <w:p>
            <w:pPr>
              <w:jc w:val="center"/>
              <w:rPr>
                <w:szCs w:val="21"/>
              </w:rPr>
            </w:pPr>
            <w:r>
              <w:rPr>
                <w:rFonts w:hint="eastAsia"/>
                <w:szCs w:val="21"/>
              </w:rPr>
              <w:t>经营场所</w:t>
            </w:r>
          </w:p>
        </w:tc>
        <w:tc>
          <w:tcPr>
            <w:tcW w:w="4514" w:type="dxa"/>
            <w:vAlign w:val="center"/>
          </w:tcPr>
          <w:p>
            <w:pPr>
              <w:rPr>
                <w:szCs w:val="21"/>
              </w:rPr>
            </w:pPr>
          </w:p>
        </w:tc>
        <w:tc>
          <w:tcPr>
            <w:tcW w:w="1411" w:type="dxa"/>
            <w:vAlign w:val="center"/>
          </w:tcPr>
          <w:p>
            <w:pPr>
              <w:jc w:val="center"/>
              <w:rPr>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735" w:type="dxa"/>
            <w:shd w:val="clear" w:color="auto" w:fill="auto"/>
            <w:vAlign w:val="center"/>
          </w:tcPr>
          <w:p>
            <w:pPr>
              <w:jc w:val="center"/>
              <w:rPr>
                <w:szCs w:val="21"/>
              </w:rPr>
            </w:pPr>
            <w:r>
              <w:rPr>
                <w:rFonts w:hint="eastAsia"/>
                <w:szCs w:val="21"/>
              </w:rPr>
              <w:t>4</w:t>
            </w:r>
          </w:p>
        </w:tc>
        <w:tc>
          <w:tcPr>
            <w:tcW w:w="2477" w:type="dxa"/>
            <w:gridSpan w:val="2"/>
            <w:shd w:val="clear" w:color="auto" w:fill="auto"/>
            <w:vAlign w:val="center"/>
          </w:tcPr>
          <w:p>
            <w:pPr>
              <w:jc w:val="center"/>
              <w:rPr>
                <w:szCs w:val="21"/>
              </w:rPr>
            </w:pPr>
            <w:r>
              <w:rPr>
                <w:rFonts w:hint="eastAsia"/>
                <w:szCs w:val="21"/>
              </w:rPr>
              <w:t>有效期</w:t>
            </w:r>
          </w:p>
        </w:tc>
        <w:tc>
          <w:tcPr>
            <w:tcW w:w="4514" w:type="dxa"/>
            <w:vAlign w:val="center"/>
          </w:tcPr>
          <w:p>
            <w:pPr>
              <w:rPr>
                <w:szCs w:val="21"/>
              </w:rPr>
            </w:pPr>
          </w:p>
        </w:tc>
        <w:tc>
          <w:tcPr>
            <w:tcW w:w="1411" w:type="dxa"/>
            <w:vAlign w:val="center"/>
          </w:tcPr>
          <w:p>
            <w:pPr>
              <w:jc w:val="center"/>
              <w:rPr>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735" w:type="dxa"/>
            <w:vAlign w:val="center"/>
          </w:tcPr>
          <w:p>
            <w:pPr>
              <w:jc w:val="center"/>
              <w:rPr>
                <w:szCs w:val="21"/>
              </w:rPr>
            </w:pPr>
            <w:r>
              <w:rPr>
                <w:rFonts w:hint="eastAsia"/>
                <w:szCs w:val="21"/>
              </w:rPr>
              <w:t>二</w:t>
            </w:r>
          </w:p>
        </w:tc>
        <w:tc>
          <w:tcPr>
            <w:tcW w:w="6991" w:type="dxa"/>
            <w:gridSpan w:val="3"/>
            <w:vAlign w:val="center"/>
          </w:tcPr>
          <w:p>
            <w:pPr>
              <w:rPr>
                <w:b/>
                <w:szCs w:val="21"/>
              </w:rPr>
            </w:pPr>
            <w:r>
              <w:rPr>
                <w:rFonts w:hint="eastAsia"/>
                <w:b/>
                <w:szCs w:val="21"/>
              </w:rPr>
              <w:t>资格（质）证书（</w:t>
            </w:r>
            <w:r>
              <w:rPr>
                <w:rFonts w:hint="eastAsia"/>
                <w:szCs w:val="21"/>
              </w:rPr>
              <w:t>若有其他资质证书，可按表格格式扩展</w:t>
            </w:r>
            <w:r>
              <w:rPr>
                <w:rFonts w:hint="eastAsia"/>
                <w:b/>
                <w:szCs w:val="21"/>
              </w:rPr>
              <w:t>）</w:t>
            </w:r>
          </w:p>
        </w:tc>
        <w:tc>
          <w:tcPr>
            <w:tcW w:w="1411" w:type="dxa"/>
            <w:vAlign w:val="center"/>
          </w:tcPr>
          <w:p>
            <w:pPr>
              <w:jc w:val="center"/>
              <w:rPr>
                <w:szCs w:val="21"/>
              </w:rPr>
            </w:pPr>
            <w:r>
              <w:rPr>
                <w:rFonts w:hint="eastAsia"/>
                <w:szCs w:val="21"/>
              </w:rPr>
              <w:t>提供复印件</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735" w:type="dxa"/>
            <w:vAlign w:val="center"/>
          </w:tcPr>
          <w:p>
            <w:pPr>
              <w:jc w:val="center"/>
              <w:rPr>
                <w:szCs w:val="21"/>
              </w:rPr>
            </w:pPr>
            <w:r>
              <w:rPr>
                <w:rFonts w:hint="eastAsia"/>
                <w:szCs w:val="21"/>
              </w:rPr>
              <w:t>1</w:t>
            </w:r>
          </w:p>
        </w:tc>
        <w:tc>
          <w:tcPr>
            <w:tcW w:w="2477" w:type="dxa"/>
            <w:gridSpan w:val="2"/>
            <w:vAlign w:val="center"/>
          </w:tcPr>
          <w:p>
            <w:pPr>
              <w:jc w:val="center"/>
              <w:rPr>
                <w:szCs w:val="21"/>
              </w:rPr>
            </w:pPr>
            <w:r>
              <w:rPr>
                <w:rFonts w:hint="eastAsia"/>
                <w:szCs w:val="21"/>
              </w:rPr>
              <w:t>证书名称</w:t>
            </w:r>
          </w:p>
        </w:tc>
        <w:tc>
          <w:tcPr>
            <w:tcW w:w="4514" w:type="dxa"/>
            <w:vAlign w:val="center"/>
          </w:tcPr>
          <w:p>
            <w:pPr>
              <w:jc w:val="center"/>
              <w:rPr>
                <w:szCs w:val="21"/>
              </w:rPr>
            </w:pPr>
          </w:p>
        </w:tc>
        <w:tc>
          <w:tcPr>
            <w:tcW w:w="1411" w:type="dxa"/>
            <w:vAlign w:val="center"/>
          </w:tcPr>
          <w:p>
            <w:pPr>
              <w:jc w:val="center"/>
              <w:rPr>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735" w:type="dxa"/>
            <w:vAlign w:val="center"/>
          </w:tcPr>
          <w:p>
            <w:pPr>
              <w:jc w:val="center"/>
              <w:rPr>
                <w:szCs w:val="21"/>
              </w:rPr>
            </w:pPr>
            <w:r>
              <w:rPr>
                <w:rFonts w:hint="eastAsia"/>
                <w:szCs w:val="21"/>
              </w:rPr>
              <w:t>2</w:t>
            </w:r>
          </w:p>
        </w:tc>
        <w:tc>
          <w:tcPr>
            <w:tcW w:w="2477" w:type="dxa"/>
            <w:gridSpan w:val="2"/>
            <w:vAlign w:val="center"/>
          </w:tcPr>
          <w:p>
            <w:pPr>
              <w:jc w:val="center"/>
              <w:rPr>
                <w:szCs w:val="21"/>
              </w:rPr>
            </w:pPr>
            <w:r>
              <w:rPr>
                <w:rFonts w:hint="eastAsia"/>
                <w:szCs w:val="21"/>
              </w:rPr>
              <w:t>批准单位</w:t>
            </w:r>
          </w:p>
        </w:tc>
        <w:tc>
          <w:tcPr>
            <w:tcW w:w="4514" w:type="dxa"/>
            <w:vAlign w:val="center"/>
          </w:tcPr>
          <w:p>
            <w:pPr>
              <w:jc w:val="center"/>
              <w:rPr>
                <w:szCs w:val="21"/>
              </w:rPr>
            </w:pPr>
          </w:p>
        </w:tc>
        <w:tc>
          <w:tcPr>
            <w:tcW w:w="1411" w:type="dxa"/>
            <w:vAlign w:val="center"/>
          </w:tcPr>
          <w:p>
            <w:pPr>
              <w:jc w:val="center"/>
              <w:rPr>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735" w:type="dxa"/>
            <w:vAlign w:val="center"/>
          </w:tcPr>
          <w:p>
            <w:pPr>
              <w:jc w:val="center"/>
              <w:rPr>
                <w:szCs w:val="21"/>
              </w:rPr>
            </w:pPr>
            <w:r>
              <w:rPr>
                <w:rFonts w:hint="eastAsia"/>
                <w:szCs w:val="21"/>
              </w:rPr>
              <w:t>3</w:t>
            </w:r>
          </w:p>
        </w:tc>
        <w:tc>
          <w:tcPr>
            <w:tcW w:w="2477" w:type="dxa"/>
            <w:gridSpan w:val="2"/>
            <w:vAlign w:val="center"/>
          </w:tcPr>
          <w:p>
            <w:pPr>
              <w:jc w:val="center"/>
              <w:rPr>
                <w:szCs w:val="21"/>
              </w:rPr>
            </w:pPr>
            <w:r>
              <w:rPr>
                <w:rFonts w:hint="eastAsia"/>
                <w:szCs w:val="21"/>
              </w:rPr>
              <w:t>等级</w:t>
            </w:r>
          </w:p>
        </w:tc>
        <w:tc>
          <w:tcPr>
            <w:tcW w:w="4514" w:type="dxa"/>
            <w:vAlign w:val="center"/>
          </w:tcPr>
          <w:p>
            <w:pPr>
              <w:jc w:val="center"/>
              <w:rPr>
                <w:szCs w:val="21"/>
              </w:rPr>
            </w:pPr>
          </w:p>
        </w:tc>
        <w:tc>
          <w:tcPr>
            <w:tcW w:w="1411" w:type="dxa"/>
            <w:vAlign w:val="center"/>
          </w:tcPr>
          <w:p>
            <w:pPr>
              <w:jc w:val="center"/>
              <w:rPr>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735" w:type="dxa"/>
            <w:vAlign w:val="center"/>
          </w:tcPr>
          <w:p>
            <w:pPr>
              <w:jc w:val="center"/>
              <w:rPr>
                <w:szCs w:val="21"/>
              </w:rPr>
            </w:pPr>
            <w:r>
              <w:rPr>
                <w:rFonts w:hint="eastAsia"/>
                <w:szCs w:val="21"/>
              </w:rPr>
              <w:t>4</w:t>
            </w:r>
          </w:p>
        </w:tc>
        <w:tc>
          <w:tcPr>
            <w:tcW w:w="2477" w:type="dxa"/>
            <w:gridSpan w:val="2"/>
            <w:vAlign w:val="center"/>
          </w:tcPr>
          <w:p>
            <w:pPr>
              <w:jc w:val="center"/>
              <w:rPr>
                <w:szCs w:val="21"/>
              </w:rPr>
            </w:pPr>
            <w:r>
              <w:rPr>
                <w:rFonts w:hint="eastAsia"/>
                <w:szCs w:val="21"/>
              </w:rPr>
              <w:t>批准时间及编号</w:t>
            </w:r>
          </w:p>
        </w:tc>
        <w:tc>
          <w:tcPr>
            <w:tcW w:w="4514" w:type="dxa"/>
            <w:vAlign w:val="center"/>
          </w:tcPr>
          <w:p>
            <w:pPr>
              <w:jc w:val="center"/>
              <w:rPr>
                <w:szCs w:val="21"/>
              </w:rPr>
            </w:pPr>
          </w:p>
        </w:tc>
        <w:tc>
          <w:tcPr>
            <w:tcW w:w="1411" w:type="dxa"/>
            <w:vAlign w:val="center"/>
          </w:tcPr>
          <w:p>
            <w:pPr>
              <w:jc w:val="center"/>
              <w:rPr>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735" w:type="dxa"/>
            <w:vAlign w:val="center"/>
          </w:tcPr>
          <w:p>
            <w:pPr>
              <w:jc w:val="center"/>
              <w:rPr>
                <w:szCs w:val="21"/>
              </w:rPr>
            </w:pPr>
            <w:r>
              <w:rPr>
                <w:rFonts w:hint="eastAsia"/>
                <w:szCs w:val="21"/>
              </w:rPr>
              <w:t>5</w:t>
            </w:r>
          </w:p>
        </w:tc>
        <w:tc>
          <w:tcPr>
            <w:tcW w:w="2477" w:type="dxa"/>
            <w:gridSpan w:val="2"/>
            <w:vAlign w:val="center"/>
          </w:tcPr>
          <w:p>
            <w:pPr>
              <w:jc w:val="center"/>
              <w:rPr>
                <w:szCs w:val="21"/>
              </w:rPr>
            </w:pPr>
            <w:r>
              <w:rPr>
                <w:rFonts w:hint="eastAsia"/>
                <w:szCs w:val="21"/>
              </w:rPr>
              <w:t>有效期</w:t>
            </w:r>
          </w:p>
        </w:tc>
        <w:tc>
          <w:tcPr>
            <w:tcW w:w="4514" w:type="dxa"/>
            <w:vAlign w:val="center"/>
          </w:tcPr>
          <w:p>
            <w:pPr>
              <w:jc w:val="center"/>
              <w:rPr>
                <w:szCs w:val="21"/>
              </w:rPr>
            </w:pPr>
          </w:p>
        </w:tc>
        <w:tc>
          <w:tcPr>
            <w:tcW w:w="1411" w:type="dxa"/>
            <w:vAlign w:val="center"/>
          </w:tcPr>
          <w:p>
            <w:pPr>
              <w:jc w:val="center"/>
              <w:rPr>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735" w:type="dxa"/>
            <w:vAlign w:val="center"/>
          </w:tcPr>
          <w:p>
            <w:pPr>
              <w:jc w:val="center"/>
              <w:rPr>
                <w:b/>
                <w:szCs w:val="21"/>
              </w:rPr>
            </w:pPr>
            <w:r>
              <w:rPr>
                <w:rFonts w:hint="eastAsia"/>
                <w:b/>
                <w:szCs w:val="21"/>
              </w:rPr>
              <w:t>三</w:t>
            </w:r>
          </w:p>
        </w:tc>
        <w:tc>
          <w:tcPr>
            <w:tcW w:w="6991" w:type="dxa"/>
            <w:gridSpan w:val="3"/>
            <w:vAlign w:val="center"/>
          </w:tcPr>
          <w:p>
            <w:pPr>
              <w:rPr>
                <w:szCs w:val="21"/>
              </w:rPr>
            </w:pPr>
            <w:r>
              <w:rPr>
                <w:rFonts w:hint="eastAsia"/>
                <w:b/>
                <w:szCs w:val="21"/>
              </w:rPr>
              <w:t>得奖或评优项目（</w:t>
            </w:r>
            <w:r>
              <w:rPr>
                <w:rFonts w:hint="eastAsia"/>
                <w:szCs w:val="21"/>
              </w:rPr>
              <w:t>若有多个奖项，可按表格格式扩展</w:t>
            </w:r>
            <w:r>
              <w:rPr>
                <w:rFonts w:hint="eastAsia"/>
                <w:b/>
                <w:szCs w:val="21"/>
              </w:rPr>
              <w:t>）</w:t>
            </w:r>
          </w:p>
        </w:tc>
        <w:tc>
          <w:tcPr>
            <w:tcW w:w="1411" w:type="dxa"/>
            <w:vAlign w:val="center"/>
          </w:tcPr>
          <w:p>
            <w:pPr>
              <w:jc w:val="center"/>
              <w:rPr>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735" w:type="dxa"/>
            <w:vAlign w:val="center"/>
          </w:tcPr>
          <w:p>
            <w:pPr>
              <w:jc w:val="center"/>
              <w:rPr>
                <w:szCs w:val="21"/>
              </w:rPr>
            </w:pPr>
            <w:r>
              <w:rPr>
                <w:rFonts w:hint="eastAsia"/>
                <w:szCs w:val="21"/>
              </w:rPr>
              <w:t>1</w:t>
            </w:r>
          </w:p>
        </w:tc>
        <w:tc>
          <w:tcPr>
            <w:tcW w:w="2477" w:type="dxa"/>
            <w:gridSpan w:val="2"/>
            <w:vAlign w:val="center"/>
          </w:tcPr>
          <w:p>
            <w:pPr>
              <w:jc w:val="center"/>
              <w:rPr>
                <w:szCs w:val="21"/>
              </w:rPr>
            </w:pPr>
            <w:r>
              <w:rPr>
                <w:rFonts w:hint="eastAsia"/>
                <w:szCs w:val="21"/>
              </w:rPr>
              <w:t>得奖或评优项目数量</w:t>
            </w:r>
          </w:p>
        </w:tc>
        <w:tc>
          <w:tcPr>
            <w:tcW w:w="4514" w:type="dxa"/>
            <w:vAlign w:val="center"/>
          </w:tcPr>
          <w:p>
            <w:pPr>
              <w:jc w:val="center"/>
              <w:rPr>
                <w:szCs w:val="21"/>
              </w:rPr>
            </w:pPr>
          </w:p>
        </w:tc>
        <w:tc>
          <w:tcPr>
            <w:tcW w:w="1411" w:type="dxa"/>
            <w:vAlign w:val="center"/>
          </w:tcPr>
          <w:p>
            <w:pPr>
              <w:jc w:val="center"/>
              <w:rPr>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735" w:type="dxa"/>
            <w:vMerge w:val="restart"/>
            <w:vAlign w:val="center"/>
          </w:tcPr>
          <w:p>
            <w:pPr>
              <w:jc w:val="center"/>
              <w:rPr>
                <w:szCs w:val="21"/>
              </w:rPr>
            </w:pPr>
            <w:r>
              <w:rPr>
                <w:rFonts w:hint="eastAsia"/>
                <w:szCs w:val="21"/>
              </w:rPr>
              <w:t>2</w:t>
            </w:r>
          </w:p>
        </w:tc>
        <w:tc>
          <w:tcPr>
            <w:tcW w:w="401" w:type="dxa"/>
            <w:vMerge w:val="restart"/>
            <w:vAlign w:val="center"/>
          </w:tcPr>
          <w:p>
            <w:pPr>
              <w:jc w:val="center"/>
              <w:rPr>
                <w:szCs w:val="21"/>
              </w:rPr>
            </w:pPr>
            <w:r>
              <w:rPr>
                <w:rFonts w:hint="eastAsia"/>
                <w:szCs w:val="21"/>
              </w:rPr>
              <w:t>项目A</w:t>
            </w:r>
          </w:p>
        </w:tc>
        <w:tc>
          <w:tcPr>
            <w:tcW w:w="2076" w:type="dxa"/>
            <w:vAlign w:val="center"/>
          </w:tcPr>
          <w:p>
            <w:pPr>
              <w:jc w:val="center"/>
              <w:rPr>
                <w:szCs w:val="21"/>
              </w:rPr>
            </w:pPr>
            <w:r>
              <w:rPr>
                <w:rFonts w:hint="eastAsia"/>
                <w:szCs w:val="21"/>
              </w:rPr>
              <w:t>项目名称</w:t>
            </w:r>
          </w:p>
        </w:tc>
        <w:tc>
          <w:tcPr>
            <w:tcW w:w="4514" w:type="dxa"/>
            <w:vAlign w:val="center"/>
          </w:tcPr>
          <w:p>
            <w:pPr>
              <w:jc w:val="center"/>
              <w:rPr>
                <w:szCs w:val="21"/>
              </w:rPr>
            </w:pPr>
          </w:p>
        </w:tc>
        <w:tc>
          <w:tcPr>
            <w:tcW w:w="1411" w:type="dxa"/>
            <w:vAlign w:val="center"/>
          </w:tcPr>
          <w:p>
            <w:pPr>
              <w:jc w:val="center"/>
              <w:rPr>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735" w:type="dxa"/>
            <w:vMerge w:val="continue"/>
            <w:vAlign w:val="center"/>
          </w:tcPr>
          <w:p>
            <w:pPr>
              <w:jc w:val="center"/>
              <w:rPr>
                <w:szCs w:val="21"/>
              </w:rPr>
            </w:pPr>
          </w:p>
        </w:tc>
        <w:tc>
          <w:tcPr>
            <w:tcW w:w="401" w:type="dxa"/>
            <w:vMerge w:val="continue"/>
            <w:vAlign w:val="center"/>
          </w:tcPr>
          <w:p>
            <w:pPr>
              <w:jc w:val="center"/>
              <w:rPr>
                <w:szCs w:val="21"/>
              </w:rPr>
            </w:pPr>
          </w:p>
        </w:tc>
        <w:tc>
          <w:tcPr>
            <w:tcW w:w="2076" w:type="dxa"/>
            <w:vAlign w:val="center"/>
          </w:tcPr>
          <w:p>
            <w:pPr>
              <w:jc w:val="center"/>
              <w:rPr>
                <w:szCs w:val="21"/>
              </w:rPr>
            </w:pPr>
            <w:r>
              <w:rPr>
                <w:rFonts w:hint="eastAsia"/>
                <w:szCs w:val="21"/>
              </w:rPr>
              <w:t>奖项名称、等级及颁发单位</w:t>
            </w:r>
          </w:p>
        </w:tc>
        <w:tc>
          <w:tcPr>
            <w:tcW w:w="4514" w:type="dxa"/>
            <w:vAlign w:val="center"/>
          </w:tcPr>
          <w:p>
            <w:pPr>
              <w:jc w:val="center"/>
              <w:rPr>
                <w:szCs w:val="21"/>
              </w:rPr>
            </w:pPr>
          </w:p>
        </w:tc>
        <w:tc>
          <w:tcPr>
            <w:tcW w:w="1411" w:type="dxa"/>
            <w:vAlign w:val="center"/>
          </w:tcPr>
          <w:p>
            <w:pPr>
              <w:jc w:val="center"/>
              <w:rPr>
                <w:szCs w:val="21"/>
              </w:rPr>
            </w:pPr>
            <w:r>
              <w:rPr>
                <w:rFonts w:hint="eastAsia"/>
                <w:szCs w:val="21"/>
              </w:rPr>
              <w:t>提供奖项复印件</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735" w:type="dxa"/>
            <w:vMerge w:val="continue"/>
            <w:vAlign w:val="center"/>
          </w:tcPr>
          <w:p>
            <w:pPr>
              <w:jc w:val="center"/>
              <w:rPr>
                <w:szCs w:val="21"/>
              </w:rPr>
            </w:pPr>
          </w:p>
        </w:tc>
        <w:tc>
          <w:tcPr>
            <w:tcW w:w="401" w:type="dxa"/>
            <w:vMerge w:val="continue"/>
            <w:vAlign w:val="center"/>
          </w:tcPr>
          <w:p>
            <w:pPr>
              <w:jc w:val="center"/>
              <w:rPr>
                <w:szCs w:val="21"/>
              </w:rPr>
            </w:pPr>
          </w:p>
        </w:tc>
        <w:tc>
          <w:tcPr>
            <w:tcW w:w="2076" w:type="dxa"/>
            <w:vAlign w:val="center"/>
          </w:tcPr>
          <w:p>
            <w:pPr>
              <w:jc w:val="center"/>
              <w:rPr>
                <w:szCs w:val="21"/>
              </w:rPr>
            </w:pPr>
            <w:r>
              <w:rPr>
                <w:rFonts w:hint="eastAsia"/>
                <w:szCs w:val="21"/>
              </w:rPr>
              <w:t>项目规模及性质的简要说明</w:t>
            </w:r>
          </w:p>
        </w:tc>
        <w:tc>
          <w:tcPr>
            <w:tcW w:w="4514" w:type="dxa"/>
            <w:vAlign w:val="center"/>
          </w:tcPr>
          <w:p>
            <w:pPr>
              <w:jc w:val="center"/>
              <w:rPr>
                <w:szCs w:val="21"/>
              </w:rPr>
            </w:pPr>
          </w:p>
        </w:tc>
        <w:tc>
          <w:tcPr>
            <w:tcW w:w="1411" w:type="dxa"/>
            <w:vAlign w:val="center"/>
          </w:tcPr>
          <w:p>
            <w:pPr>
              <w:jc w:val="center"/>
              <w:rPr>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735" w:type="dxa"/>
            <w:vMerge w:val="restart"/>
            <w:vAlign w:val="center"/>
          </w:tcPr>
          <w:p>
            <w:pPr>
              <w:jc w:val="center"/>
              <w:rPr>
                <w:szCs w:val="21"/>
              </w:rPr>
            </w:pPr>
            <w:r>
              <w:rPr>
                <w:rFonts w:hint="eastAsia"/>
                <w:szCs w:val="21"/>
              </w:rPr>
              <w:t>3</w:t>
            </w:r>
          </w:p>
        </w:tc>
        <w:tc>
          <w:tcPr>
            <w:tcW w:w="401" w:type="dxa"/>
            <w:vMerge w:val="restart"/>
            <w:vAlign w:val="center"/>
          </w:tcPr>
          <w:p>
            <w:pPr>
              <w:jc w:val="center"/>
              <w:rPr>
                <w:szCs w:val="21"/>
              </w:rPr>
            </w:pPr>
            <w:r>
              <w:rPr>
                <w:rFonts w:hint="eastAsia"/>
                <w:szCs w:val="21"/>
              </w:rPr>
              <w:t>项目B</w:t>
            </w:r>
          </w:p>
        </w:tc>
        <w:tc>
          <w:tcPr>
            <w:tcW w:w="2076" w:type="dxa"/>
            <w:vAlign w:val="center"/>
          </w:tcPr>
          <w:p>
            <w:pPr>
              <w:jc w:val="center"/>
              <w:rPr>
                <w:szCs w:val="21"/>
              </w:rPr>
            </w:pPr>
            <w:r>
              <w:rPr>
                <w:rFonts w:hint="eastAsia"/>
                <w:szCs w:val="21"/>
              </w:rPr>
              <w:t>项目名称</w:t>
            </w:r>
          </w:p>
        </w:tc>
        <w:tc>
          <w:tcPr>
            <w:tcW w:w="4514" w:type="dxa"/>
            <w:vAlign w:val="center"/>
          </w:tcPr>
          <w:p>
            <w:pPr>
              <w:jc w:val="center"/>
              <w:rPr>
                <w:szCs w:val="21"/>
              </w:rPr>
            </w:pPr>
          </w:p>
        </w:tc>
        <w:tc>
          <w:tcPr>
            <w:tcW w:w="1411" w:type="dxa"/>
            <w:vAlign w:val="center"/>
          </w:tcPr>
          <w:p>
            <w:pPr>
              <w:jc w:val="center"/>
              <w:rPr>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735" w:type="dxa"/>
            <w:vMerge w:val="continue"/>
            <w:vAlign w:val="center"/>
          </w:tcPr>
          <w:p>
            <w:pPr>
              <w:jc w:val="center"/>
              <w:rPr>
                <w:szCs w:val="21"/>
              </w:rPr>
            </w:pPr>
          </w:p>
        </w:tc>
        <w:tc>
          <w:tcPr>
            <w:tcW w:w="401" w:type="dxa"/>
            <w:vMerge w:val="continue"/>
            <w:vAlign w:val="center"/>
          </w:tcPr>
          <w:p>
            <w:pPr>
              <w:jc w:val="center"/>
              <w:rPr>
                <w:szCs w:val="21"/>
              </w:rPr>
            </w:pPr>
          </w:p>
        </w:tc>
        <w:tc>
          <w:tcPr>
            <w:tcW w:w="2076" w:type="dxa"/>
            <w:vAlign w:val="center"/>
          </w:tcPr>
          <w:p>
            <w:pPr>
              <w:jc w:val="center"/>
              <w:rPr>
                <w:szCs w:val="21"/>
              </w:rPr>
            </w:pPr>
            <w:r>
              <w:rPr>
                <w:rFonts w:hint="eastAsia"/>
                <w:szCs w:val="21"/>
              </w:rPr>
              <w:t>奖项名称、等级及颁发单位</w:t>
            </w:r>
          </w:p>
        </w:tc>
        <w:tc>
          <w:tcPr>
            <w:tcW w:w="4514" w:type="dxa"/>
            <w:vAlign w:val="center"/>
          </w:tcPr>
          <w:p>
            <w:pPr>
              <w:jc w:val="center"/>
              <w:rPr>
                <w:szCs w:val="21"/>
              </w:rPr>
            </w:pPr>
          </w:p>
        </w:tc>
        <w:tc>
          <w:tcPr>
            <w:tcW w:w="1411" w:type="dxa"/>
            <w:vAlign w:val="center"/>
          </w:tcPr>
          <w:p>
            <w:pPr>
              <w:jc w:val="center"/>
              <w:rPr>
                <w:szCs w:val="21"/>
              </w:rPr>
            </w:pPr>
            <w:r>
              <w:rPr>
                <w:rFonts w:hint="eastAsia"/>
                <w:szCs w:val="21"/>
              </w:rPr>
              <w:t>提供奖项复印件</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735" w:type="dxa"/>
            <w:vMerge w:val="continue"/>
            <w:vAlign w:val="center"/>
          </w:tcPr>
          <w:p>
            <w:pPr>
              <w:jc w:val="center"/>
              <w:rPr>
                <w:szCs w:val="21"/>
              </w:rPr>
            </w:pPr>
          </w:p>
        </w:tc>
        <w:tc>
          <w:tcPr>
            <w:tcW w:w="401" w:type="dxa"/>
            <w:vMerge w:val="continue"/>
            <w:vAlign w:val="center"/>
          </w:tcPr>
          <w:p>
            <w:pPr>
              <w:jc w:val="center"/>
              <w:rPr>
                <w:szCs w:val="21"/>
              </w:rPr>
            </w:pPr>
          </w:p>
        </w:tc>
        <w:tc>
          <w:tcPr>
            <w:tcW w:w="2076" w:type="dxa"/>
            <w:vAlign w:val="center"/>
          </w:tcPr>
          <w:p>
            <w:pPr>
              <w:jc w:val="center"/>
              <w:rPr>
                <w:szCs w:val="21"/>
              </w:rPr>
            </w:pPr>
            <w:r>
              <w:rPr>
                <w:rFonts w:hint="eastAsia"/>
                <w:szCs w:val="21"/>
              </w:rPr>
              <w:t>项目规模及性质的简要说明</w:t>
            </w:r>
          </w:p>
        </w:tc>
        <w:tc>
          <w:tcPr>
            <w:tcW w:w="4514" w:type="dxa"/>
            <w:vAlign w:val="center"/>
          </w:tcPr>
          <w:p>
            <w:pPr>
              <w:jc w:val="center"/>
              <w:rPr>
                <w:szCs w:val="21"/>
              </w:rPr>
            </w:pPr>
          </w:p>
        </w:tc>
        <w:tc>
          <w:tcPr>
            <w:tcW w:w="1411" w:type="dxa"/>
            <w:vAlign w:val="center"/>
          </w:tcPr>
          <w:p>
            <w:pPr>
              <w:jc w:val="center"/>
              <w:rPr>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735" w:type="dxa"/>
            <w:vAlign w:val="center"/>
          </w:tcPr>
          <w:p>
            <w:pPr>
              <w:jc w:val="center"/>
              <w:rPr>
                <w:szCs w:val="21"/>
              </w:rPr>
            </w:pPr>
            <w:r>
              <w:rPr>
                <w:rFonts w:hint="eastAsia"/>
                <w:b/>
                <w:szCs w:val="21"/>
              </w:rPr>
              <w:t>四</w:t>
            </w:r>
          </w:p>
        </w:tc>
        <w:tc>
          <w:tcPr>
            <w:tcW w:w="6991" w:type="dxa"/>
            <w:gridSpan w:val="3"/>
            <w:vAlign w:val="center"/>
          </w:tcPr>
          <w:p>
            <w:pPr>
              <w:rPr>
                <w:b/>
                <w:szCs w:val="21"/>
              </w:rPr>
            </w:pPr>
            <w:r>
              <w:rPr>
                <w:rFonts w:hint="eastAsia"/>
                <w:b/>
                <w:szCs w:val="21"/>
              </w:rPr>
              <w:t>企业技术力量</w:t>
            </w:r>
          </w:p>
        </w:tc>
        <w:tc>
          <w:tcPr>
            <w:tcW w:w="1411" w:type="dxa"/>
            <w:vAlign w:val="center"/>
          </w:tcPr>
          <w:p>
            <w:pPr>
              <w:jc w:val="center"/>
              <w:rPr>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735" w:type="dxa"/>
            <w:vAlign w:val="center"/>
          </w:tcPr>
          <w:p>
            <w:pPr>
              <w:jc w:val="center"/>
              <w:rPr>
                <w:szCs w:val="21"/>
              </w:rPr>
            </w:pPr>
            <w:r>
              <w:rPr>
                <w:rFonts w:hint="eastAsia"/>
                <w:szCs w:val="21"/>
              </w:rPr>
              <w:t>1</w:t>
            </w:r>
          </w:p>
        </w:tc>
        <w:tc>
          <w:tcPr>
            <w:tcW w:w="2477" w:type="dxa"/>
            <w:gridSpan w:val="2"/>
            <w:vAlign w:val="center"/>
          </w:tcPr>
          <w:p>
            <w:pPr>
              <w:jc w:val="center"/>
              <w:rPr>
                <w:szCs w:val="21"/>
              </w:rPr>
            </w:pPr>
            <w:r>
              <w:rPr>
                <w:rFonts w:hint="eastAsia"/>
                <w:szCs w:val="21"/>
              </w:rPr>
              <w:t>企业技术人员构成情况</w:t>
            </w:r>
          </w:p>
        </w:tc>
        <w:tc>
          <w:tcPr>
            <w:tcW w:w="4514" w:type="dxa"/>
            <w:vAlign w:val="center"/>
          </w:tcPr>
          <w:p>
            <w:pPr>
              <w:jc w:val="center"/>
              <w:rPr>
                <w:szCs w:val="21"/>
              </w:rPr>
            </w:pPr>
          </w:p>
        </w:tc>
        <w:tc>
          <w:tcPr>
            <w:tcW w:w="1411" w:type="dxa"/>
            <w:vAlign w:val="center"/>
          </w:tcPr>
          <w:p>
            <w:pPr>
              <w:jc w:val="center"/>
              <w:rPr>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735" w:type="dxa"/>
            <w:vAlign w:val="center"/>
          </w:tcPr>
          <w:p>
            <w:pPr>
              <w:jc w:val="center"/>
              <w:rPr>
                <w:szCs w:val="21"/>
              </w:rPr>
            </w:pPr>
            <w:r>
              <w:rPr>
                <w:rFonts w:hint="eastAsia"/>
                <w:szCs w:val="21"/>
              </w:rPr>
              <w:t>2</w:t>
            </w:r>
          </w:p>
        </w:tc>
        <w:tc>
          <w:tcPr>
            <w:tcW w:w="2477" w:type="dxa"/>
            <w:gridSpan w:val="2"/>
            <w:vAlign w:val="center"/>
          </w:tcPr>
          <w:p>
            <w:pPr>
              <w:jc w:val="center"/>
              <w:rPr>
                <w:szCs w:val="21"/>
              </w:rPr>
            </w:pPr>
            <w:r>
              <w:rPr>
                <w:rFonts w:hint="eastAsia"/>
                <w:szCs w:val="21"/>
              </w:rPr>
              <w:t>企业专业设施、设备情况</w:t>
            </w:r>
          </w:p>
        </w:tc>
        <w:tc>
          <w:tcPr>
            <w:tcW w:w="4514" w:type="dxa"/>
            <w:vAlign w:val="center"/>
          </w:tcPr>
          <w:p>
            <w:pPr>
              <w:jc w:val="center"/>
              <w:rPr>
                <w:szCs w:val="21"/>
              </w:rPr>
            </w:pPr>
          </w:p>
        </w:tc>
        <w:tc>
          <w:tcPr>
            <w:tcW w:w="1411" w:type="dxa"/>
            <w:vAlign w:val="center"/>
          </w:tcPr>
          <w:p>
            <w:pPr>
              <w:jc w:val="center"/>
              <w:rPr>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735" w:type="dxa"/>
            <w:vAlign w:val="center"/>
          </w:tcPr>
          <w:p>
            <w:pPr>
              <w:jc w:val="center"/>
              <w:rPr>
                <w:szCs w:val="21"/>
              </w:rPr>
            </w:pPr>
            <w:r>
              <w:rPr>
                <w:rFonts w:hint="eastAsia"/>
                <w:szCs w:val="21"/>
              </w:rPr>
              <w:t>3</w:t>
            </w:r>
          </w:p>
        </w:tc>
        <w:tc>
          <w:tcPr>
            <w:tcW w:w="2477" w:type="dxa"/>
            <w:gridSpan w:val="2"/>
            <w:vAlign w:val="center"/>
          </w:tcPr>
          <w:p>
            <w:pPr>
              <w:jc w:val="center"/>
              <w:rPr>
                <w:szCs w:val="21"/>
              </w:rPr>
            </w:pPr>
          </w:p>
        </w:tc>
        <w:tc>
          <w:tcPr>
            <w:tcW w:w="4514" w:type="dxa"/>
            <w:vAlign w:val="center"/>
          </w:tcPr>
          <w:p>
            <w:pPr>
              <w:jc w:val="center"/>
              <w:rPr>
                <w:szCs w:val="21"/>
              </w:rPr>
            </w:pPr>
          </w:p>
        </w:tc>
        <w:tc>
          <w:tcPr>
            <w:tcW w:w="1411" w:type="dxa"/>
            <w:vAlign w:val="center"/>
          </w:tcPr>
          <w:p>
            <w:pPr>
              <w:jc w:val="center"/>
              <w:rPr>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735" w:type="dxa"/>
            <w:vAlign w:val="center"/>
          </w:tcPr>
          <w:p>
            <w:pPr>
              <w:jc w:val="center"/>
              <w:rPr>
                <w:b/>
                <w:szCs w:val="21"/>
              </w:rPr>
            </w:pPr>
            <w:r>
              <w:rPr>
                <w:rFonts w:hint="eastAsia"/>
                <w:b/>
                <w:szCs w:val="21"/>
              </w:rPr>
              <w:t>五</w:t>
            </w:r>
          </w:p>
        </w:tc>
        <w:tc>
          <w:tcPr>
            <w:tcW w:w="6991" w:type="dxa"/>
            <w:gridSpan w:val="3"/>
            <w:vAlign w:val="center"/>
          </w:tcPr>
          <w:p>
            <w:pPr>
              <w:rPr>
                <w:b/>
                <w:szCs w:val="21"/>
              </w:rPr>
            </w:pPr>
            <w:r>
              <w:rPr>
                <w:rFonts w:hint="eastAsia"/>
                <w:b/>
                <w:szCs w:val="21"/>
              </w:rPr>
              <w:t>其他</w:t>
            </w:r>
            <w:r>
              <w:rPr>
                <w:rFonts w:hint="eastAsia"/>
                <w:szCs w:val="21"/>
              </w:rPr>
              <w:t>（投标人认为需补充的其他说明）</w:t>
            </w:r>
          </w:p>
        </w:tc>
        <w:tc>
          <w:tcPr>
            <w:tcW w:w="1411" w:type="dxa"/>
            <w:vAlign w:val="center"/>
          </w:tcPr>
          <w:p>
            <w:pPr>
              <w:jc w:val="center"/>
              <w:rPr>
                <w:szCs w:val="21"/>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735" w:type="dxa"/>
            <w:vAlign w:val="center"/>
          </w:tcPr>
          <w:p>
            <w:pPr>
              <w:jc w:val="center"/>
              <w:rPr>
                <w:szCs w:val="21"/>
              </w:rPr>
            </w:pPr>
            <w:r>
              <w:rPr>
                <w:rFonts w:hint="eastAsia"/>
                <w:szCs w:val="21"/>
              </w:rPr>
              <w:t>1</w:t>
            </w:r>
          </w:p>
        </w:tc>
        <w:tc>
          <w:tcPr>
            <w:tcW w:w="2477" w:type="dxa"/>
            <w:gridSpan w:val="2"/>
            <w:vAlign w:val="center"/>
          </w:tcPr>
          <w:p>
            <w:pPr>
              <w:jc w:val="center"/>
              <w:rPr>
                <w:szCs w:val="21"/>
              </w:rPr>
            </w:pPr>
          </w:p>
        </w:tc>
        <w:tc>
          <w:tcPr>
            <w:tcW w:w="4514" w:type="dxa"/>
            <w:vAlign w:val="center"/>
          </w:tcPr>
          <w:p>
            <w:pPr>
              <w:jc w:val="center"/>
              <w:rPr>
                <w:szCs w:val="21"/>
              </w:rPr>
            </w:pPr>
          </w:p>
        </w:tc>
        <w:tc>
          <w:tcPr>
            <w:tcW w:w="1411" w:type="dxa"/>
            <w:vAlign w:val="center"/>
          </w:tcPr>
          <w:p>
            <w:pPr>
              <w:jc w:val="center"/>
              <w:rPr>
                <w:szCs w:val="21"/>
              </w:rPr>
            </w:pPr>
          </w:p>
        </w:tc>
      </w:tr>
    </w:tbl>
    <w:p>
      <w:pPr>
        <w:ind w:left="632" w:hanging="632" w:hangingChars="300"/>
        <w:rPr>
          <w:b/>
          <w:bCs/>
        </w:rPr>
      </w:pPr>
      <w:r>
        <w:rPr>
          <w:rFonts w:hint="eastAsia"/>
          <w:b/>
          <w:bCs/>
        </w:rPr>
        <w:t>注：1、在按要求填写好此表格后，各投标单位可以用其它的方式，就公司整体情况作出详细的介绍。</w:t>
      </w:r>
    </w:p>
    <w:p>
      <w:pPr>
        <w:ind w:firstLine="420"/>
        <w:rPr>
          <w:b/>
          <w:bCs/>
        </w:rPr>
      </w:pPr>
      <w:r>
        <w:rPr>
          <w:rFonts w:hint="eastAsia"/>
          <w:b/>
          <w:bCs/>
        </w:rPr>
        <w:t>2、有关资质和获奖情况需提供证书复印件。</w:t>
      </w:r>
    </w:p>
    <w:p>
      <w:pPr>
        <w:rPr>
          <w:b/>
          <w:bCs/>
        </w:rPr>
      </w:pPr>
    </w:p>
    <w:p>
      <w:pPr>
        <w:rPr>
          <w:b/>
          <w:bCs/>
        </w:rPr>
      </w:pPr>
    </w:p>
    <w:p>
      <w:pPr>
        <w:rPr>
          <w:b/>
          <w:bCs/>
        </w:rPr>
      </w:pPr>
      <w:r>
        <w:rPr>
          <w:b/>
          <w:bCs/>
        </w:rPr>
        <w:br w:type="page"/>
      </w:r>
    </w:p>
    <w:p>
      <w:pPr>
        <w:rPr>
          <w:b/>
          <w:bCs/>
        </w:rPr>
      </w:pPr>
      <w:r>
        <w:rPr>
          <w:rFonts w:hint="eastAsia" w:ascii="仿宋_GB2312" w:eastAsia="仿宋_GB2312"/>
          <w:b/>
          <w:color w:val="FF0000"/>
          <w:sz w:val="30"/>
          <w:szCs w:val="30"/>
        </w:rPr>
        <w:t>投标文件第二</w:t>
      </w:r>
      <w:r>
        <w:rPr>
          <w:rFonts w:ascii="仿宋_GB2312" w:eastAsia="仿宋_GB2312"/>
          <w:b/>
          <w:color w:val="FF0000"/>
          <w:sz w:val="30"/>
          <w:szCs w:val="30"/>
        </w:rPr>
        <w:t>部分</w:t>
      </w:r>
      <w:r>
        <w:rPr>
          <w:rFonts w:hint="eastAsia" w:ascii="仿宋_GB2312" w:eastAsia="仿宋_GB2312"/>
          <w:b/>
          <w:color w:val="FF0000"/>
          <w:sz w:val="30"/>
          <w:szCs w:val="30"/>
        </w:rPr>
        <w:t>：</w:t>
      </w:r>
    </w:p>
    <w:p>
      <w:pPr>
        <w:pStyle w:val="3"/>
        <w:jc w:val="center"/>
        <w:rPr>
          <w:rFonts w:ascii="华文新魏" w:hAnsi="华文新魏" w:eastAsia="华文新魏" w:cs="华文新魏"/>
          <w:b w:val="0"/>
          <w:sz w:val="44"/>
          <w:szCs w:val="44"/>
        </w:rPr>
      </w:pPr>
      <w:r>
        <w:rPr>
          <w:rFonts w:hint="eastAsia" w:ascii="华文新魏" w:hAnsi="华文新魏" w:eastAsia="华文新魏" w:cs="华文新魏"/>
          <w:b w:val="0"/>
          <w:kern w:val="0"/>
          <w:sz w:val="44"/>
          <w:szCs w:val="44"/>
        </w:rPr>
        <w:t>一、授权委托</w:t>
      </w:r>
      <w:r>
        <w:rPr>
          <w:rFonts w:hint="eastAsia" w:ascii="华文新魏" w:hAnsi="华文新魏" w:eastAsia="华文新魏" w:cs="华文新魏"/>
          <w:b w:val="0"/>
          <w:sz w:val="44"/>
          <w:szCs w:val="44"/>
        </w:rPr>
        <w:t>代理人联系方式</w:t>
      </w:r>
    </w:p>
    <w:p>
      <w:pPr>
        <w:spacing w:line="360" w:lineRule="auto"/>
        <w:ind w:firstLine="420" w:firstLineChars="200"/>
        <w:rPr>
          <w:szCs w:val="21"/>
        </w:rPr>
      </w:pPr>
      <w:r>
        <w:rPr>
          <w:rFonts w:hint="eastAsia"/>
          <w:szCs w:val="21"/>
        </w:rPr>
        <w:t>本授权委托书声明：我（姓名）系（投标人名称）的法定代表人，现授权委托（单位名称）的（姓名）为我公司签署本项目已递交的投标文件的法定代表人的授权委托代理人，代理人全权代表我所签署的本项目已递交的投标文件内容我均承认。</w:t>
      </w:r>
    </w:p>
    <w:p>
      <w:pPr>
        <w:pStyle w:val="7"/>
        <w:spacing w:line="360" w:lineRule="auto"/>
        <w:rPr>
          <w:szCs w:val="21"/>
        </w:rPr>
      </w:pPr>
      <w:r>
        <w:rPr>
          <w:rFonts w:hint="eastAsia"/>
          <w:szCs w:val="21"/>
        </w:rPr>
        <w:t>代理人无转委托权，特此委托。</w:t>
      </w:r>
    </w:p>
    <w:p>
      <w:pPr>
        <w:rPr>
          <w:szCs w:val="21"/>
        </w:rPr>
      </w:pPr>
    </w:p>
    <w:p>
      <w:pPr>
        <w:spacing w:line="360" w:lineRule="auto"/>
        <w:ind w:left="540" w:leftChars="257"/>
        <w:rPr>
          <w:szCs w:val="21"/>
          <w:u w:val="single"/>
        </w:rPr>
      </w:pPr>
      <w:r>
        <w:rPr>
          <w:rFonts w:hint="eastAsia"/>
          <w:szCs w:val="21"/>
        </w:rPr>
        <w:t>代理人：性别：年龄：</w:t>
      </w:r>
    </w:p>
    <w:p>
      <w:pPr>
        <w:spacing w:line="360" w:lineRule="auto"/>
        <w:ind w:left="540" w:leftChars="257"/>
        <w:rPr>
          <w:szCs w:val="21"/>
        </w:rPr>
      </w:pPr>
      <w:r>
        <w:rPr>
          <w:rFonts w:hint="eastAsia"/>
          <w:szCs w:val="21"/>
        </w:rPr>
        <w:t>联系电话：  手机：</w:t>
      </w:r>
    </w:p>
    <w:p>
      <w:pPr>
        <w:spacing w:line="360" w:lineRule="auto"/>
        <w:ind w:left="540" w:leftChars="257"/>
        <w:rPr>
          <w:szCs w:val="21"/>
          <w:u w:val="single"/>
        </w:rPr>
      </w:pPr>
      <w:r>
        <w:rPr>
          <w:rFonts w:hint="eastAsia"/>
          <w:szCs w:val="21"/>
        </w:rPr>
        <w:t>身份证号码：职务：</w:t>
      </w:r>
    </w:p>
    <w:p>
      <w:pPr>
        <w:spacing w:line="360" w:lineRule="auto"/>
        <w:ind w:left="540" w:leftChars="257"/>
        <w:rPr>
          <w:szCs w:val="21"/>
        </w:rPr>
      </w:pPr>
      <w:r>
        <w:rPr>
          <w:rFonts w:hint="eastAsia"/>
          <w:szCs w:val="21"/>
        </w:rPr>
        <w:t>投标人：</w:t>
      </w:r>
    </w:p>
    <w:p>
      <w:pPr>
        <w:spacing w:line="360" w:lineRule="auto"/>
        <w:ind w:left="540" w:leftChars="257"/>
        <w:rPr>
          <w:szCs w:val="21"/>
        </w:rPr>
      </w:pPr>
      <w:r>
        <w:rPr>
          <w:rFonts w:hint="eastAsia"/>
          <w:szCs w:val="21"/>
        </w:rPr>
        <w:t>法定代表人：（签名或</w:t>
      </w:r>
      <w:r>
        <w:rPr>
          <w:szCs w:val="21"/>
        </w:rPr>
        <w:t>签章</w:t>
      </w:r>
      <w:r>
        <w:rPr>
          <w:rFonts w:hint="eastAsia"/>
          <w:szCs w:val="21"/>
        </w:rPr>
        <w:t>）  （公章）</w:t>
      </w:r>
    </w:p>
    <w:p>
      <w:pPr>
        <w:ind w:firstLine="420"/>
        <w:rPr>
          <w:szCs w:val="21"/>
        </w:rPr>
      </w:pPr>
      <w:r>
        <w:rPr>
          <w:rFonts w:hint="eastAsia"/>
          <w:szCs w:val="21"/>
        </w:rPr>
        <w:t>授权委托日期：年月 日</w:t>
      </w:r>
    </w:p>
    <w:p>
      <w:pPr>
        <w:ind w:firstLine="420"/>
        <w:rPr>
          <w:b/>
          <w:bCs/>
        </w:rPr>
      </w:pPr>
      <w:r>
        <w:rPr>
          <w:szCs w:val="21"/>
        </w:rPr>
        <w:br w:type="page"/>
      </w:r>
    </w:p>
    <w:p>
      <w:pPr>
        <w:pStyle w:val="3"/>
        <w:jc w:val="center"/>
        <w:rPr>
          <w:rFonts w:ascii="黑体" w:eastAsia="黑体"/>
          <w:b w:val="0"/>
          <w:kern w:val="0"/>
          <w:sz w:val="24"/>
        </w:rPr>
      </w:pPr>
      <w:bookmarkStart w:id="35" w:name="_Toc100052461"/>
      <w:bookmarkStart w:id="36" w:name="_Toc101074892"/>
      <w:r>
        <w:rPr>
          <w:rFonts w:hint="eastAsia" w:ascii="黑体" w:eastAsia="黑体"/>
          <w:b w:val="0"/>
          <w:kern w:val="0"/>
          <w:sz w:val="24"/>
        </w:rPr>
        <w:t>二、</w:t>
      </w:r>
      <w:bookmarkEnd w:id="35"/>
      <w:bookmarkEnd w:id="36"/>
      <w:r>
        <w:rPr>
          <w:rFonts w:hint="eastAsia" w:ascii="黑体" w:eastAsia="黑体"/>
          <w:b w:val="0"/>
          <w:kern w:val="0"/>
          <w:sz w:val="24"/>
        </w:rPr>
        <w:t>工程量清单报价格式</w:t>
      </w:r>
    </w:p>
    <w:p>
      <w:pPr>
        <w:wordWrap w:val="0"/>
        <w:jc w:val="center"/>
        <w:rPr>
          <w:rFonts w:ascii="华文新魏" w:hAnsi="华文新魏" w:eastAsia="华文新魏"/>
          <w:b/>
          <w:sz w:val="48"/>
          <w:szCs w:val="48"/>
        </w:rPr>
      </w:pPr>
      <w:bookmarkStart w:id="37" w:name="_Toc71860049"/>
      <w:bookmarkStart w:id="38" w:name="_Toc100052462"/>
      <w:bookmarkStart w:id="39" w:name="_Toc101074893"/>
      <w:bookmarkStart w:id="40" w:name="_Toc69878058"/>
      <w:bookmarkStart w:id="41" w:name="_Toc71860051"/>
      <w:bookmarkStart w:id="42" w:name="_Toc84303613"/>
      <w:bookmarkStart w:id="43" w:name="_Toc45964657"/>
      <w:bookmarkStart w:id="44" w:name="_Toc100052479"/>
      <w:bookmarkStart w:id="45" w:name="_Toc101074909"/>
      <w:bookmarkStart w:id="46" w:name="_Toc73518192"/>
      <w:bookmarkStart w:id="47" w:name="_Toc73521628"/>
      <w:bookmarkStart w:id="48" w:name="_Toc71860066"/>
      <w:bookmarkStart w:id="49" w:name="_Toc73517714"/>
      <w:bookmarkStart w:id="50" w:name="_Toc73521716"/>
      <w:bookmarkStart w:id="51" w:name="_Toc60631689"/>
      <w:r>
        <w:rPr>
          <w:rFonts w:ascii="华文新魏" w:hAnsi="华文新魏" w:eastAsia="华文新魏"/>
          <w:b/>
          <w:sz w:val="48"/>
          <w:szCs w:val="48"/>
        </w:rPr>
        <w:t>单位工程费汇总表</w:t>
      </w:r>
    </w:p>
    <w:p>
      <w:pPr>
        <w:wordWrap w:val="0"/>
        <w:rPr>
          <w:rFonts w:ascii="Calibri" w:hAnsi="宋体"/>
        </w:rPr>
      </w:pPr>
    </w:p>
    <w:tbl>
      <w:tblPr>
        <w:tblStyle w:val="54"/>
        <w:tblW w:w="8296" w:type="dxa"/>
        <w:tblInd w:w="0" w:type="dxa"/>
        <w:tblLayout w:type="fixed"/>
        <w:tblCellMar>
          <w:top w:w="0" w:type="dxa"/>
          <w:left w:w="0" w:type="dxa"/>
          <w:bottom w:w="0" w:type="dxa"/>
          <w:right w:w="0" w:type="dxa"/>
        </w:tblCellMar>
      </w:tblPr>
      <w:tblGrid>
        <w:gridCol w:w="567"/>
        <w:gridCol w:w="5472"/>
        <w:gridCol w:w="2257"/>
      </w:tblGrid>
      <w:tr>
        <w:tblPrEx>
          <w:tblCellMar>
            <w:top w:w="0" w:type="dxa"/>
            <w:left w:w="0" w:type="dxa"/>
            <w:bottom w:w="0" w:type="dxa"/>
            <w:right w:w="0" w:type="dxa"/>
          </w:tblCellMar>
        </w:tblPrEx>
        <w:trPr>
          <w:trHeight w:val="409" w:hRule="atLeast"/>
        </w:trPr>
        <w:tc>
          <w:tcPr>
            <w:tcW w:w="6039" w:type="dxa"/>
            <w:gridSpan w:val="2"/>
            <w:tcBorders>
              <w:top w:val="nil"/>
              <w:left w:val="nil"/>
              <w:bottom w:val="nil"/>
              <w:right w:val="nil"/>
            </w:tcBorders>
            <w:tcMar>
              <w:left w:w="15" w:type="dxa"/>
              <w:right w:w="15" w:type="dxa"/>
            </w:tcMar>
            <w:vAlign w:val="center"/>
          </w:tcPr>
          <w:p>
            <w:pPr>
              <w:wordWrap w:val="0"/>
              <w:rPr>
                <w:rFonts w:ascii="宋体" w:hAnsi="Arial" w:eastAsia="Arial"/>
                <w:color w:val="000000"/>
                <w:sz w:val="20"/>
                <w:szCs w:val="20"/>
              </w:rPr>
            </w:pPr>
            <w:r>
              <w:rPr>
                <w:rFonts w:ascii="Calibri" w:hAnsi="宋体"/>
                <w:color w:val="000000"/>
                <w:sz w:val="20"/>
                <w:szCs w:val="20"/>
              </w:rPr>
              <w:t>单位工程名称</w:t>
            </w:r>
            <w:r>
              <w:rPr>
                <w:rFonts w:ascii="Calibri" w:hAnsi="Arial" w:eastAsia="Arial"/>
                <w:color w:val="000000"/>
                <w:sz w:val="20"/>
                <w:szCs w:val="20"/>
              </w:rPr>
              <w:t>:</w:t>
            </w:r>
          </w:p>
        </w:tc>
        <w:tc>
          <w:tcPr>
            <w:tcW w:w="2257" w:type="dxa"/>
            <w:tcBorders>
              <w:top w:val="nil"/>
              <w:left w:val="nil"/>
              <w:bottom w:val="nil"/>
              <w:right w:val="nil"/>
            </w:tcBorders>
            <w:tcMar>
              <w:left w:w="15" w:type="dxa"/>
              <w:right w:w="15" w:type="dxa"/>
            </w:tcMar>
            <w:vAlign w:val="center"/>
          </w:tcPr>
          <w:p>
            <w:pPr>
              <w:wordWrap w:val="0"/>
              <w:jc w:val="right"/>
              <w:rPr>
                <w:rFonts w:ascii="宋体" w:hAnsi="Arial" w:eastAsia="Arial"/>
                <w:color w:val="000000"/>
                <w:sz w:val="20"/>
                <w:szCs w:val="20"/>
              </w:rPr>
            </w:pPr>
            <w:r>
              <w:rPr>
                <w:rFonts w:ascii="Calibri" w:hAnsi="宋体"/>
                <w:color w:val="000000"/>
                <w:sz w:val="20"/>
                <w:szCs w:val="20"/>
              </w:rPr>
              <w:t>第</w:t>
            </w:r>
            <w:r>
              <w:rPr>
                <w:rFonts w:ascii="Calibri" w:hAnsi="Arial" w:eastAsia="Arial"/>
                <w:color w:val="000000"/>
                <w:sz w:val="20"/>
                <w:szCs w:val="20"/>
              </w:rPr>
              <w:t>1</w:t>
            </w:r>
            <w:r>
              <w:rPr>
                <w:rFonts w:hint="eastAsia" w:ascii="微软雅黑" w:hAnsi="微软雅黑" w:eastAsia="微软雅黑" w:cs="微软雅黑"/>
                <w:color w:val="000000"/>
                <w:sz w:val="20"/>
                <w:szCs w:val="20"/>
              </w:rPr>
              <w:t>页共</w:t>
            </w:r>
            <w:r>
              <w:rPr>
                <w:rFonts w:ascii="Calibri" w:hAnsi="宋体"/>
                <w:color w:val="000000"/>
                <w:sz w:val="20"/>
                <w:szCs w:val="20"/>
              </w:rPr>
              <w:t>2</w:t>
            </w:r>
            <w:r>
              <w:rPr>
                <w:rFonts w:hint="eastAsia" w:ascii="微软雅黑" w:hAnsi="微软雅黑" w:eastAsia="微软雅黑" w:cs="微软雅黑"/>
                <w:color w:val="000000"/>
                <w:sz w:val="20"/>
                <w:szCs w:val="20"/>
              </w:rPr>
              <w:t>页</w:t>
            </w:r>
          </w:p>
        </w:tc>
      </w:tr>
      <w:tr>
        <w:tblPrEx>
          <w:tblCellMar>
            <w:top w:w="0" w:type="dxa"/>
            <w:left w:w="0" w:type="dxa"/>
            <w:bottom w:w="0" w:type="dxa"/>
            <w:right w:w="0" w:type="dxa"/>
          </w:tblCellMar>
        </w:tblPrEx>
        <w:trPr>
          <w:trHeight w:val="342" w:hRule="atLeast"/>
        </w:trPr>
        <w:tc>
          <w:tcPr>
            <w:tcW w:w="567" w:type="dxa"/>
            <w:tcBorders>
              <w:top w:val="single" w:color="auto" w:sz="4" w:space="0"/>
              <w:left w:val="single" w:color="auto" w:sz="4" w:space="0"/>
              <w:bottom w:val="single" w:color="auto" w:sz="4" w:space="0"/>
              <w:right w:val="single" w:color="auto" w:sz="4" w:space="0"/>
            </w:tcBorders>
            <w:tcMar>
              <w:left w:w="15" w:type="dxa"/>
              <w:right w:w="15" w:type="dxa"/>
            </w:tcMar>
            <w:vAlign w:val="center"/>
          </w:tcPr>
          <w:p>
            <w:pPr>
              <w:wordWrap w:val="0"/>
              <w:jc w:val="center"/>
              <w:rPr>
                <w:rFonts w:ascii="宋体" w:hAnsi="Arial" w:eastAsia="Arial"/>
                <w:sz w:val="20"/>
                <w:szCs w:val="20"/>
              </w:rPr>
            </w:pPr>
            <w:r>
              <w:rPr>
                <w:rFonts w:ascii="Calibri" w:hAnsi="宋体"/>
                <w:sz w:val="20"/>
                <w:szCs w:val="20"/>
              </w:rPr>
              <w:t>序号</w:t>
            </w:r>
          </w:p>
        </w:tc>
        <w:tc>
          <w:tcPr>
            <w:tcW w:w="5472" w:type="dxa"/>
            <w:tcBorders>
              <w:top w:val="single" w:color="auto" w:sz="4" w:space="0"/>
              <w:left w:val="nil"/>
              <w:bottom w:val="single" w:color="auto" w:sz="4" w:space="0"/>
              <w:right w:val="single" w:color="auto" w:sz="4" w:space="0"/>
            </w:tcBorders>
            <w:tcMar>
              <w:left w:w="15" w:type="dxa"/>
              <w:right w:w="15" w:type="dxa"/>
            </w:tcMar>
            <w:vAlign w:val="center"/>
          </w:tcPr>
          <w:p>
            <w:pPr>
              <w:wordWrap w:val="0"/>
              <w:jc w:val="center"/>
              <w:rPr>
                <w:rFonts w:ascii="宋体" w:hAnsi="Arial" w:eastAsia="Arial"/>
                <w:sz w:val="20"/>
                <w:szCs w:val="20"/>
              </w:rPr>
            </w:pPr>
            <w:r>
              <w:rPr>
                <w:rFonts w:ascii="Calibri" w:hAnsi="宋体"/>
                <w:sz w:val="20"/>
                <w:szCs w:val="20"/>
              </w:rPr>
              <w:t>单位工程名称</w:t>
            </w:r>
          </w:p>
        </w:tc>
        <w:tc>
          <w:tcPr>
            <w:tcW w:w="2257" w:type="dxa"/>
            <w:tcBorders>
              <w:top w:val="single" w:color="auto" w:sz="4" w:space="0"/>
              <w:left w:val="nil"/>
              <w:bottom w:val="single" w:color="auto" w:sz="4" w:space="0"/>
              <w:right w:val="single" w:color="auto" w:sz="4" w:space="0"/>
            </w:tcBorders>
            <w:tcMar>
              <w:left w:w="15" w:type="dxa"/>
              <w:right w:w="15" w:type="dxa"/>
            </w:tcMar>
            <w:vAlign w:val="center"/>
          </w:tcPr>
          <w:p>
            <w:pPr>
              <w:wordWrap w:val="0"/>
              <w:jc w:val="center"/>
              <w:rPr>
                <w:rFonts w:ascii="宋体" w:hAnsi="Arial" w:eastAsia="Arial"/>
                <w:sz w:val="20"/>
                <w:szCs w:val="20"/>
              </w:rPr>
            </w:pPr>
            <w:r>
              <w:rPr>
                <w:rFonts w:ascii="Calibri" w:hAnsi="宋体"/>
                <w:sz w:val="20"/>
                <w:szCs w:val="20"/>
              </w:rPr>
              <w:t>金额</w:t>
            </w:r>
            <w:r>
              <w:rPr>
                <w:rFonts w:ascii="Calibri" w:hAnsi="Arial" w:eastAsia="Arial"/>
                <w:sz w:val="20"/>
                <w:szCs w:val="20"/>
              </w:rPr>
              <w:t>(</w:t>
            </w:r>
            <w:r>
              <w:rPr>
                <w:rFonts w:hint="eastAsia" w:ascii="微软雅黑" w:hAnsi="微软雅黑" w:eastAsia="微软雅黑" w:cs="微软雅黑"/>
                <w:sz w:val="20"/>
                <w:szCs w:val="20"/>
              </w:rPr>
              <w:t>元</w:t>
            </w:r>
            <w:r>
              <w:rPr>
                <w:rFonts w:ascii="Calibri" w:hAnsi="Arial" w:eastAsia="Arial"/>
                <w:sz w:val="20"/>
                <w:szCs w:val="20"/>
              </w:rPr>
              <w:t>)</w:t>
            </w:r>
          </w:p>
        </w:tc>
      </w:tr>
      <w:tr>
        <w:tblPrEx>
          <w:tblCellMar>
            <w:top w:w="0" w:type="dxa"/>
            <w:left w:w="0" w:type="dxa"/>
            <w:bottom w:w="0" w:type="dxa"/>
            <w:right w:w="0" w:type="dxa"/>
          </w:tblCellMar>
        </w:tblPrEx>
        <w:trPr>
          <w:trHeight w:val="342" w:hRule="atLeast"/>
        </w:trPr>
        <w:tc>
          <w:tcPr>
            <w:tcW w:w="567" w:type="dxa"/>
            <w:tcBorders>
              <w:top w:val="nil"/>
              <w:left w:val="single" w:color="auto" w:sz="4" w:space="0"/>
              <w:bottom w:val="single" w:color="auto" w:sz="4" w:space="0"/>
              <w:right w:val="single" w:color="auto" w:sz="4" w:space="0"/>
            </w:tcBorders>
            <w:tcMar>
              <w:left w:w="15" w:type="dxa"/>
              <w:right w:w="15" w:type="dxa"/>
            </w:tcMar>
            <w:vAlign w:val="center"/>
          </w:tcPr>
          <w:p>
            <w:pPr>
              <w:wordWrap w:val="0"/>
              <w:jc w:val="center"/>
              <w:rPr>
                <w:rFonts w:ascii="宋体" w:hAnsi="Arial" w:eastAsia="Arial"/>
                <w:sz w:val="18"/>
                <w:szCs w:val="18"/>
              </w:rPr>
            </w:pPr>
            <w:r>
              <w:rPr>
                <w:rFonts w:ascii="Calibri" w:hAnsi="Arial" w:eastAsia="Arial"/>
                <w:sz w:val="18"/>
                <w:szCs w:val="18"/>
              </w:rPr>
              <w:t>1</w:t>
            </w:r>
          </w:p>
        </w:tc>
        <w:tc>
          <w:tcPr>
            <w:tcW w:w="5472" w:type="dxa"/>
            <w:tcBorders>
              <w:top w:val="nil"/>
              <w:left w:val="nil"/>
              <w:bottom w:val="single" w:color="auto" w:sz="4" w:space="0"/>
              <w:right w:val="single" w:color="auto" w:sz="4" w:space="0"/>
            </w:tcBorders>
            <w:tcMar>
              <w:left w:w="15" w:type="dxa"/>
              <w:right w:w="15" w:type="dxa"/>
            </w:tcMar>
            <w:vAlign w:val="center"/>
          </w:tcPr>
          <w:p>
            <w:pPr>
              <w:wordWrap w:val="0"/>
              <w:rPr>
                <w:rFonts w:ascii="宋体" w:hAnsi="Arial" w:eastAsia="Arial"/>
                <w:sz w:val="18"/>
                <w:szCs w:val="18"/>
              </w:rPr>
            </w:pPr>
            <w:r>
              <w:rPr>
                <w:rFonts w:ascii="Calibri" w:hAnsi="宋体"/>
                <w:sz w:val="18"/>
                <w:szCs w:val="18"/>
              </w:rPr>
              <w:t>分部分项工程量清单计价合计</w:t>
            </w:r>
          </w:p>
        </w:tc>
        <w:tc>
          <w:tcPr>
            <w:tcW w:w="2257" w:type="dxa"/>
            <w:tcBorders>
              <w:top w:val="nil"/>
              <w:left w:val="nil"/>
              <w:bottom w:val="single" w:color="auto" w:sz="4" w:space="0"/>
              <w:right w:val="single" w:color="auto" w:sz="4" w:space="0"/>
            </w:tcBorders>
            <w:tcMar>
              <w:left w:w="15" w:type="dxa"/>
              <w:right w:w="15" w:type="dxa"/>
            </w:tcMar>
            <w:vAlign w:val="center"/>
          </w:tcPr>
          <w:p>
            <w:pPr>
              <w:wordWrap w:val="0"/>
              <w:jc w:val="right"/>
              <w:rPr>
                <w:rFonts w:ascii="宋体" w:hAnsi="Arial" w:eastAsia="Arial"/>
                <w:sz w:val="18"/>
                <w:szCs w:val="18"/>
              </w:rPr>
            </w:pPr>
            <w:r>
              <w:rPr>
                <w:rFonts w:ascii="Calibri" w:hAnsi="宋体"/>
                <w:sz w:val="18"/>
                <w:szCs w:val="18"/>
              </w:rPr>
              <w:t>　</w:t>
            </w:r>
          </w:p>
        </w:tc>
      </w:tr>
      <w:tr>
        <w:tblPrEx>
          <w:tblCellMar>
            <w:top w:w="0" w:type="dxa"/>
            <w:left w:w="0" w:type="dxa"/>
            <w:bottom w:w="0" w:type="dxa"/>
            <w:right w:w="0" w:type="dxa"/>
          </w:tblCellMar>
        </w:tblPrEx>
        <w:trPr>
          <w:trHeight w:val="342" w:hRule="atLeast"/>
        </w:trPr>
        <w:tc>
          <w:tcPr>
            <w:tcW w:w="567" w:type="dxa"/>
            <w:tcBorders>
              <w:top w:val="nil"/>
              <w:left w:val="single" w:color="auto" w:sz="4" w:space="0"/>
              <w:bottom w:val="single" w:color="auto" w:sz="4" w:space="0"/>
              <w:right w:val="single" w:color="auto" w:sz="4" w:space="0"/>
            </w:tcBorders>
            <w:tcMar>
              <w:left w:w="15" w:type="dxa"/>
              <w:right w:w="15" w:type="dxa"/>
            </w:tcMar>
            <w:vAlign w:val="center"/>
          </w:tcPr>
          <w:p>
            <w:pPr>
              <w:wordWrap w:val="0"/>
              <w:jc w:val="center"/>
              <w:rPr>
                <w:rFonts w:ascii="宋体" w:hAnsi="Arial" w:eastAsia="Arial"/>
                <w:sz w:val="18"/>
                <w:szCs w:val="18"/>
              </w:rPr>
            </w:pPr>
            <w:r>
              <w:rPr>
                <w:rFonts w:ascii="Calibri" w:hAnsi="Arial" w:eastAsia="Arial"/>
                <w:sz w:val="18"/>
                <w:szCs w:val="18"/>
              </w:rPr>
              <w:t>2</w:t>
            </w:r>
          </w:p>
        </w:tc>
        <w:tc>
          <w:tcPr>
            <w:tcW w:w="5472" w:type="dxa"/>
            <w:tcBorders>
              <w:top w:val="nil"/>
              <w:left w:val="nil"/>
              <w:bottom w:val="single" w:color="auto" w:sz="4" w:space="0"/>
              <w:right w:val="single" w:color="auto" w:sz="4" w:space="0"/>
            </w:tcBorders>
            <w:tcMar>
              <w:left w:w="15" w:type="dxa"/>
              <w:right w:w="15" w:type="dxa"/>
            </w:tcMar>
            <w:vAlign w:val="center"/>
          </w:tcPr>
          <w:p>
            <w:pPr>
              <w:wordWrap w:val="0"/>
              <w:rPr>
                <w:rFonts w:ascii="宋体" w:hAnsi="Arial" w:eastAsia="Arial"/>
                <w:sz w:val="18"/>
                <w:szCs w:val="18"/>
              </w:rPr>
            </w:pPr>
            <w:r>
              <w:rPr>
                <w:rFonts w:ascii="Calibri" w:hAnsi="宋体"/>
                <w:sz w:val="18"/>
                <w:szCs w:val="18"/>
              </w:rPr>
              <w:t>措施项目清单计价合计</w:t>
            </w:r>
          </w:p>
        </w:tc>
        <w:tc>
          <w:tcPr>
            <w:tcW w:w="2257" w:type="dxa"/>
            <w:tcBorders>
              <w:top w:val="nil"/>
              <w:left w:val="nil"/>
              <w:bottom w:val="single" w:color="auto" w:sz="4" w:space="0"/>
              <w:right w:val="single" w:color="auto" w:sz="4" w:space="0"/>
            </w:tcBorders>
            <w:tcMar>
              <w:left w:w="15" w:type="dxa"/>
              <w:right w:w="15" w:type="dxa"/>
            </w:tcMar>
            <w:vAlign w:val="center"/>
          </w:tcPr>
          <w:p>
            <w:pPr>
              <w:wordWrap w:val="0"/>
              <w:jc w:val="center"/>
              <w:rPr>
                <w:rFonts w:ascii="宋体" w:hAnsi="Arial" w:eastAsia="Arial"/>
                <w:sz w:val="18"/>
                <w:szCs w:val="18"/>
              </w:rPr>
            </w:pPr>
            <w:r>
              <w:rPr>
                <w:rFonts w:ascii="Calibri" w:hAnsi="宋体"/>
                <w:color w:val="FF0000"/>
                <w:sz w:val="18"/>
                <w:szCs w:val="18"/>
              </w:rPr>
              <w:t>0</w:t>
            </w:r>
          </w:p>
        </w:tc>
      </w:tr>
      <w:tr>
        <w:tblPrEx>
          <w:tblCellMar>
            <w:top w:w="0" w:type="dxa"/>
            <w:left w:w="0" w:type="dxa"/>
            <w:bottom w:w="0" w:type="dxa"/>
            <w:right w:w="0" w:type="dxa"/>
          </w:tblCellMar>
        </w:tblPrEx>
        <w:trPr>
          <w:trHeight w:val="342" w:hRule="atLeast"/>
        </w:trPr>
        <w:tc>
          <w:tcPr>
            <w:tcW w:w="567" w:type="dxa"/>
            <w:tcBorders>
              <w:top w:val="nil"/>
              <w:left w:val="single" w:color="auto" w:sz="4" w:space="0"/>
              <w:bottom w:val="single" w:color="auto" w:sz="4" w:space="0"/>
              <w:right w:val="single" w:color="auto" w:sz="4" w:space="0"/>
            </w:tcBorders>
            <w:tcMar>
              <w:left w:w="15" w:type="dxa"/>
              <w:right w:w="15" w:type="dxa"/>
            </w:tcMar>
            <w:vAlign w:val="center"/>
          </w:tcPr>
          <w:p>
            <w:pPr>
              <w:wordWrap w:val="0"/>
              <w:jc w:val="center"/>
              <w:rPr>
                <w:rFonts w:ascii="宋体" w:hAnsi="Arial" w:eastAsia="Arial"/>
                <w:sz w:val="18"/>
                <w:szCs w:val="18"/>
              </w:rPr>
            </w:pPr>
            <w:r>
              <w:rPr>
                <w:rFonts w:ascii="Calibri" w:hAnsi="Arial" w:eastAsia="Arial"/>
                <w:sz w:val="18"/>
                <w:szCs w:val="18"/>
              </w:rPr>
              <w:t>3</w:t>
            </w:r>
          </w:p>
        </w:tc>
        <w:tc>
          <w:tcPr>
            <w:tcW w:w="5472" w:type="dxa"/>
            <w:tcBorders>
              <w:top w:val="nil"/>
              <w:left w:val="nil"/>
              <w:bottom w:val="single" w:color="auto" w:sz="4" w:space="0"/>
              <w:right w:val="single" w:color="auto" w:sz="4" w:space="0"/>
            </w:tcBorders>
            <w:tcMar>
              <w:left w:w="15" w:type="dxa"/>
              <w:right w:w="15" w:type="dxa"/>
            </w:tcMar>
            <w:vAlign w:val="center"/>
          </w:tcPr>
          <w:p>
            <w:pPr>
              <w:wordWrap w:val="0"/>
              <w:rPr>
                <w:rFonts w:ascii="宋体" w:hAnsi="Arial" w:eastAsia="Arial"/>
                <w:sz w:val="18"/>
                <w:szCs w:val="18"/>
              </w:rPr>
            </w:pPr>
            <w:r>
              <w:rPr>
                <w:rFonts w:ascii="Calibri" w:hAnsi="宋体"/>
                <w:sz w:val="18"/>
                <w:szCs w:val="18"/>
              </w:rPr>
              <w:t>其它项目清单计价合计</w:t>
            </w:r>
          </w:p>
        </w:tc>
        <w:tc>
          <w:tcPr>
            <w:tcW w:w="2257" w:type="dxa"/>
            <w:tcBorders>
              <w:top w:val="nil"/>
              <w:left w:val="nil"/>
              <w:bottom w:val="single" w:color="auto" w:sz="4" w:space="0"/>
              <w:right w:val="single" w:color="auto" w:sz="4" w:space="0"/>
            </w:tcBorders>
            <w:tcMar>
              <w:left w:w="15" w:type="dxa"/>
              <w:right w:w="15" w:type="dxa"/>
            </w:tcMar>
            <w:vAlign w:val="center"/>
          </w:tcPr>
          <w:p>
            <w:pPr>
              <w:wordWrap w:val="0"/>
              <w:jc w:val="center"/>
              <w:rPr>
                <w:rFonts w:ascii="宋体" w:hAnsi="Arial" w:eastAsia="Arial"/>
                <w:sz w:val="18"/>
                <w:szCs w:val="18"/>
              </w:rPr>
            </w:pPr>
          </w:p>
        </w:tc>
      </w:tr>
      <w:tr>
        <w:tblPrEx>
          <w:tblCellMar>
            <w:top w:w="0" w:type="dxa"/>
            <w:left w:w="0" w:type="dxa"/>
            <w:bottom w:w="0" w:type="dxa"/>
            <w:right w:w="0" w:type="dxa"/>
          </w:tblCellMar>
        </w:tblPrEx>
        <w:trPr>
          <w:trHeight w:val="342" w:hRule="atLeast"/>
        </w:trPr>
        <w:tc>
          <w:tcPr>
            <w:tcW w:w="567" w:type="dxa"/>
            <w:tcBorders>
              <w:top w:val="nil"/>
              <w:left w:val="single" w:color="auto" w:sz="4" w:space="0"/>
              <w:bottom w:val="single" w:color="auto" w:sz="4" w:space="0"/>
              <w:right w:val="single" w:color="auto" w:sz="4" w:space="0"/>
            </w:tcBorders>
            <w:tcMar>
              <w:left w:w="15" w:type="dxa"/>
              <w:right w:w="15" w:type="dxa"/>
            </w:tcMar>
            <w:vAlign w:val="center"/>
          </w:tcPr>
          <w:p>
            <w:pPr>
              <w:wordWrap w:val="0"/>
              <w:jc w:val="center"/>
              <w:rPr>
                <w:rFonts w:ascii="宋体" w:hAnsi="Arial" w:eastAsia="Arial"/>
                <w:sz w:val="18"/>
                <w:szCs w:val="18"/>
              </w:rPr>
            </w:pPr>
            <w:r>
              <w:rPr>
                <w:rFonts w:ascii="Calibri" w:hAnsi="Arial" w:eastAsia="Arial"/>
                <w:sz w:val="18"/>
                <w:szCs w:val="18"/>
              </w:rPr>
              <w:t>4</w:t>
            </w:r>
          </w:p>
        </w:tc>
        <w:tc>
          <w:tcPr>
            <w:tcW w:w="5472" w:type="dxa"/>
            <w:tcBorders>
              <w:top w:val="nil"/>
              <w:left w:val="nil"/>
              <w:bottom w:val="single" w:color="auto" w:sz="4" w:space="0"/>
              <w:right w:val="single" w:color="auto" w:sz="4" w:space="0"/>
            </w:tcBorders>
            <w:tcMar>
              <w:left w:w="15" w:type="dxa"/>
              <w:right w:w="15" w:type="dxa"/>
            </w:tcMar>
            <w:vAlign w:val="center"/>
          </w:tcPr>
          <w:p>
            <w:pPr>
              <w:wordWrap w:val="0"/>
              <w:rPr>
                <w:rFonts w:ascii="宋体" w:hAnsi="Arial" w:eastAsia="Arial"/>
                <w:sz w:val="18"/>
                <w:szCs w:val="18"/>
              </w:rPr>
            </w:pPr>
            <w:r>
              <w:rPr>
                <w:rFonts w:ascii="Calibri" w:hAnsi="宋体"/>
                <w:sz w:val="18"/>
                <w:szCs w:val="18"/>
              </w:rPr>
              <w:t>规费</w:t>
            </w:r>
          </w:p>
        </w:tc>
        <w:tc>
          <w:tcPr>
            <w:tcW w:w="2257" w:type="dxa"/>
            <w:tcBorders>
              <w:top w:val="nil"/>
              <w:left w:val="nil"/>
              <w:bottom w:val="single" w:color="auto" w:sz="4" w:space="0"/>
              <w:right w:val="single" w:color="auto" w:sz="4" w:space="0"/>
            </w:tcBorders>
            <w:tcMar>
              <w:left w:w="15" w:type="dxa"/>
              <w:right w:w="15" w:type="dxa"/>
            </w:tcMar>
            <w:vAlign w:val="center"/>
          </w:tcPr>
          <w:p>
            <w:pPr>
              <w:wordWrap w:val="0"/>
              <w:jc w:val="center"/>
              <w:rPr>
                <w:rFonts w:ascii="宋体" w:hAnsi="Arial" w:eastAsia="Arial"/>
                <w:sz w:val="18"/>
                <w:szCs w:val="18"/>
              </w:rPr>
            </w:pPr>
            <w:r>
              <w:rPr>
                <w:rFonts w:ascii="Calibri" w:hAnsi="宋体"/>
                <w:color w:val="FF0000"/>
                <w:sz w:val="18"/>
                <w:szCs w:val="18"/>
              </w:rPr>
              <w:t>0</w:t>
            </w:r>
          </w:p>
        </w:tc>
      </w:tr>
      <w:tr>
        <w:tblPrEx>
          <w:tblCellMar>
            <w:top w:w="0" w:type="dxa"/>
            <w:left w:w="0" w:type="dxa"/>
            <w:bottom w:w="0" w:type="dxa"/>
            <w:right w:w="0" w:type="dxa"/>
          </w:tblCellMar>
        </w:tblPrEx>
        <w:trPr>
          <w:trHeight w:val="342" w:hRule="atLeast"/>
        </w:trPr>
        <w:tc>
          <w:tcPr>
            <w:tcW w:w="567" w:type="dxa"/>
            <w:tcBorders>
              <w:top w:val="nil"/>
              <w:left w:val="single" w:color="auto" w:sz="4" w:space="0"/>
              <w:bottom w:val="single" w:color="auto" w:sz="4" w:space="0"/>
              <w:right w:val="single" w:color="auto" w:sz="4" w:space="0"/>
            </w:tcBorders>
            <w:tcMar>
              <w:left w:w="15" w:type="dxa"/>
              <w:right w:w="15" w:type="dxa"/>
            </w:tcMar>
            <w:vAlign w:val="center"/>
          </w:tcPr>
          <w:p>
            <w:pPr>
              <w:wordWrap w:val="0"/>
              <w:jc w:val="center"/>
              <w:rPr>
                <w:rFonts w:ascii="宋体" w:hAnsi="Arial" w:eastAsia="Arial"/>
                <w:sz w:val="18"/>
                <w:szCs w:val="18"/>
              </w:rPr>
            </w:pPr>
            <w:r>
              <w:rPr>
                <w:rFonts w:ascii="Calibri" w:hAnsi="Arial" w:eastAsia="Arial"/>
                <w:sz w:val="18"/>
                <w:szCs w:val="18"/>
              </w:rPr>
              <w:t>5</w:t>
            </w:r>
          </w:p>
        </w:tc>
        <w:tc>
          <w:tcPr>
            <w:tcW w:w="5472" w:type="dxa"/>
            <w:tcBorders>
              <w:top w:val="nil"/>
              <w:left w:val="nil"/>
              <w:bottom w:val="single" w:color="auto" w:sz="4" w:space="0"/>
              <w:right w:val="single" w:color="auto" w:sz="4" w:space="0"/>
            </w:tcBorders>
            <w:tcMar>
              <w:left w:w="15" w:type="dxa"/>
              <w:right w:w="15" w:type="dxa"/>
            </w:tcMar>
            <w:vAlign w:val="center"/>
          </w:tcPr>
          <w:p>
            <w:pPr>
              <w:wordWrap w:val="0"/>
              <w:rPr>
                <w:rFonts w:ascii="宋体" w:hAnsi="Arial" w:eastAsia="Arial"/>
                <w:sz w:val="18"/>
                <w:szCs w:val="18"/>
              </w:rPr>
            </w:pPr>
            <w:r>
              <w:rPr>
                <w:rFonts w:ascii="Calibri" w:hAnsi="宋体"/>
                <w:sz w:val="18"/>
                <w:szCs w:val="18"/>
              </w:rPr>
              <w:t>不含税工程造价</w:t>
            </w:r>
            <w:r>
              <w:rPr>
                <w:rFonts w:ascii="Calibri" w:hAnsi="Arial" w:eastAsia="Arial"/>
                <w:sz w:val="18"/>
                <w:szCs w:val="18"/>
              </w:rPr>
              <w:t>[(5)=(1)+(2)+(3)+(4)]</w:t>
            </w:r>
          </w:p>
        </w:tc>
        <w:tc>
          <w:tcPr>
            <w:tcW w:w="2257" w:type="dxa"/>
            <w:tcBorders>
              <w:top w:val="nil"/>
              <w:left w:val="nil"/>
              <w:bottom w:val="single" w:color="auto" w:sz="4" w:space="0"/>
              <w:right w:val="single" w:color="auto" w:sz="4" w:space="0"/>
            </w:tcBorders>
            <w:tcMar>
              <w:left w:w="15" w:type="dxa"/>
              <w:right w:w="15" w:type="dxa"/>
            </w:tcMar>
            <w:vAlign w:val="center"/>
          </w:tcPr>
          <w:p>
            <w:pPr>
              <w:wordWrap w:val="0"/>
              <w:jc w:val="right"/>
              <w:rPr>
                <w:rFonts w:ascii="宋体" w:hAnsi="Arial" w:eastAsia="Arial"/>
                <w:sz w:val="18"/>
                <w:szCs w:val="18"/>
              </w:rPr>
            </w:pPr>
            <w:r>
              <w:rPr>
                <w:rFonts w:ascii="Calibri" w:hAnsi="宋体"/>
                <w:sz w:val="18"/>
                <w:szCs w:val="18"/>
              </w:rPr>
              <w:t>　</w:t>
            </w:r>
          </w:p>
        </w:tc>
      </w:tr>
      <w:tr>
        <w:tblPrEx>
          <w:tblCellMar>
            <w:top w:w="0" w:type="dxa"/>
            <w:left w:w="0" w:type="dxa"/>
            <w:bottom w:w="0" w:type="dxa"/>
            <w:right w:w="0" w:type="dxa"/>
          </w:tblCellMar>
        </w:tblPrEx>
        <w:trPr>
          <w:trHeight w:val="342" w:hRule="atLeast"/>
        </w:trPr>
        <w:tc>
          <w:tcPr>
            <w:tcW w:w="567" w:type="dxa"/>
            <w:tcBorders>
              <w:top w:val="nil"/>
              <w:left w:val="single" w:color="auto" w:sz="4" w:space="0"/>
              <w:bottom w:val="single" w:color="auto" w:sz="4" w:space="0"/>
              <w:right w:val="single" w:color="auto" w:sz="4" w:space="0"/>
            </w:tcBorders>
            <w:tcMar>
              <w:left w:w="15" w:type="dxa"/>
              <w:right w:w="15" w:type="dxa"/>
            </w:tcMar>
            <w:vAlign w:val="center"/>
          </w:tcPr>
          <w:p>
            <w:pPr>
              <w:wordWrap w:val="0"/>
              <w:jc w:val="center"/>
              <w:rPr>
                <w:rFonts w:ascii="宋体" w:hAnsi="Arial" w:eastAsia="Arial"/>
                <w:sz w:val="18"/>
                <w:szCs w:val="18"/>
              </w:rPr>
            </w:pPr>
            <w:r>
              <w:rPr>
                <w:rFonts w:ascii="Calibri" w:hAnsi="Arial" w:eastAsia="Arial"/>
                <w:sz w:val="18"/>
                <w:szCs w:val="18"/>
              </w:rPr>
              <w:t>6</w:t>
            </w:r>
          </w:p>
        </w:tc>
        <w:tc>
          <w:tcPr>
            <w:tcW w:w="5472" w:type="dxa"/>
            <w:tcBorders>
              <w:top w:val="nil"/>
              <w:left w:val="nil"/>
              <w:bottom w:val="single" w:color="auto" w:sz="4" w:space="0"/>
              <w:right w:val="single" w:color="auto" w:sz="4" w:space="0"/>
            </w:tcBorders>
            <w:tcMar>
              <w:left w:w="15" w:type="dxa"/>
              <w:right w:w="15" w:type="dxa"/>
            </w:tcMar>
            <w:vAlign w:val="center"/>
          </w:tcPr>
          <w:p>
            <w:pPr>
              <w:wordWrap w:val="0"/>
              <w:rPr>
                <w:rFonts w:ascii="宋体" w:hAnsi="Arial" w:eastAsia="Arial"/>
                <w:sz w:val="18"/>
                <w:szCs w:val="18"/>
              </w:rPr>
            </w:pPr>
            <w:r>
              <w:rPr>
                <w:rFonts w:ascii="Calibri" w:hAnsi="宋体"/>
                <w:sz w:val="18"/>
                <w:szCs w:val="18"/>
              </w:rPr>
              <w:t>只计税金项目费</w:t>
            </w:r>
          </w:p>
        </w:tc>
        <w:tc>
          <w:tcPr>
            <w:tcW w:w="2257" w:type="dxa"/>
            <w:tcBorders>
              <w:top w:val="nil"/>
              <w:left w:val="nil"/>
              <w:bottom w:val="single" w:color="auto" w:sz="4" w:space="0"/>
              <w:right w:val="single" w:color="auto" w:sz="4" w:space="0"/>
            </w:tcBorders>
            <w:tcMar>
              <w:left w:w="15" w:type="dxa"/>
              <w:right w:w="15" w:type="dxa"/>
            </w:tcMar>
            <w:vAlign w:val="center"/>
          </w:tcPr>
          <w:p>
            <w:pPr>
              <w:wordWrap w:val="0"/>
              <w:jc w:val="right"/>
              <w:rPr>
                <w:rFonts w:ascii="宋体" w:hAnsi="Arial" w:eastAsia="Arial"/>
                <w:sz w:val="18"/>
                <w:szCs w:val="18"/>
              </w:rPr>
            </w:pPr>
            <w:r>
              <w:rPr>
                <w:rFonts w:ascii="Calibri" w:hAnsi="宋体"/>
                <w:sz w:val="18"/>
                <w:szCs w:val="18"/>
              </w:rPr>
              <w:t>　</w:t>
            </w:r>
          </w:p>
        </w:tc>
      </w:tr>
      <w:tr>
        <w:tblPrEx>
          <w:tblCellMar>
            <w:top w:w="0" w:type="dxa"/>
            <w:left w:w="0" w:type="dxa"/>
            <w:bottom w:w="0" w:type="dxa"/>
            <w:right w:w="0" w:type="dxa"/>
          </w:tblCellMar>
        </w:tblPrEx>
        <w:trPr>
          <w:trHeight w:val="342" w:hRule="atLeast"/>
        </w:trPr>
        <w:tc>
          <w:tcPr>
            <w:tcW w:w="567" w:type="dxa"/>
            <w:tcBorders>
              <w:top w:val="nil"/>
              <w:left w:val="single" w:color="auto" w:sz="4" w:space="0"/>
              <w:bottom w:val="single" w:color="auto" w:sz="4" w:space="0"/>
              <w:right w:val="single" w:color="auto" w:sz="4" w:space="0"/>
            </w:tcBorders>
            <w:tcMar>
              <w:left w:w="15" w:type="dxa"/>
              <w:right w:w="15" w:type="dxa"/>
            </w:tcMar>
            <w:vAlign w:val="center"/>
          </w:tcPr>
          <w:p>
            <w:pPr>
              <w:wordWrap w:val="0"/>
              <w:jc w:val="center"/>
              <w:rPr>
                <w:rFonts w:ascii="宋体" w:hAnsi="Arial" w:eastAsia="Arial"/>
                <w:sz w:val="18"/>
                <w:szCs w:val="18"/>
              </w:rPr>
            </w:pPr>
            <w:r>
              <w:rPr>
                <w:rFonts w:ascii="Calibri" w:hAnsi="Arial" w:eastAsia="Arial"/>
                <w:sz w:val="18"/>
                <w:szCs w:val="18"/>
              </w:rPr>
              <w:t>7</w:t>
            </w:r>
          </w:p>
        </w:tc>
        <w:tc>
          <w:tcPr>
            <w:tcW w:w="5472" w:type="dxa"/>
            <w:tcBorders>
              <w:top w:val="nil"/>
              <w:left w:val="nil"/>
              <w:bottom w:val="single" w:color="auto" w:sz="4" w:space="0"/>
              <w:right w:val="single" w:color="auto" w:sz="4" w:space="0"/>
            </w:tcBorders>
            <w:tcMar>
              <w:left w:w="15" w:type="dxa"/>
              <w:right w:w="15" w:type="dxa"/>
            </w:tcMar>
            <w:vAlign w:val="center"/>
          </w:tcPr>
          <w:p>
            <w:pPr>
              <w:wordWrap w:val="0"/>
              <w:rPr>
                <w:rFonts w:ascii="宋体" w:hAnsi="Arial" w:eastAsia="Arial"/>
                <w:sz w:val="18"/>
                <w:szCs w:val="18"/>
              </w:rPr>
            </w:pPr>
            <w:r>
              <w:rPr>
                <w:rFonts w:ascii="Calibri" w:hAnsi="宋体"/>
                <w:sz w:val="18"/>
                <w:szCs w:val="18"/>
              </w:rPr>
              <w:t>税金</w:t>
            </w:r>
            <w:r>
              <w:rPr>
                <w:rFonts w:ascii="Calibri" w:hAnsi="Arial" w:eastAsia="Arial"/>
                <w:sz w:val="18"/>
                <w:szCs w:val="18"/>
              </w:rPr>
              <w:t>[(7)=(7.1)+(7.2)]</w:t>
            </w:r>
          </w:p>
        </w:tc>
        <w:tc>
          <w:tcPr>
            <w:tcW w:w="2257" w:type="dxa"/>
            <w:tcBorders>
              <w:top w:val="nil"/>
              <w:left w:val="nil"/>
              <w:bottom w:val="single" w:color="auto" w:sz="4" w:space="0"/>
              <w:right w:val="single" w:color="auto" w:sz="4" w:space="0"/>
            </w:tcBorders>
            <w:tcMar>
              <w:left w:w="15" w:type="dxa"/>
              <w:right w:w="15" w:type="dxa"/>
            </w:tcMar>
            <w:vAlign w:val="center"/>
          </w:tcPr>
          <w:p>
            <w:pPr>
              <w:wordWrap w:val="0"/>
              <w:jc w:val="right"/>
              <w:rPr>
                <w:rFonts w:ascii="宋体" w:hAnsi="Arial" w:eastAsia="Arial"/>
                <w:sz w:val="18"/>
                <w:szCs w:val="18"/>
              </w:rPr>
            </w:pPr>
            <w:r>
              <w:rPr>
                <w:rFonts w:ascii="Calibri" w:hAnsi="宋体"/>
                <w:sz w:val="18"/>
                <w:szCs w:val="18"/>
              </w:rPr>
              <w:t>　</w:t>
            </w:r>
          </w:p>
        </w:tc>
      </w:tr>
      <w:tr>
        <w:tblPrEx>
          <w:tblCellMar>
            <w:top w:w="0" w:type="dxa"/>
            <w:left w:w="0" w:type="dxa"/>
            <w:bottom w:w="0" w:type="dxa"/>
            <w:right w:w="0" w:type="dxa"/>
          </w:tblCellMar>
        </w:tblPrEx>
        <w:trPr>
          <w:trHeight w:val="342" w:hRule="atLeast"/>
        </w:trPr>
        <w:tc>
          <w:tcPr>
            <w:tcW w:w="567" w:type="dxa"/>
            <w:tcBorders>
              <w:top w:val="nil"/>
              <w:left w:val="single" w:color="auto" w:sz="4" w:space="0"/>
              <w:bottom w:val="single" w:color="auto" w:sz="4" w:space="0"/>
              <w:right w:val="single" w:color="auto" w:sz="4" w:space="0"/>
            </w:tcBorders>
            <w:tcMar>
              <w:left w:w="15" w:type="dxa"/>
              <w:right w:w="15" w:type="dxa"/>
            </w:tcMar>
            <w:vAlign w:val="center"/>
          </w:tcPr>
          <w:p>
            <w:pPr>
              <w:wordWrap w:val="0"/>
              <w:jc w:val="center"/>
              <w:rPr>
                <w:rFonts w:ascii="Calibri" w:hAnsi="Arial" w:eastAsiaTheme="minorEastAsia"/>
                <w:sz w:val="18"/>
                <w:szCs w:val="18"/>
              </w:rPr>
            </w:pPr>
            <w:r>
              <w:rPr>
                <w:rFonts w:hint="eastAsia" w:ascii="Calibri" w:hAnsi="Arial" w:eastAsiaTheme="minorEastAsia"/>
                <w:sz w:val="18"/>
                <w:szCs w:val="18"/>
              </w:rPr>
              <w:t>7.1</w:t>
            </w:r>
          </w:p>
        </w:tc>
        <w:tc>
          <w:tcPr>
            <w:tcW w:w="5472" w:type="dxa"/>
            <w:tcBorders>
              <w:top w:val="nil"/>
              <w:left w:val="nil"/>
              <w:bottom w:val="single" w:color="auto" w:sz="4" w:space="0"/>
              <w:right w:val="single" w:color="auto" w:sz="4" w:space="0"/>
            </w:tcBorders>
            <w:tcMar>
              <w:left w:w="15" w:type="dxa"/>
              <w:right w:w="15" w:type="dxa"/>
            </w:tcMar>
            <w:vAlign w:val="center"/>
          </w:tcPr>
          <w:p>
            <w:pPr>
              <w:wordWrap w:val="0"/>
              <w:rPr>
                <w:rFonts w:ascii="Calibri" w:hAnsi="宋体"/>
                <w:sz w:val="18"/>
                <w:szCs w:val="18"/>
              </w:rPr>
            </w:pPr>
            <w:r>
              <w:rPr>
                <w:rFonts w:hint="eastAsia" w:ascii="Calibri" w:hAnsi="宋体"/>
                <w:sz w:val="18"/>
                <w:szCs w:val="18"/>
              </w:rPr>
              <w:t>增值税</w:t>
            </w:r>
            <w:r>
              <w:rPr>
                <w:rFonts w:ascii="Calibri" w:hAnsi="宋体"/>
                <w:sz w:val="18"/>
                <w:szCs w:val="18"/>
              </w:rPr>
              <w:t>应纳税</w:t>
            </w:r>
            <w:r>
              <w:rPr>
                <w:rFonts w:hint="eastAsia" w:ascii="Calibri" w:hAnsi="宋体"/>
                <w:sz w:val="18"/>
                <w:szCs w:val="18"/>
              </w:rPr>
              <w:t>额 [(7</w:t>
            </w:r>
            <w:r>
              <w:rPr>
                <w:rFonts w:ascii="Calibri" w:hAnsi="宋体"/>
                <w:sz w:val="18"/>
                <w:szCs w:val="18"/>
              </w:rPr>
              <w:t>.1</w:t>
            </w:r>
            <w:r>
              <w:rPr>
                <w:rFonts w:hint="eastAsia" w:ascii="Calibri" w:hAnsi="宋体"/>
                <w:sz w:val="18"/>
                <w:szCs w:val="18"/>
              </w:rPr>
              <w:t>)=(5+6)×税金的费率(%)]</w:t>
            </w:r>
          </w:p>
        </w:tc>
        <w:tc>
          <w:tcPr>
            <w:tcW w:w="2257" w:type="dxa"/>
            <w:tcBorders>
              <w:top w:val="nil"/>
              <w:left w:val="nil"/>
              <w:bottom w:val="single" w:color="auto" w:sz="4" w:space="0"/>
              <w:right w:val="single" w:color="auto" w:sz="4" w:space="0"/>
            </w:tcBorders>
            <w:tcMar>
              <w:left w:w="15" w:type="dxa"/>
              <w:right w:w="15" w:type="dxa"/>
            </w:tcMar>
            <w:vAlign w:val="center"/>
          </w:tcPr>
          <w:p>
            <w:pPr>
              <w:wordWrap w:val="0"/>
              <w:jc w:val="right"/>
              <w:rPr>
                <w:rFonts w:ascii="Calibri" w:hAnsi="宋体"/>
                <w:sz w:val="18"/>
                <w:szCs w:val="18"/>
              </w:rPr>
            </w:pPr>
          </w:p>
        </w:tc>
      </w:tr>
      <w:tr>
        <w:tblPrEx>
          <w:tblCellMar>
            <w:top w:w="0" w:type="dxa"/>
            <w:left w:w="0" w:type="dxa"/>
            <w:bottom w:w="0" w:type="dxa"/>
            <w:right w:w="0" w:type="dxa"/>
          </w:tblCellMar>
        </w:tblPrEx>
        <w:trPr>
          <w:trHeight w:val="342" w:hRule="atLeast"/>
        </w:trPr>
        <w:tc>
          <w:tcPr>
            <w:tcW w:w="567" w:type="dxa"/>
            <w:tcBorders>
              <w:top w:val="nil"/>
              <w:left w:val="single" w:color="auto" w:sz="4" w:space="0"/>
              <w:bottom w:val="single" w:color="auto" w:sz="4" w:space="0"/>
              <w:right w:val="single" w:color="auto" w:sz="4" w:space="0"/>
            </w:tcBorders>
            <w:tcMar>
              <w:left w:w="15" w:type="dxa"/>
              <w:right w:w="15" w:type="dxa"/>
            </w:tcMar>
            <w:vAlign w:val="center"/>
          </w:tcPr>
          <w:p>
            <w:pPr>
              <w:wordWrap w:val="0"/>
              <w:jc w:val="center"/>
              <w:rPr>
                <w:rFonts w:ascii="Calibri" w:hAnsi="Arial" w:eastAsiaTheme="minorEastAsia"/>
                <w:sz w:val="18"/>
                <w:szCs w:val="18"/>
              </w:rPr>
            </w:pPr>
            <w:r>
              <w:rPr>
                <w:rFonts w:hint="eastAsia" w:ascii="Calibri" w:hAnsi="Arial" w:eastAsiaTheme="minorEastAsia"/>
                <w:sz w:val="18"/>
                <w:szCs w:val="18"/>
              </w:rPr>
              <w:t>7.2</w:t>
            </w:r>
          </w:p>
        </w:tc>
        <w:tc>
          <w:tcPr>
            <w:tcW w:w="5472" w:type="dxa"/>
            <w:tcBorders>
              <w:top w:val="nil"/>
              <w:left w:val="nil"/>
              <w:bottom w:val="single" w:color="auto" w:sz="4" w:space="0"/>
              <w:right w:val="single" w:color="auto" w:sz="4" w:space="0"/>
            </w:tcBorders>
            <w:tcMar>
              <w:left w:w="15" w:type="dxa"/>
              <w:right w:w="15" w:type="dxa"/>
            </w:tcMar>
            <w:vAlign w:val="center"/>
          </w:tcPr>
          <w:p>
            <w:pPr>
              <w:wordWrap w:val="0"/>
              <w:rPr>
                <w:rFonts w:ascii="Calibri" w:hAnsi="宋体"/>
                <w:sz w:val="18"/>
                <w:szCs w:val="18"/>
              </w:rPr>
            </w:pPr>
            <w:r>
              <w:rPr>
                <w:rFonts w:hint="eastAsia" w:ascii="Calibri" w:hAnsi="宋体"/>
                <w:sz w:val="18"/>
                <w:szCs w:val="18"/>
              </w:rPr>
              <w:t>城市</w:t>
            </w:r>
            <w:r>
              <w:rPr>
                <w:rFonts w:ascii="Calibri" w:hAnsi="宋体"/>
                <w:sz w:val="18"/>
                <w:szCs w:val="18"/>
              </w:rPr>
              <w:t>维护建设税、教育费附加及地方教育费附加</w:t>
            </w:r>
            <w:r>
              <w:rPr>
                <w:rFonts w:hint="eastAsia" w:ascii="Calibri" w:hAnsi="宋体"/>
                <w:sz w:val="18"/>
                <w:szCs w:val="18"/>
              </w:rPr>
              <w:t xml:space="preserve"> (7</w:t>
            </w:r>
            <w:r>
              <w:rPr>
                <w:rFonts w:ascii="Calibri" w:hAnsi="宋体"/>
                <w:sz w:val="18"/>
                <w:szCs w:val="18"/>
              </w:rPr>
              <w:t>.2</w:t>
            </w:r>
            <w:r>
              <w:rPr>
                <w:rFonts w:hint="eastAsia" w:ascii="Calibri" w:hAnsi="宋体"/>
                <w:sz w:val="18"/>
                <w:szCs w:val="18"/>
              </w:rPr>
              <w:t>)= (7</w:t>
            </w:r>
            <w:r>
              <w:rPr>
                <w:rFonts w:ascii="Calibri" w:hAnsi="宋体"/>
                <w:sz w:val="18"/>
                <w:szCs w:val="18"/>
              </w:rPr>
              <w:t>.1</w:t>
            </w:r>
            <w:r>
              <w:rPr>
                <w:rFonts w:hint="eastAsia" w:ascii="Calibri" w:hAnsi="宋体"/>
                <w:sz w:val="18"/>
                <w:szCs w:val="18"/>
              </w:rPr>
              <w:t>)×税金的费率(%)]</w:t>
            </w:r>
          </w:p>
        </w:tc>
        <w:tc>
          <w:tcPr>
            <w:tcW w:w="2257" w:type="dxa"/>
            <w:tcBorders>
              <w:top w:val="nil"/>
              <w:left w:val="nil"/>
              <w:bottom w:val="single" w:color="auto" w:sz="4" w:space="0"/>
              <w:right w:val="single" w:color="auto" w:sz="4" w:space="0"/>
            </w:tcBorders>
            <w:tcMar>
              <w:left w:w="15" w:type="dxa"/>
              <w:right w:w="15" w:type="dxa"/>
            </w:tcMar>
            <w:vAlign w:val="center"/>
          </w:tcPr>
          <w:p>
            <w:pPr>
              <w:wordWrap w:val="0"/>
              <w:jc w:val="right"/>
              <w:rPr>
                <w:rFonts w:ascii="Calibri" w:hAnsi="宋体"/>
                <w:sz w:val="18"/>
                <w:szCs w:val="18"/>
              </w:rPr>
            </w:pPr>
          </w:p>
        </w:tc>
      </w:tr>
      <w:tr>
        <w:tblPrEx>
          <w:tblCellMar>
            <w:top w:w="0" w:type="dxa"/>
            <w:left w:w="0" w:type="dxa"/>
            <w:bottom w:w="0" w:type="dxa"/>
            <w:right w:w="0" w:type="dxa"/>
          </w:tblCellMar>
        </w:tblPrEx>
        <w:trPr>
          <w:trHeight w:val="342" w:hRule="atLeast"/>
        </w:trPr>
        <w:tc>
          <w:tcPr>
            <w:tcW w:w="567" w:type="dxa"/>
            <w:tcBorders>
              <w:top w:val="nil"/>
              <w:left w:val="single" w:color="auto" w:sz="4" w:space="0"/>
              <w:bottom w:val="single" w:color="auto" w:sz="4" w:space="0"/>
              <w:right w:val="single" w:color="auto" w:sz="4" w:space="0"/>
            </w:tcBorders>
            <w:tcMar>
              <w:left w:w="15" w:type="dxa"/>
              <w:right w:w="15" w:type="dxa"/>
            </w:tcMar>
            <w:vAlign w:val="center"/>
          </w:tcPr>
          <w:p>
            <w:pPr>
              <w:wordWrap w:val="0"/>
              <w:jc w:val="center"/>
              <w:rPr>
                <w:rFonts w:ascii="宋体" w:hAnsi="Arial" w:eastAsia="Arial"/>
                <w:sz w:val="18"/>
                <w:szCs w:val="18"/>
              </w:rPr>
            </w:pPr>
            <w:r>
              <w:rPr>
                <w:rFonts w:ascii="Calibri" w:hAnsi="Arial" w:eastAsia="Arial"/>
                <w:sz w:val="18"/>
                <w:szCs w:val="18"/>
              </w:rPr>
              <w:t>8</w:t>
            </w:r>
          </w:p>
        </w:tc>
        <w:tc>
          <w:tcPr>
            <w:tcW w:w="5472" w:type="dxa"/>
            <w:tcBorders>
              <w:top w:val="nil"/>
              <w:left w:val="nil"/>
              <w:bottom w:val="single" w:color="auto" w:sz="4" w:space="0"/>
              <w:right w:val="single" w:color="auto" w:sz="4" w:space="0"/>
            </w:tcBorders>
            <w:tcMar>
              <w:left w:w="15" w:type="dxa"/>
              <w:right w:w="15" w:type="dxa"/>
            </w:tcMar>
            <w:vAlign w:val="center"/>
          </w:tcPr>
          <w:p>
            <w:pPr>
              <w:wordWrap w:val="0"/>
              <w:rPr>
                <w:rFonts w:ascii="宋体" w:hAnsi="Arial" w:eastAsia="Arial"/>
                <w:sz w:val="18"/>
                <w:szCs w:val="18"/>
              </w:rPr>
            </w:pPr>
            <w:r>
              <w:rPr>
                <w:rFonts w:ascii="Calibri" w:hAnsi="宋体"/>
                <w:sz w:val="18"/>
                <w:szCs w:val="18"/>
              </w:rPr>
              <w:t>不计税金项目费</w:t>
            </w:r>
          </w:p>
        </w:tc>
        <w:tc>
          <w:tcPr>
            <w:tcW w:w="2257" w:type="dxa"/>
            <w:tcBorders>
              <w:top w:val="nil"/>
              <w:left w:val="nil"/>
              <w:bottom w:val="single" w:color="auto" w:sz="4" w:space="0"/>
              <w:right w:val="single" w:color="auto" w:sz="4" w:space="0"/>
            </w:tcBorders>
            <w:tcMar>
              <w:left w:w="15" w:type="dxa"/>
              <w:right w:w="15" w:type="dxa"/>
            </w:tcMar>
            <w:vAlign w:val="center"/>
          </w:tcPr>
          <w:p>
            <w:pPr>
              <w:wordWrap w:val="0"/>
              <w:jc w:val="right"/>
              <w:rPr>
                <w:rFonts w:ascii="宋体" w:hAnsi="Arial" w:eastAsia="Arial"/>
                <w:sz w:val="18"/>
                <w:szCs w:val="18"/>
              </w:rPr>
            </w:pPr>
            <w:r>
              <w:rPr>
                <w:rFonts w:ascii="Calibri" w:hAnsi="宋体"/>
                <w:sz w:val="18"/>
                <w:szCs w:val="18"/>
              </w:rPr>
              <w:t>　</w:t>
            </w:r>
          </w:p>
        </w:tc>
      </w:tr>
      <w:tr>
        <w:tblPrEx>
          <w:tblCellMar>
            <w:top w:w="0" w:type="dxa"/>
            <w:left w:w="0" w:type="dxa"/>
            <w:bottom w:w="0" w:type="dxa"/>
            <w:right w:w="0" w:type="dxa"/>
          </w:tblCellMar>
        </w:tblPrEx>
        <w:trPr>
          <w:trHeight w:val="342" w:hRule="atLeast"/>
        </w:trPr>
        <w:tc>
          <w:tcPr>
            <w:tcW w:w="567" w:type="dxa"/>
            <w:tcBorders>
              <w:top w:val="nil"/>
              <w:left w:val="single" w:color="auto" w:sz="4" w:space="0"/>
              <w:bottom w:val="single" w:color="auto" w:sz="4" w:space="0"/>
              <w:right w:val="single" w:color="auto" w:sz="4" w:space="0"/>
            </w:tcBorders>
            <w:tcMar>
              <w:left w:w="15" w:type="dxa"/>
              <w:right w:w="15" w:type="dxa"/>
            </w:tcMar>
            <w:vAlign w:val="center"/>
          </w:tcPr>
          <w:p>
            <w:pPr>
              <w:wordWrap w:val="0"/>
              <w:jc w:val="center"/>
              <w:rPr>
                <w:rFonts w:ascii="宋体" w:hAnsi="Arial" w:eastAsia="Arial"/>
                <w:sz w:val="18"/>
                <w:szCs w:val="18"/>
              </w:rPr>
            </w:pPr>
            <w:r>
              <w:rPr>
                <w:rFonts w:ascii="Calibri" w:hAnsi="Arial" w:eastAsia="Arial"/>
                <w:sz w:val="18"/>
                <w:szCs w:val="18"/>
              </w:rPr>
              <w:t>9</w:t>
            </w:r>
          </w:p>
        </w:tc>
        <w:tc>
          <w:tcPr>
            <w:tcW w:w="5472" w:type="dxa"/>
            <w:tcBorders>
              <w:top w:val="nil"/>
              <w:left w:val="nil"/>
              <w:bottom w:val="single" w:color="auto" w:sz="4" w:space="0"/>
              <w:right w:val="single" w:color="auto" w:sz="4" w:space="0"/>
            </w:tcBorders>
            <w:tcMar>
              <w:left w:w="15" w:type="dxa"/>
              <w:right w:w="15" w:type="dxa"/>
            </w:tcMar>
            <w:vAlign w:val="center"/>
          </w:tcPr>
          <w:p>
            <w:pPr>
              <w:wordWrap w:val="0"/>
              <w:rPr>
                <w:rFonts w:ascii="宋体" w:hAnsi="Arial" w:eastAsia="Arial"/>
                <w:sz w:val="18"/>
                <w:szCs w:val="18"/>
              </w:rPr>
            </w:pPr>
            <w:r>
              <w:rPr>
                <w:rFonts w:ascii="Calibri" w:hAnsi="宋体"/>
                <w:sz w:val="18"/>
                <w:szCs w:val="18"/>
              </w:rPr>
              <w:t>设备购置费</w:t>
            </w:r>
            <w:r>
              <w:rPr>
                <w:rFonts w:ascii="Calibri" w:hAnsi="Arial" w:eastAsia="Arial"/>
                <w:sz w:val="18"/>
                <w:szCs w:val="18"/>
              </w:rPr>
              <w:t>(</w:t>
            </w:r>
            <w:r>
              <w:rPr>
                <w:rFonts w:hint="eastAsia" w:ascii="微软雅黑" w:hAnsi="微软雅黑" w:eastAsia="微软雅黑" w:cs="微软雅黑"/>
                <w:sz w:val="18"/>
                <w:szCs w:val="18"/>
              </w:rPr>
              <w:t>不计税设备</w:t>
            </w:r>
            <w:r>
              <w:rPr>
                <w:rFonts w:ascii="Calibri" w:hAnsi="Arial" w:eastAsia="Arial"/>
                <w:sz w:val="18"/>
                <w:szCs w:val="18"/>
              </w:rPr>
              <w:t>)</w:t>
            </w:r>
          </w:p>
        </w:tc>
        <w:tc>
          <w:tcPr>
            <w:tcW w:w="2257" w:type="dxa"/>
            <w:tcBorders>
              <w:top w:val="nil"/>
              <w:left w:val="nil"/>
              <w:bottom w:val="single" w:color="auto" w:sz="4" w:space="0"/>
              <w:right w:val="single" w:color="auto" w:sz="4" w:space="0"/>
            </w:tcBorders>
            <w:tcMar>
              <w:left w:w="15" w:type="dxa"/>
              <w:right w:w="15" w:type="dxa"/>
            </w:tcMar>
            <w:vAlign w:val="center"/>
          </w:tcPr>
          <w:p>
            <w:pPr>
              <w:wordWrap w:val="0"/>
              <w:jc w:val="right"/>
              <w:rPr>
                <w:rFonts w:ascii="宋体" w:hAnsi="Arial" w:eastAsia="Arial"/>
                <w:sz w:val="18"/>
                <w:szCs w:val="18"/>
              </w:rPr>
            </w:pPr>
            <w:r>
              <w:rPr>
                <w:rFonts w:ascii="Calibri" w:hAnsi="宋体"/>
                <w:sz w:val="18"/>
                <w:szCs w:val="18"/>
              </w:rPr>
              <w:t>　</w:t>
            </w:r>
          </w:p>
        </w:tc>
      </w:tr>
      <w:tr>
        <w:tblPrEx>
          <w:tblCellMar>
            <w:top w:w="0" w:type="dxa"/>
            <w:left w:w="0" w:type="dxa"/>
            <w:bottom w:w="0" w:type="dxa"/>
            <w:right w:w="0" w:type="dxa"/>
          </w:tblCellMar>
        </w:tblPrEx>
        <w:trPr>
          <w:trHeight w:val="342" w:hRule="atLeast"/>
        </w:trPr>
        <w:tc>
          <w:tcPr>
            <w:tcW w:w="567" w:type="dxa"/>
            <w:tcBorders>
              <w:top w:val="nil"/>
              <w:left w:val="single" w:color="auto" w:sz="4" w:space="0"/>
              <w:bottom w:val="single" w:color="auto" w:sz="4" w:space="0"/>
              <w:right w:val="single" w:color="auto" w:sz="4" w:space="0"/>
            </w:tcBorders>
            <w:tcMar>
              <w:left w:w="15" w:type="dxa"/>
              <w:right w:w="15" w:type="dxa"/>
            </w:tcMar>
            <w:vAlign w:val="center"/>
          </w:tcPr>
          <w:p>
            <w:pPr>
              <w:wordWrap w:val="0"/>
              <w:jc w:val="center"/>
              <w:rPr>
                <w:rFonts w:ascii="宋体" w:hAnsi="Arial" w:eastAsia="Arial"/>
                <w:sz w:val="18"/>
                <w:szCs w:val="18"/>
              </w:rPr>
            </w:pPr>
            <w:r>
              <w:rPr>
                <w:rFonts w:ascii="Calibri" w:hAnsi="Arial" w:eastAsia="Arial"/>
                <w:sz w:val="18"/>
                <w:szCs w:val="18"/>
              </w:rPr>
              <w:t>10</w:t>
            </w:r>
          </w:p>
        </w:tc>
        <w:tc>
          <w:tcPr>
            <w:tcW w:w="5472" w:type="dxa"/>
            <w:tcBorders>
              <w:top w:val="nil"/>
              <w:left w:val="nil"/>
              <w:bottom w:val="single" w:color="auto" w:sz="4" w:space="0"/>
              <w:right w:val="single" w:color="auto" w:sz="4" w:space="0"/>
            </w:tcBorders>
            <w:tcMar>
              <w:left w:w="15" w:type="dxa"/>
              <w:right w:w="15" w:type="dxa"/>
            </w:tcMar>
            <w:vAlign w:val="center"/>
          </w:tcPr>
          <w:p>
            <w:pPr>
              <w:wordWrap w:val="0"/>
              <w:rPr>
                <w:rFonts w:ascii="宋体" w:hAnsi="Arial" w:eastAsia="Arial"/>
                <w:sz w:val="18"/>
                <w:szCs w:val="18"/>
              </w:rPr>
            </w:pPr>
            <w:r>
              <w:rPr>
                <w:rFonts w:ascii="Calibri" w:hAnsi="宋体"/>
                <w:sz w:val="18"/>
                <w:szCs w:val="18"/>
              </w:rPr>
              <w:t>含税工程总造价</w:t>
            </w:r>
            <w:r>
              <w:rPr>
                <w:rFonts w:ascii="Calibri" w:hAnsi="Arial" w:eastAsia="Arial"/>
                <w:sz w:val="18"/>
                <w:szCs w:val="18"/>
              </w:rPr>
              <w:t>[(10)=(5)+(6)+(7)+(8)]</w:t>
            </w:r>
          </w:p>
        </w:tc>
        <w:tc>
          <w:tcPr>
            <w:tcW w:w="2257" w:type="dxa"/>
            <w:tcBorders>
              <w:top w:val="nil"/>
              <w:left w:val="nil"/>
              <w:bottom w:val="single" w:color="auto" w:sz="4" w:space="0"/>
              <w:right w:val="single" w:color="auto" w:sz="4" w:space="0"/>
            </w:tcBorders>
            <w:tcMar>
              <w:left w:w="15" w:type="dxa"/>
              <w:right w:w="15" w:type="dxa"/>
            </w:tcMar>
            <w:vAlign w:val="center"/>
          </w:tcPr>
          <w:p>
            <w:pPr>
              <w:wordWrap w:val="0"/>
              <w:jc w:val="right"/>
              <w:rPr>
                <w:rFonts w:ascii="宋体" w:hAnsi="Arial" w:eastAsia="Arial"/>
                <w:sz w:val="18"/>
                <w:szCs w:val="18"/>
              </w:rPr>
            </w:pPr>
            <w:r>
              <w:rPr>
                <w:rFonts w:ascii="Calibri" w:hAnsi="宋体"/>
                <w:sz w:val="18"/>
                <w:szCs w:val="18"/>
              </w:rPr>
              <w:t>　</w:t>
            </w:r>
          </w:p>
        </w:tc>
      </w:tr>
      <w:tr>
        <w:tblPrEx>
          <w:tblCellMar>
            <w:top w:w="0" w:type="dxa"/>
            <w:left w:w="0" w:type="dxa"/>
            <w:bottom w:w="0" w:type="dxa"/>
            <w:right w:w="0" w:type="dxa"/>
          </w:tblCellMar>
        </w:tblPrEx>
        <w:trPr>
          <w:trHeight w:val="379" w:hRule="atLeast"/>
        </w:trPr>
        <w:tc>
          <w:tcPr>
            <w:tcW w:w="567" w:type="dxa"/>
            <w:tcBorders>
              <w:top w:val="nil"/>
              <w:left w:val="single" w:color="auto" w:sz="4" w:space="0"/>
              <w:bottom w:val="single" w:color="auto" w:sz="4" w:space="0"/>
              <w:right w:val="single" w:color="auto" w:sz="4" w:space="0"/>
            </w:tcBorders>
            <w:tcMar>
              <w:left w:w="15" w:type="dxa"/>
              <w:right w:w="15" w:type="dxa"/>
            </w:tcMar>
            <w:vAlign w:val="bottom"/>
          </w:tcPr>
          <w:p>
            <w:pPr>
              <w:wordWrap w:val="0"/>
              <w:rPr>
                <w:rFonts w:ascii="宋体" w:hAnsi="Arial" w:eastAsia="Arial"/>
                <w:sz w:val="20"/>
                <w:szCs w:val="20"/>
              </w:rPr>
            </w:pPr>
            <w:r>
              <w:rPr>
                <w:rFonts w:ascii="Calibri" w:hAnsi="宋体"/>
                <w:sz w:val="20"/>
                <w:szCs w:val="20"/>
              </w:rPr>
              <w:t>　</w:t>
            </w:r>
          </w:p>
        </w:tc>
        <w:tc>
          <w:tcPr>
            <w:tcW w:w="5472" w:type="dxa"/>
            <w:tcBorders>
              <w:top w:val="nil"/>
              <w:left w:val="nil"/>
              <w:bottom w:val="single" w:color="auto" w:sz="4" w:space="0"/>
              <w:right w:val="single" w:color="auto" w:sz="4" w:space="0"/>
            </w:tcBorders>
            <w:tcMar>
              <w:left w:w="15" w:type="dxa"/>
              <w:right w:w="15" w:type="dxa"/>
            </w:tcMar>
            <w:vAlign w:val="bottom"/>
          </w:tcPr>
          <w:p>
            <w:pPr>
              <w:wordWrap w:val="0"/>
              <w:rPr>
                <w:rFonts w:ascii="宋体" w:hAnsi="Arial" w:eastAsia="Arial"/>
                <w:sz w:val="20"/>
                <w:szCs w:val="20"/>
              </w:rPr>
            </w:pPr>
            <w:r>
              <w:rPr>
                <w:rFonts w:ascii="Calibri" w:hAnsi="宋体"/>
                <w:sz w:val="20"/>
                <w:szCs w:val="20"/>
              </w:rPr>
              <w:t>　</w:t>
            </w:r>
          </w:p>
        </w:tc>
        <w:tc>
          <w:tcPr>
            <w:tcW w:w="2257" w:type="dxa"/>
            <w:tcBorders>
              <w:top w:val="nil"/>
              <w:left w:val="nil"/>
              <w:bottom w:val="single" w:color="auto" w:sz="4" w:space="0"/>
              <w:right w:val="single" w:color="auto" w:sz="4" w:space="0"/>
            </w:tcBorders>
            <w:tcMar>
              <w:left w:w="15" w:type="dxa"/>
              <w:right w:w="15" w:type="dxa"/>
            </w:tcMar>
            <w:vAlign w:val="bottom"/>
          </w:tcPr>
          <w:p>
            <w:pPr>
              <w:wordWrap w:val="0"/>
              <w:rPr>
                <w:rFonts w:ascii="宋体" w:hAnsi="Arial" w:eastAsia="Arial"/>
                <w:sz w:val="20"/>
                <w:szCs w:val="20"/>
              </w:rPr>
            </w:pPr>
            <w:r>
              <w:rPr>
                <w:rFonts w:ascii="Calibri" w:hAnsi="宋体"/>
                <w:sz w:val="20"/>
                <w:szCs w:val="20"/>
              </w:rPr>
              <w:t>　</w:t>
            </w:r>
          </w:p>
        </w:tc>
      </w:tr>
      <w:tr>
        <w:tblPrEx>
          <w:tblCellMar>
            <w:top w:w="0" w:type="dxa"/>
            <w:left w:w="0" w:type="dxa"/>
            <w:bottom w:w="0" w:type="dxa"/>
            <w:right w:w="0" w:type="dxa"/>
          </w:tblCellMar>
        </w:tblPrEx>
        <w:trPr>
          <w:trHeight w:val="379" w:hRule="atLeast"/>
        </w:trPr>
        <w:tc>
          <w:tcPr>
            <w:tcW w:w="567" w:type="dxa"/>
            <w:tcBorders>
              <w:top w:val="nil"/>
              <w:left w:val="single" w:color="auto" w:sz="4" w:space="0"/>
              <w:bottom w:val="single" w:color="auto" w:sz="4" w:space="0"/>
              <w:right w:val="single" w:color="auto" w:sz="4" w:space="0"/>
            </w:tcBorders>
            <w:tcMar>
              <w:left w:w="15" w:type="dxa"/>
              <w:right w:w="15" w:type="dxa"/>
            </w:tcMar>
            <w:vAlign w:val="bottom"/>
          </w:tcPr>
          <w:p>
            <w:pPr>
              <w:wordWrap w:val="0"/>
              <w:rPr>
                <w:rFonts w:ascii="宋体" w:hAnsi="Arial" w:eastAsia="Arial"/>
                <w:sz w:val="20"/>
                <w:szCs w:val="20"/>
              </w:rPr>
            </w:pPr>
            <w:r>
              <w:rPr>
                <w:rFonts w:ascii="Calibri" w:hAnsi="宋体"/>
                <w:sz w:val="20"/>
                <w:szCs w:val="20"/>
              </w:rPr>
              <w:t>　</w:t>
            </w:r>
          </w:p>
        </w:tc>
        <w:tc>
          <w:tcPr>
            <w:tcW w:w="5472" w:type="dxa"/>
            <w:tcBorders>
              <w:top w:val="nil"/>
              <w:left w:val="nil"/>
              <w:bottom w:val="single" w:color="auto" w:sz="4" w:space="0"/>
              <w:right w:val="single" w:color="auto" w:sz="4" w:space="0"/>
            </w:tcBorders>
            <w:tcMar>
              <w:left w:w="15" w:type="dxa"/>
              <w:right w:w="15" w:type="dxa"/>
            </w:tcMar>
            <w:vAlign w:val="bottom"/>
          </w:tcPr>
          <w:p>
            <w:pPr>
              <w:wordWrap w:val="0"/>
              <w:rPr>
                <w:rFonts w:ascii="宋体" w:hAnsi="Arial" w:eastAsia="Arial"/>
                <w:sz w:val="20"/>
                <w:szCs w:val="20"/>
              </w:rPr>
            </w:pPr>
            <w:r>
              <w:rPr>
                <w:rFonts w:ascii="Calibri" w:hAnsi="宋体"/>
                <w:sz w:val="20"/>
                <w:szCs w:val="20"/>
              </w:rPr>
              <w:t>　</w:t>
            </w:r>
          </w:p>
        </w:tc>
        <w:tc>
          <w:tcPr>
            <w:tcW w:w="2257" w:type="dxa"/>
            <w:tcBorders>
              <w:top w:val="nil"/>
              <w:left w:val="nil"/>
              <w:bottom w:val="single" w:color="auto" w:sz="4" w:space="0"/>
              <w:right w:val="single" w:color="auto" w:sz="4" w:space="0"/>
            </w:tcBorders>
            <w:tcMar>
              <w:left w:w="15" w:type="dxa"/>
              <w:right w:w="15" w:type="dxa"/>
            </w:tcMar>
            <w:vAlign w:val="bottom"/>
          </w:tcPr>
          <w:p>
            <w:pPr>
              <w:wordWrap w:val="0"/>
              <w:rPr>
                <w:rFonts w:ascii="宋体" w:hAnsi="Arial" w:eastAsia="Arial"/>
                <w:sz w:val="20"/>
                <w:szCs w:val="20"/>
              </w:rPr>
            </w:pPr>
            <w:r>
              <w:rPr>
                <w:rFonts w:ascii="Calibri" w:hAnsi="宋体"/>
                <w:sz w:val="20"/>
                <w:szCs w:val="20"/>
              </w:rPr>
              <w:t>　</w:t>
            </w:r>
          </w:p>
        </w:tc>
      </w:tr>
      <w:tr>
        <w:tblPrEx>
          <w:tblCellMar>
            <w:top w:w="0" w:type="dxa"/>
            <w:left w:w="0" w:type="dxa"/>
            <w:bottom w:w="0" w:type="dxa"/>
            <w:right w:w="0" w:type="dxa"/>
          </w:tblCellMar>
        </w:tblPrEx>
        <w:trPr>
          <w:trHeight w:val="379" w:hRule="atLeast"/>
        </w:trPr>
        <w:tc>
          <w:tcPr>
            <w:tcW w:w="567" w:type="dxa"/>
            <w:tcBorders>
              <w:top w:val="nil"/>
              <w:left w:val="single" w:color="auto" w:sz="4" w:space="0"/>
              <w:bottom w:val="single" w:color="auto" w:sz="4" w:space="0"/>
              <w:right w:val="single" w:color="auto" w:sz="4" w:space="0"/>
            </w:tcBorders>
            <w:tcMar>
              <w:left w:w="15" w:type="dxa"/>
              <w:right w:w="15" w:type="dxa"/>
            </w:tcMar>
            <w:vAlign w:val="bottom"/>
          </w:tcPr>
          <w:p>
            <w:pPr>
              <w:wordWrap w:val="0"/>
              <w:rPr>
                <w:rFonts w:ascii="宋体" w:hAnsi="Arial" w:eastAsia="Arial"/>
                <w:sz w:val="20"/>
                <w:szCs w:val="20"/>
              </w:rPr>
            </w:pPr>
            <w:r>
              <w:rPr>
                <w:rFonts w:ascii="Calibri" w:hAnsi="宋体"/>
                <w:sz w:val="20"/>
                <w:szCs w:val="20"/>
              </w:rPr>
              <w:t>　</w:t>
            </w:r>
          </w:p>
        </w:tc>
        <w:tc>
          <w:tcPr>
            <w:tcW w:w="5472" w:type="dxa"/>
            <w:tcBorders>
              <w:top w:val="nil"/>
              <w:left w:val="nil"/>
              <w:bottom w:val="single" w:color="auto" w:sz="4" w:space="0"/>
              <w:right w:val="single" w:color="auto" w:sz="4" w:space="0"/>
            </w:tcBorders>
            <w:tcMar>
              <w:left w:w="15" w:type="dxa"/>
              <w:right w:w="15" w:type="dxa"/>
            </w:tcMar>
            <w:vAlign w:val="bottom"/>
          </w:tcPr>
          <w:p>
            <w:pPr>
              <w:wordWrap w:val="0"/>
              <w:rPr>
                <w:rFonts w:ascii="宋体" w:hAnsi="Arial" w:eastAsia="Arial"/>
                <w:sz w:val="20"/>
                <w:szCs w:val="20"/>
              </w:rPr>
            </w:pPr>
            <w:r>
              <w:rPr>
                <w:rFonts w:ascii="Calibri" w:hAnsi="宋体"/>
                <w:sz w:val="20"/>
                <w:szCs w:val="20"/>
              </w:rPr>
              <w:t>　</w:t>
            </w:r>
          </w:p>
        </w:tc>
        <w:tc>
          <w:tcPr>
            <w:tcW w:w="2257" w:type="dxa"/>
            <w:tcBorders>
              <w:top w:val="nil"/>
              <w:left w:val="nil"/>
              <w:bottom w:val="single" w:color="auto" w:sz="4" w:space="0"/>
              <w:right w:val="single" w:color="auto" w:sz="4" w:space="0"/>
            </w:tcBorders>
            <w:tcMar>
              <w:left w:w="15" w:type="dxa"/>
              <w:right w:w="15" w:type="dxa"/>
            </w:tcMar>
            <w:vAlign w:val="bottom"/>
          </w:tcPr>
          <w:p>
            <w:pPr>
              <w:wordWrap w:val="0"/>
              <w:rPr>
                <w:rFonts w:ascii="宋体" w:hAnsi="Arial" w:eastAsia="Arial"/>
                <w:sz w:val="20"/>
                <w:szCs w:val="20"/>
              </w:rPr>
            </w:pPr>
            <w:r>
              <w:rPr>
                <w:rFonts w:ascii="Calibri" w:hAnsi="宋体"/>
                <w:sz w:val="20"/>
                <w:szCs w:val="20"/>
              </w:rPr>
              <w:t>　</w:t>
            </w:r>
          </w:p>
        </w:tc>
      </w:tr>
      <w:tr>
        <w:tblPrEx>
          <w:tblCellMar>
            <w:top w:w="0" w:type="dxa"/>
            <w:left w:w="0" w:type="dxa"/>
            <w:bottom w:w="0" w:type="dxa"/>
            <w:right w:w="0" w:type="dxa"/>
          </w:tblCellMar>
        </w:tblPrEx>
        <w:trPr>
          <w:trHeight w:val="379" w:hRule="atLeast"/>
        </w:trPr>
        <w:tc>
          <w:tcPr>
            <w:tcW w:w="567" w:type="dxa"/>
            <w:tcBorders>
              <w:top w:val="nil"/>
              <w:left w:val="single" w:color="auto" w:sz="4" w:space="0"/>
              <w:bottom w:val="single" w:color="auto" w:sz="4" w:space="0"/>
              <w:right w:val="single" w:color="auto" w:sz="4" w:space="0"/>
            </w:tcBorders>
            <w:tcMar>
              <w:left w:w="15" w:type="dxa"/>
              <w:right w:w="15" w:type="dxa"/>
            </w:tcMar>
            <w:vAlign w:val="bottom"/>
          </w:tcPr>
          <w:p>
            <w:pPr>
              <w:wordWrap w:val="0"/>
              <w:rPr>
                <w:rFonts w:ascii="宋体" w:hAnsi="Arial" w:eastAsia="Arial"/>
                <w:sz w:val="20"/>
                <w:szCs w:val="20"/>
              </w:rPr>
            </w:pPr>
            <w:r>
              <w:rPr>
                <w:rFonts w:ascii="Calibri" w:hAnsi="宋体"/>
                <w:sz w:val="20"/>
                <w:szCs w:val="20"/>
              </w:rPr>
              <w:t>　</w:t>
            </w:r>
          </w:p>
        </w:tc>
        <w:tc>
          <w:tcPr>
            <w:tcW w:w="5472" w:type="dxa"/>
            <w:tcBorders>
              <w:top w:val="nil"/>
              <w:left w:val="nil"/>
              <w:bottom w:val="single" w:color="auto" w:sz="4" w:space="0"/>
              <w:right w:val="single" w:color="auto" w:sz="4" w:space="0"/>
            </w:tcBorders>
            <w:tcMar>
              <w:left w:w="15" w:type="dxa"/>
              <w:right w:w="15" w:type="dxa"/>
            </w:tcMar>
            <w:vAlign w:val="bottom"/>
          </w:tcPr>
          <w:p>
            <w:pPr>
              <w:wordWrap w:val="0"/>
              <w:rPr>
                <w:rFonts w:ascii="宋体" w:hAnsi="Arial" w:eastAsia="Arial"/>
                <w:sz w:val="20"/>
                <w:szCs w:val="20"/>
              </w:rPr>
            </w:pPr>
            <w:r>
              <w:rPr>
                <w:rFonts w:ascii="Calibri" w:hAnsi="宋体"/>
                <w:sz w:val="20"/>
                <w:szCs w:val="20"/>
              </w:rPr>
              <w:t>　</w:t>
            </w:r>
          </w:p>
        </w:tc>
        <w:tc>
          <w:tcPr>
            <w:tcW w:w="2257" w:type="dxa"/>
            <w:tcBorders>
              <w:top w:val="nil"/>
              <w:left w:val="nil"/>
              <w:bottom w:val="single" w:color="auto" w:sz="4" w:space="0"/>
              <w:right w:val="single" w:color="auto" w:sz="4" w:space="0"/>
            </w:tcBorders>
            <w:tcMar>
              <w:left w:w="15" w:type="dxa"/>
              <w:right w:w="15" w:type="dxa"/>
            </w:tcMar>
            <w:vAlign w:val="bottom"/>
          </w:tcPr>
          <w:p>
            <w:pPr>
              <w:wordWrap w:val="0"/>
              <w:rPr>
                <w:rFonts w:ascii="宋体" w:hAnsi="Arial" w:eastAsia="Arial"/>
                <w:sz w:val="20"/>
                <w:szCs w:val="20"/>
              </w:rPr>
            </w:pPr>
            <w:r>
              <w:rPr>
                <w:rFonts w:ascii="Calibri" w:hAnsi="宋体"/>
                <w:sz w:val="20"/>
                <w:szCs w:val="20"/>
              </w:rPr>
              <w:t>　</w:t>
            </w:r>
          </w:p>
        </w:tc>
      </w:tr>
      <w:tr>
        <w:tblPrEx>
          <w:tblCellMar>
            <w:top w:w="0" w:type="dxa"/>
            <w:left w:w="0" w:type="dxa"/>
            <w:bottom w:w="0" w:type="dxa"/>
            <w:right w:w="0" w:type="dxa"/>
          </w:tblCellMar>
        </w:tblPrEx>
        <w:trPr>
          <w:trHeight w:val="379" w:hRule="atLeast"/>
        </w:trPr>
        <w:tc>
          <w:tcPr>
            <w:tcW w:w="567" w:type="dxa"/>
            <w:tcBorders>
              <w:top w:val="nil"/>
              <w:left w:val="single" w:color="auto" w:sz="4" w:space="0"/>
              <w:bottom w:val="single" w:color="auto" w:sz="4" w:space="0"/>
              <w:right w:val="single" w:color="auto" w:sz="4" w:space="0"/>
            </w:tcBorders>
            <w:tcMar>
              <w:left w:w="15" w:type="dxa"/>
              <w:right w:w="15" w:type="dxa"/>
            </w:tcMar>
            <w:vAlign w:val="bottom"/>
          </w:tcPr>
          <w:p>
            <w:pPr>
              <w:wordWrap w:val="0"/>
              <w:rPr>
                <w:rFonts w:ascii="宋体" w:hAnsi="Arial" w:eastAsia="Arial"/>
                <w:sz w:val="20"/>
                <w:szCs w:val="20"/>
              </w:rPr>
            </w:pPr>
            <w:r>
              <w:rPr>
                <w:rFonts w:ascii="Calibri" w:hAnsi="宋体"/>
                <w:sz w:val="20"/>
                <w:szCs w:val="20"/>
              </w:rPr>
              <w:t>　</w:t>
            </w:r>
          </w:p>
        </w:tc>
        <w:tc>
          <w:tcPr>
            <w:tcW w:w="5472" w:type="dxa"/>
            <w:tcBorders>
              <w:top w:val="nil"/>
              <w:left w:val="nil"/>
              <w:bottom w:val="single" w:color="auto" w:sz="4" w:space="0"/>
              <w:right w:val="single" w:color="auto" w:sz="4" w:space="0"/>
            </w:tcBorders>
            <w:tcMar>
              <w:left w:w="15" w:type="dxa"/>
              <w:right w:w="15" w:type="dxa"/>
            </w:tcMar>
            <w:vAlign w:val="bottom"/>
          </w:tcPr>
          <w:p>
            <w:pPr>
              <w:wordWrap w:val="0"/>
              <w:rPr>
                <w:rFonts w:ascii="宋体" w:hAnsi="Arial" w:eastAsia="Arial"/>
                <w:sz w:val="20"/>
                <w:szCs w:val="20"/>
              </w:rPr>
            </w:pPr>
            <w:r>
              <w:rPr>
                <w:rFonts w:ascii="Calibri" w:hAnsi="宋体"/>
                <w:sz w:val="20"/>
                <w:szCs w:val="20"/>
              </w:rPr>
              <w:t>　</w:t>
            </w:r>
          </w:p>
        </w:tc>
        <w:tc>
          <w:tcPr>
            <w:tcW w:w="2257" w:type="dxa"/>
            <w:tcBorders>
              <w:top w:val="nil"/>
              <w:left w:val="nil"/>
              <w:bottom w:val="single" w:color="auto" w:sz="4" w:space="0"/>
              <w:right w:val="single" w:color="auto" w:sz="4" w:space="0"/>
            </w:tcBorders>
            <w:tcMar>
              <w:left w:w="15" w:type="dxa"/>
              <w:right w:w="15" w:type="dxa"/>
            </w:tcMar>
            <w:vAlign w:val="bottom"/>
          </w:tcPr>
          <w:p>
            <w:pPr>
              <w:wordWrap w:val="0"/>
              <w:rPr>
                <w:rFonts w:ascii="宋体" w:hAnsi="Arial" w:eastAsia="Arial"/>
                <w:sz w:val="20"/>
                <w:szCs w:val="20"/>
              </w:rPr>
            </w:pPr>
            <w:r>
              <w:rPr>
                <w:rFonts w:ascii="Calibri" w:hAnsi="宋体"/>
                <w:sz w:val="20"/>
                <w:szCs w:val="20"/>
              </w:rPr>
              <w:t>　</w:t>
            </w:r>
          </w:p>
        </w:tc>
      </w:tr>
      <w:tr>
        <w:tblPrEx>
          <w:tblCellMar>
            <w:top w:w="0" w:type="dxa"/>
            <w:left w:w="0" w:type="dxa"/>
            <w:bottom w:w="0" w:type="dxa"/>
            <w:right w:w="0" w:type="dxa"/>
          </w:tblCellMar>
        </w:tblPrEx>
        <w:trPr>
          <w:trHeight w:val="379" w:hRule="atLeast"/>
        </w:trPr>
        <w:tc>
          <w:tcPr>
            <w:tcW w:w="567" w:type="dxa"/>
            <w:tcBorders>
              <w:top w:val="nil"/>
              <w:left w:val="single" w:color="auto" w:sz="4" w:space="0"/>
              <w:bottom w:val="single" w:color="auto" w:sz="4" w:space="0"/>
              <w:right w:val="single" w:color="auto" w:sz="4" w:space="0"/>
            </w:tcBorders>
            <w:tcMar>
              <w:left w:w="15" w:type="dxa"/>
              <w:right w:w="15" w:type="dxa"/>
            </w:tcMar>
            <w:vAlign w:val="bottom"/>
          </w:tcPr>
          <w:p>
            <w:pPr>
              <w:wordWrap w:val="0"/>
              <w:rPr>
                <w:rFonts w:ascii="Calibri" w:hAnsi="Arial" w:eastAsia="Arial"/>
                <w:sz w:val="20"/>
                <w:szCs w:val="20"/>
              </w:rPr>
            </w:pPr>
          </w:p>
        </w:tc>
        <w:tc>
          <w:tcPr>
            <w:tcW w:w="5472" w:type="dxa"/>
            <w:tcBorders>
              <w:top w:val="nil"/>
              <w:left w:val="nil"/>
              <w:bottom w:val="single" w:color="auto" w:sz="4" w:space="0"/>
              <w:right w:val="single" w:color="auto" w:sz="4" w:space="0"/>
            </w:tcBorders>
            <w:tcMar>
              <w:left w:w="15" w:type="dxa"/>
              <w:right w:w="15" w:type="dxa"/>
            </w:tcMar>
            <w:vAlign w:val="bottom"/>
          </w:tcPr>
          <w:p>
            <w:pPr>
              <w:wordWrap w:val="0"/>
              <w:rPr>
                <w:rFonts w:ascii="Calibri" w:hAnsi="Arial" w:eastAsia="Arial"/>
                <w:sz w:val="20"/>
                <w:szCs w:val="20"/>
              </w:rPr>
            </w:pPr>
          </w:p>
        </w:tc>
        <w:tc>
          <w:tcPr>
            <w:tcW w:w="2257" w:type="dxa"/>
            <w:tcBorders>
              <w:top w:val="nil"/>
              <w:left w:val="nil"/>
              <w:bottom w:val="single" w:color="auto" w:sz="4" w:space="0"/>
              <w:right w:val="single" w:color="auto" w:sz="4" w:space="0"/>
            </w:tcBorders>
            <w:tcMar>
              <w:left w:w="15" w:type="dxa"/>
              <w:right w:w="15" w:type="dxa"/>
            </w:tcMar>
            <w:vAlign w:val="bottom"/>
          </w:tcPr>
          <w:p>
            <w:pPr>
              <w:wordWrap w:val="0"/>
              <w:rPr>
                <w:rFonts w:ascii="Calibri" w:hAnsi="Arial" w:eastAsia="Arial"/>
                <w:sz w:val="20"/>
                <w:szCs w:val="20"/>
              </w:rPr>
            </w:pPr>
          </w:p>
        </w:tc>
      </w:tr>
      <w:tr>
        <w:tblPrEx>
          <w:tblCellMar>
            <w:top w:w="0" w:type="dxa"/>
            <w:left w:w="0" w:type="dxa"/>
            <w:bottom w:w="0" w:type="dxa"/>
            <w:right w:w="0" w:type="dxa"/>
          </w:tblCellMar>
        </w:tblPrEx>
        <w:trPr>
          <w:trHeight w:val="379" w:hRule="atLeast"/>
        </w:trPr>
        <w:tc>
          <w:tcPr>
            <w:tcW w:w="567" w:type="dxa"/>
            <w:tcBorders>
              <w:top w:val="nil"/>
              <w:left w:val="single" w:color="auto" w:sz="4" w:space="0"/>
              <w:bottom w:val="single" w:color="auto" w:sz="4" w:space="0"/>
              <w:right w:val="single" w:color="auto" w:sz="4" w:space="0"/>
            </w:tcBorders>
            <w:tcMar>
              <w:left w:w="15" w:type="dxa"/>
              <w:right w:w="15" w:type="dxa"/>
            </w:tcMar>
            <w:vAlign w:val="bottom"/>
          </w:tcPr>
          <w:p>
            <w:pPr>
              <w:wordWrap w:val="0"/>
              <w:rPr>
                <w:rFonts w:ascii="Calibri" w:hAnsi="Arial" w:eastAsia="Arial"/>
                <w:sz w:val="20"/>
                <w:szCs w:val="20"/>
              </w:rPr>
            </w:pPr>
          </w:p>
        </w:tc>
        <w:tc>
          <w:tcPr>
            <w:tcW w:w="5472" w:type="dxa"/>
            <w:tcBorders>
              <w:top w:val="nil"/>
              <w:left w:val="nil"/>
              <w:bottom w:val="single" w:color="auto" w:sz="4" w:space="0"/>
              <w:right w:val="single" w:color="auto" w:sz="4" w:space="0"/>
            </w:tcBorders>
            <w:tcMar>
              <w:left w:w="15" w:type="dxa"/>
              <w:right w:w="15" w:type="dxa"/>
            </w:tcMar>
            <w:vAlign w:val="bottom"/>
          </w:tcPr>
          <w:p>
            <w:pPr>
              <w:wordWrap w:val="0"/>
              <w:rPr>
                <w:rFonts w:ascii="Calibri" w:hAnsi="Arial" w:eastAsia="Arial"/>
                <w:sz w:val="20"/>
                <w:szCs w:val="20"/>
              </w:rPr>
            </w:pPr>
          </w:p>
        </w:tc>
        <w:tc>
          <w:tcPr>
            <w:tcW w:w="2257" w:type="dxa"/>
            <w:tcBorders>
              <w:top w:val="nil"/>
              <w:left w:val="nil"/>
              <w:bottom w:val="single" w:color="auto" w:sz="4" w:space="0"/>
              <w:right w:val="single" w:color="auto" w:sz="4" w:space="0"/>
            </w:tcBorders>
            <w:tcMar>
              <w:left w:w="15" w:type="dxa"/>
              <w:right w:w="15" w:type="dxa"/>
            </w:tcMar>
            <w:vAlign w:val="bottom"/>
          </w:tcPr>
          <w:p>
            <w:pPr>
              <w:wordWrap w:val="0"/>
              <w:rPr>
                <w:rFonts w:ascii="Calibri" w:hAnsi="Arial" w:eastAsia="Arial"/>
                <w:sz w:val="20"/>
                <w:szCs w:val="20"/>
              </w:rPr>
            </w:pPr>
          </w:p>
        </w:tc>
      </w:tr>
      <w:tr>
        <w:tblPrEx>
          <w:tblCellMar>
            <w:top w:w="0" w:type="dxa"/>
            <w:left w:w="0" w:type="dxa"/>
            <w:bottom w:w="0" w:type="dxa"/>
            <w:right w:w="0" w:type="dxa"/>
          </w:tblCellMar>
        </w:tblPrEx>
        <w:trPr>
          <w:trHeight w:val="558" w:hRule="atLeast"/>
        </w:trPr>
        <w:tc>
          <w:tcPr>
            <w:tcW w:w="567" w:type="dxa"/>
            <w:tcBorders>
              <w:top w:val="nil"/>
              <w:left w:val="single" w:color="auto" w:sz="4" w:space="0"/>
              <w:bottom w:val="single" w:color="auto" w:sz="4" w:space="0"/>
              <w:right w:val="single" w:color="auto" w:sz="4" w:space="0"/>
            </w:tcBorders>
            <w:tcMar>
              <w:left w:w="15" w:type="dxa"/>
              <w:right w:w="15" w:type="dxa"/>
            </w:tcMar>
            <w:vAlign w:val="bottom"/>
          </w:tcPr>
          <w:p>
            <w:pPr>
              <w:wordWrap w:val="0"/>
              <w:rPr>
                <w:rFonts w:ascii="宋体" w:hAnsi="Arial" w:eastAsia="Arial"/>
                <w:sz w:val="20"/>
                <w:szCs w:val="20"/>
              </w:rPr>
            </w:pPr>
            <w:r>
              <w:rPr>
                <w:rFonts w:ascii="Calibri" w:hAnsi="宋体"/>
                <w:sz w:val="20"/>
                <w:szCs w:val="20"/>
              </w:rPr>
              <w:t>　</w:t>
            </w:r>
          </w:p>
        </w:tc>
        <w:tc>
          <w:tcPr>
            <w:tcW w:w="5472" w:type="dxa"/>
            <w:tcBorders>
              <w:top w:val="nil"/>
              <w:left w:val="nil"/>
              <w:bottom w:val="single" w:color="auto" w:sz="4" w:space="0"/>
              <w:right w:val="single" w:color="auto" w:sz="4" w:space="0"/>
            </w:tcBorders>
            <w:tcMar>
              <w:left w:w="15" w:type="dxa"/>
              <w:right w:w="15" w:type="dxa"/>
            </w:tcMar>
            <w:vAlign w:val="center"/>
          </w:tcPr>
          <w:p>
            <w:pPr>
              <w:wordWrap w:val="0"/>
              <w:jc w:val="center"/>
              <w:rPr>
                <w:rFonts w:ascii="宋体" w:hAnsi="Arial" w:eastAsia="Arial"/>
                <w:sz w:val="18"/>
                <w:szCs w:val="18"/>
              </w:rPr>
            </w:pPr>
            <w:r>
              <w:rPr>
                <w:rFonts w:ascii="Calibri" w:hAnsi="宋体"/>
                <w:sz w:val="18"/>
                <w:szCs w:val="18"/>
              </w:rPr>
              <w:t>合计</w:t>
            </w:r>
          </w:p>
        </w:tc>
        <w:tc>
          <w:tcPr>
            <w:tcW w:w="2257" w:type="dxa"/>
            <w:tcBorders>
              <w:top w:val="nil"/>
              <w:left w:val="nil"/>
              <w:bottom w:val="single" w:color="auto" w:sz="4" w:space="0"/>
              <w:right w:val="single" w:color="auto" w:sz="4" w:space="0"/>
            </w:tcBorders>
            <w:tcMar>
              <w:left w:w="15" w:type="dxa"/>
              <w:right w:w="15" w:type="dxa"/>
            </w:tcMar>
            <w:vAlign w:val="center"/>
          </w:tcPr>
          <w:p>
            <w:pPr>
              <w:wordWrap w:val="0"/>
              <w:jc w:val="right"/>
              <w:rPr>
                <w:rFonts w:ascii="宋体" w:hAnsi="Arial" w:eastAsia="Arial"/>
                <w:sz w:val="18"/>
                <w:szCs w:val="18"/>
              </w:rPr>
            </w:pPr>
            <w:r>
              <w:rPr>
                <w:rFonts w:ascii="Calibri" w:hAnsi="宋体"/>
                <w:sz w:val="18"/>
                <w:szCs w:val="18"/>
              </w:rPr>
              <w:t>　</w:t>
            </w:r>
          </w:p>
        </w:tc>
      </w:tr>
    </w:tbl>
    <w:p>
      <w:pPr>
        <w:adjustRightInd w:val="0"/>
        <w:snapToGrid w:val="0"/>
        <w:spacing w:line="360" w:lineRule="auto"/>
        <w:jc w:val="left"/>
        <w:rPr>
          <w:color w:val="FF0000"/>
          <w:sz w:val="30"/>
          <w:szCs w:val="30"/>
        </w:rPr>
      </w:pPr>
      <w:r>
        <w:rPr>
          <w:rFonts w:hint="eastAsia"/>
          <w:color w:val="FF0000"/>
          <w:sz w:val="30"/>
          <w:szCs w:val="30"/>
        </w:rPr>
        <w:t>备注：规费、措施费请填写为零，相关费用分摊到其他分项。</w:t>
      </w:r>
    </w:p>
    <w:p>
      <w:pPr>
        <w:adjustRightInd w:val="0"/>
        <w:snapToGrid w:val="0"/>
        <w:spacing w:line="360" w:lineRule="auto"/>
        <w:jc w:val="left"/>
      </w:pPr>
      <w:r>
        <w:rPr>
          <w:b/>
          <w:color w:val="0066FF"/>
          <w:sz w:val="30"/>
          <w:szCs w:val="30"/>
        </w:rPr>
        <w:t>税金</w:t>
      </w:r>
      <w:r>
        <w:rPr>
          <w:color w:val="000000" w:themeColor="text1"/>
          <w:sz w:val="30"/>
          <w:szCs w:val="30"/>
          <w14:textFill>
            <w14:solidFill>
              <w14:schemeClr w14:val="tx1"/>
            </w14:solidFill>
          </w14:textFill>
        </w:rPr>
        <w:t>必须列出（依据《深圳市建设工程造价管理站关于调整深圳市建设工程计价费率标准增值税综合应纳税费率的通知【2018】21号》，</w:t>
      </w:r>
      <w:r>
        <w:rPr>
          <w:rFonts w:hint="eastAsia"/>
          <w:color w:val="000000" w:themeColor="text1"/>
          <w:sz w:val="30"/>
          <w:szCs w:val="30"/>
          <w14:textFill>
            <w14:solidFill>
              <w14:schemeClr w14:val="tx1"/>
            </w14:solidFill>
          </w14:textFill>
        </w:rPr>
        <w:t xml:space="preserve">增值税应纳税额 </w:t>
      </w:r>
      <w:r>
        <w:rPr>
          <w:color w:val="000000" w:themeColor="text1"/>
          <w:sz w:val="30"/>
          <w:szCs w:val="30"/>
          <w14:textFill>
            <w14:solidFill>
              <w14:schemeClr w14:val="tx1"/>
            </w14:solidFill>
          </w14:textFill>
        </w:rPr>
        <w:t>税</w:t>
      </w:r>
      <w:r>
        <w:rPr>
          <w:rFonts w:hint="eastAsia"/>
          <w:color w:val="000000" w:themeColor="text1"/>
          <w:sz w:val="30"/>
          <w:szCs w:val="30"/>
          <w14:textFill>
            <w14:solidFill>
              <w14:schemeClr w14:val="tx1"/>
            </w14:solidFill>
          </w14:textFill>
        </w:rPr>
        <w:t>（费）</w:t>
      </w:r>
      <w:r>
        <w:rPr>
          <w:color w:val="000000" w:themeColor="text1"/>
          <w:sz w:val="30"/>
          <w:szCs w:val="30"/>
          <w14:textFill>
            <w14:solidFill>
              <w14:schemeClr w14:val="tx1"/>
            </w14:solidFill>
          </w14:textFill>
        </w:rPr>
        <w:t>率以</w:t>
      </w:r>
      <w:r>
        <w:rPr>
          <w:b/>
          <w:color w:val="FF0000"/>
          <w:sz w:val="30"/>
          <w:szCs w:val="30"/>
        </w:rPr>
        <w:t>3.14%</w:t>
      </w:r>
      <w:r>
        <w:rPr>
          <w:color w:val="000000" w:themeColor="text1"/>
          <w:sz w:val="30"/>
          <w:szCs w:val="30"/>
          <w14:textFill>
            <w14:solidFill>
              <w14:schemeClr w14:val="tx1"/>
            </w14:solidFill>
          </w14:textFill>
        </w:rPr>
        <w:t>计算，城市维护建设税、教育费附加及地方教育费附加税</w:t>
      </w:r>
      <w:r>
        <w:rPr>
          <w:rFonts w:hint="eastAsia"/>
          <w:color w:val="000000" w:themeColor="text1"/>
          <w:sz w:val="30"/>
          <w:szCs w:val="30"/>
          <w14:textFill>
            <w14:solidFill>
              <w14:schemeClr w14:val="tx1"/>
            </w14:solidFill>
          </w14:textFill>
        </w:rPr>
        <w:t>（</w:t>
      </w:r>
      <w:r>
        <w:rPr>
          <w:color w:val="000000" w:themeColor="text1"/>
          <w:sz w:val="30"/>
          <w:szCs w:val="30"/>
          <w14:textFill>
            <w14:solidFill>
              <w14:schemeClr w14:val="tx1"/>
            </w14:solidFill>
          </w14:textFill>
        </w:rPr>
        <w:t>费</w:t>
      </w:r>
      <w:r>
        <w:rPr>
          <w:rFonts w:hint="eastAsia"/>
          <w:color w:val="000000" w:themeColor="text1"/>
          <w:sz w:val="30"/>
          <w:szCs w:val="30"/>
          <w14:textFill>
            <w14:solidFill>
              <w14:schemeClr w14:val="tx1"/>
            </w14:solidFill>
          </w14:textFill>
        </w:rPr>
        <w:t>）</w:t>
      </w:r>
      <w:r>
        <w:rPr>
          <w:color w:val="000000" w:themeColor="text1"/>
          <w:sz w:val="30"/>
          <w:szCs w:val="30"/>
          <w14:textFill>
            <w14:solidFill>
              <w14:schemeClr w14:val="tx1"/>
            </w14:solidFill>
          </w14:textFill>
        </w:rPr>
        <w:t>率以</w:t>
      </w:r>
      <w:r>
        <w:rPr>
          <w:b/>
          <w:color w:val="FF0000"/>
          <w:sz w:val="30"/>
          <w:szCs w:val="30"/>
        </w:rPr>
        <w:t>12%</w:t>
      </w:r>
      <w:r>
        <w:rPr>
          <w:color w:val="000000" w:themeColor="text1"/>
          <w:sz w:val="30"/>
          <w:szCs w:val="30"/>
          <w14:textFill>
            <w14:solidFill>
              <w14:schemeClr w14:val="tx1"/>
            </w14:solidFill>
          </w14:textFill>
        </w:rPr>
        <w:t>计算</w:t>
      </w:r>
      <w:r>
        <w:rPr>
          <w:rFonts w:hint="eastAsia"/>
          <w:color w:val="000000" w:themeColor="text1"/>
          <w:sz w:val="30"/>
          <w:szCs w:val="30"/>
          <w14:textFill>
            <w14:solidFill>
              <w14:schemeClr w14:val="tx1"/>
            </w14:solidFill>
          </w14:textFill>
        </w:rPr>
        <w:t>，</w:t>
      </w:r>
      <w:r>
        <w:rPr>
          <w:b/>
          <w:color w:val="FF0000"/>
          <w:sz w:val="30"/>
          <w:szCs w:val="30"/>
        </w:rPr>
        <w:t>需严格按照此</w:t>
      </w:r>
      <w:r>
        <w:rPr>
          <w:rFonts w:hint="eastAsia"/>
          <w:b/>
          <w:color w:val="FF0000"/>
          <w:sz w:val="30"/>
          <w:szCs w:val="30"/>
        </w:rPr>
        <w:t>税（费）率</w:t>
      </w:r>
      <w:r>
        <w:rPr>
          <w:b/>
          <w:color w:val="FF0000"/>
          <w:sz w:val="30"/>
          <w:szCs w:val="30"/>
        </w:rPr>
        <w:t>计算</w:t>
      </w:r>
      <w:r>
        <w:rPr>
          <w:rFonts w:hint="eastAsia"/>
          <w:b/>
          <w:color w:val="FF0000"/>
          <w:sz w:val="30"/>
          <w:szCs w:val="30"/>
        </w:rPr>
        <w:t>单位</w:t>
      </w:r>
      <w:r>
        <w:rPr>
          <w:b/>
          <w:color w:val="FF0000"/>
          <w:sz w:val="30"/>
          <w:szCs w:val="30"/>
        </w:rPr>
        <w:t>工程费</w:t>
      </w:r>
      <w:r>
        <w:rPr>
          <w:color w:val="000000" w:themeColor="text1"/>
          <w:sz w:val="30"/>
          <w:szCs w:val="30"/>
          <w14:textFill>
            <w14:solidFill>
              <w14:schemeClr w14:val="tx1"/>
            </w14:solidFill>
          </w14:textFill>
        </w:rPr>
        <w:t>）。</w:t>
      </w:r>
    </w:p>
    <w:p>
      <w:pPr>
        <w:wordWrap w:val="0"/>
        <w:spacing w:line="360" w:lineRule="auto"/>
        <w:jc w:val="left"/>
        <w:rPr>
          <w:color w:val="FF0000"/>
          <w:sz w:val="30"/>
          <w:szCs w:val="30"/>
        </w:rPr>
      </w:pPr>
    </w:p>
    <w:p>
      <w:pPr>
        <w:wordWrap w:val="0"/>
        <w:jc w:val="left"/>
        <w:rPr>
          <w:rFonts w:ascii="Calibri" w:hAnsi="宋体"/>
          <w:sz w:val="30"/>
          <w:szCs w:val="30"/>
        </w:rPr>
      </w:pPr>
      <w:r>
        <w:br w:type="page"/>
      </w:r>
    </w:p>
    <w:p>
      <w:pPr>
        <w:wordWrap w:val="0"/>
        <w:jc w:val="center"/>
        <w:rPr>
          <w:rFonts w:ascii="华文新魏" w:hAnsi="华文新魏" w:eastAsia="华文新魏"/>
          <w:b/>
          <w:sz w:val="48"/>
          <w:szCs w:val="48"/>
        </w:rPr>
      </w:pPr>
      <w:r>
        <w:rPr>
          <w:rFonts w:ascii="华文新魏" w:hAnsi="华文新魏" w:eastAsia="华文新魏"/>
          <w:b/>
          <w:sz w:val="48"/>
          <w:szCs w:val="48"/>
        </w:rPr>
        <w:t>分部分项工程量清单计价表</w:t>
      </w:r>
    </w:p>
    <w:tbl>
      <w:tblPr>
        <w:tblStyle w:val="54"/>
        <w:tblW w:w="7949" w:type="dxa"/>
        <w:jc w:val="center"/>
        <w:tblLayout w:type="fixed"/>
        <w:tblCellMar>
          <w:top w:w="0" w:type="dxa"/>
          <w:left w:w="0" w:type="dxa"/>
          <w:bottom w:w="0" w:type="dxa"/>
          <w:right w:w="0" w:type="dxa"/>
        </w:tblCellMar>
      </w:tblPr>
      <w:tblGrid>
        <w:gridCol w:w="737"/>
        <w:gridCol w:w="2410"/>
        <w:gridCol w:w="1701"/>
        <w:gridCol w:w="573"/>
        <w:gridCol w:w="709"/>
        <w:gridCol w:w="709"/>
        <w:gridCol w:w="1110"/>
      </w:tblGrid>
      <w:tr>
        <w:tblPrEx>
          <w:tblCellMar>
            <w:top w:w="0" w:type="dxa"/>
            <w:left w:w="0" w:type="dxa"/>
            <w:bottom w:w="0" w:type="dxa"/>
            <w:right w:w="0" w:type="dxa"/>
          </w:tblCellMar>
        </w:tblPrEx>
        <w:trPr>
          <w:trHeight w:val="379" w:hRule="atLeast"/>
          <w:jc w:val="center"/>
        </w:trPr>
        <w:tc>
          <w:tcPr>
            <w:tcW w:w="737" w:type="dxa"/>
            <w:vMerge w:val="restart"/>
            <w:tcBorders>
              <w:top w:val="single" w:color="auto" w:sz="4" w:space="0"/>
              <w:left w:val="single" w:color="auto" w:sz="4" w:space="0"/>
              <w:bottom w:val="single" w:color="000000" w:sz="4" w:space="0"/>
              <w:right w:val="single" w:color="000000" w:sz="4" w:space="0"/>
            </w:tcBorders>
            <w:shd w:val="clear" w:color="000000" w:fill="FFFFFF"/>
            <w:tcMar>
              <w:left w:w="15" w:type="dxa"/>
              <w:right w:w="15" w:type="dxa"/>
            </w:tcMar>
            <w:vAlign w:val="center"/>
          </w:tcPr>
          <w:p>
            <w:pPr>
              <w:wordWrap w:val="0"/>
              <w:jc w:val="center"/>
              <w:rPr>
                <w:rFonts w:ascii="宋体" w:hAnsi="宋体"/>
                <w:color w:val="000000"/>
                <w:sz w:val="20"/>
                <w:szCs w:val="20"/>
              </w:rPr>
            </w:pPr>
            <w:r>
              <w:rPr>
                <w:rFonts w:ascii="Calibri" w:hAnsi="宋体"/>
                <w:color w:val="000000"/>
                <w:sz w:val="20"/>
                <w:szCs w:val="20"/>
              </w:rPr>
              <w:t>序号</w:t>
            </w:r>
          </w:p>
        </w:tc>
        <w:tc>
          <w:tcPr>
            <w:tcW w:w="2410" w:type="dxa"/>
            <w:vMerge w:val="restart"/>
            <w:tcBorders>
              <w:top w:val="single" w:color="auto" w:sz="4" w:space="0"/>
              <w:left w:val="single" w:color="000000" w:sz="4" w:space="0"/>
              <w:bottom w:val="single" w:color="000000" w:sz="4" w:space="0"/>
              <w:right w:val="single" w:color="000000" w:sz="4" w:space="0"/>
            </w:tcBorders>
            <w:shd w:val="clear" w:color="000000" w:fill="FFFFFF"/>
            <w:tcMar>
              <w:left w:w="15" w:type="dxa"/>
              <w:right w:w="15" w:type="dxa"/>
            </w:tcMar>
            <w:vAlign w:val="center"/>
          </w:tcPr>
          <w:p>
            <w:pPr>
              <w:wordWrap w:val="0"/>
              <w:jc w:val="center"/>
              <w:rPr>
                <w:rFonts w:ascii="宋体" w:hAnsi="宋体"/>
                <w:color w:val="000000"/>
                <w:sz w:val="20"/>
                <w:szCs w:val="20"/>
              </w:rPr>
            </w:pPr>
            <w:r>
              <w:rPr>
                <w:rFonts w:ascii="Calibri" w:hAnsi="宋体"/>
                <w:color w:val="000000"/>
                <w:sz w:val="20"/>
                <w:szCs w:val="20"/>
              </w:rPr>
              <w:t>项目名称</w:t>
            </w:r>
          </w:p>
        </w:tc>
        <w:tc>
          <w:tcPr>
            <w:tcW w:w="1701" w:type="dxa"/>
            <w:vMerge w:val="restart"/>
            <w:tcBorders>
              <w:top w:val="single" w:color="auto" w:sz="4" w:space="0"/>
              <w:left w:val="single" w:color="000000" w:sz="4" w:space="0"/>
              <w:bottom w:val="single" w:color="000000" w:sz="4" w:space="0"/>
              <w:right w:val="single" w:color="000000" w:sz="4" w:space="0"/>
            </w:tcBorders>
            <w:shd w:val="clear" w:color="000000" w:fill="FFFFFF"/>
            <w:tcMar>
              <w:left w:w="15" w:type="dxa"/>
              <w:right w:w="15" w:type="dxa"/>
            </w:tcMar>
            <w:vAlign w:val="center"/>
          </w:tcPr>
          <w:p>
            <w:pPr>
              <w:wordWrap w:val="0"/>
              <w:jc w:val="center"/>
              <w:rPr>
                <w:rFonts w:ascii="宋体" w:hAnsi="宋体"/>
                <w:color w:val="000000"/>
                <w:sz w:val="18"/>
                <w:szCs w:val="18"/>
              </w:rPr>
            </w:pPr>
            <w:r>
              <w:rPr>
                <w:rFonts w:ascii="Calibri" w:hAnsi="宋体"/>
                <w:color w:val="000000"/>
                <w:sz w:val="18"/>
                <w:szCs w:val="18"/>
              </w:rPr>
              <w:t>项目特征描述</w:t>
            </w:r>
          </w:p>
        </w:tc>
        <w:tc>
          <w:tcPr>
            <w:tcW w:w="573" w:type="dxa"/>
            <w:vMerge w:val="restart"/>
            <w:tcBorders>
              <w:top w:val="single" w:color="auto" w:sz="4" w:space="0"/>
              <w:left w:val="single" w:color="000000" w:sz="4" w:space="0"/>
              <w:bottom w:val="single" w:color="000000" w:sz="4" w:space="0"/>
              <w:right w:val="single" w:color="000000" w:sz="4" w:space="0"/>
            </w:tcBorders>
            <w:shd w:val="clear" w:color="000000" w:fill="FFFFFF"/>
            <w:tcMar>
              <w:left w:w="15" w:type="dxa"/>
              <w:right w:w="15" w:type="dxa"/>
            </w:tcMar>
            <w:vAlign w:val="center"/>
          </w:tcPr>
          <w:p>
            <w:pPr>
              <w:wordWrap w:val="0"/>
              <w:jc w:val="center"/>
              <w:rPr>
                <w:rFonts w:ascii="宋体" w:hAnsi="宋体"/>
                <w:color w:val="000000"/>
                <w:sz w:val="20"/>
                <w:szCs w:val="20"/>
              </w:rPr>
            </w:pPr>
            <w:r>
              <w:rPr>
                <w:rFonts w:ascii="Calibri" w:hAnsi="宋体"/>
                <w:color w:val="000000"/>
                <w:sz w:val="20"/>
                <w:szCs w:val="20"/>
              </w:rPr>
              <w:t>计量</w:t>
            </w:r>
            <w:r>
              <w:rPr>
                <w:rFonts w:ascii="Calibri" w:hAnsi="宋体"/>
                <w:color w:val="000000"/>
                <w:sz w:val="20"/>
                <w:szCs w:val="20"/>
              </w:rPr>
              <w:br w:type="textWrapping"/>
            </w:r>
            <w:r>
              <w:rPr>
                <w:rFonts w:ascii="Calibri" w:hAnsi="宋体"/>
                <w:color w:val="000000"/>
                <w:sz w:val="20"/>
                <w:szCs w:val="20"/>
              </w:rPr>
              <w:t>单位</w:t>
            </w:r>
          </w:p>
        </w:tc>
        <w:tc>
          <w:tcPr>
            <w:tcW w:w="709" w:type="dxa"/>
            <w:vMerge w:val="restart"/>
            <w:tcBorders>
              <w:top w:val="single" w:color="auto" w:sz="4" w:space="0"/>
              <w:left w:val="single" w:color="000000" w:sz="4" w:space="0"/>
              <w:bottom w:val="single" w:color="000000" w:sz="4" w:space="0"/>
              <w:right w:val="single" w:color="000000" w:sz="4" w:space="0"/>
            </w:tcBorders>
            <w:shd w:val="clear" w:color="000000" w:fill="FFFFFF"/>
            <w:tcMar>
              <w:left w:w="15" w:type="dxa"/>
              <w:right w:w="15" w:type="dxa"/>
            </w:tcMar>
            <w:vAlign w:val="center"/>
          </w:tcPr>
          <w:p>
            <w:pPr>
              <w:wordWrap w:val="0"/>
              <w:jc w:val="center"/>
              <w:rPr>
                <w:rFonts w:ascii="宋体" w:hAnsi="宋体"/>
                <w:color w:val="000000"/>
                <w:sz w:val="20"/>
                <w:szCs w:val="20"/>
              </w:rPr>
            </w:pPr>
            <w:r>
              <w:rPr>
                <w:rFonts w:ascii="Calibri" w:hAnsi="宋体"/>
                <w:color w:val="000000"/>
                <w:sz w:val="20"/>
                <w:szCs w:val="20"/>
              </w:rPr>
              <w:t>工程量</w:t>
            </w:r>
          </w:p>
        </w:tc>
        <w:tc>
          <w:tcPr>
            <w:tcW w:w="1819" w:type="dxa"/>
            <w:gridSpan w:val="2"/>
            <w:tcBorders>
              <w:top w:val="single" w:color="auto" w:sz="4" w:space="0"/>
              <w:left w:val="nil"/>
              <w:bottom w:val="single" w:color="000000" w:sz="4" w:space="0"/>
              <w:right w:val="single" w:color="000000" w:sz="4" w:space="0"/>
            </w:tcBorders>
            <w:shd w:val="clear" w:color="000000" w:fill="FFFFFF"/>
            <w:tcMar>
              <w:left w:w="15" w:type="dxa"/>
              <w:right w:w="15" w:type="dxa"/>
            </w:tcMar>
            <w:vAlign w:val="center"/>
          </w:tcPr>
          <w:p>
            <w:pPr>
              <w:wordWrap w:val="0"/>
              <w:jc w:val="center"/>
              <w:rPr>
                <w:rFonts w:ascii="宋体" w:hAnsi="宋体"/>
                <w:color w:val="000000"/>
                <w:sz w:val="20"/>
                <w:szCs w:val="20"/>
              </w:rPr>
            </w:pPr>
            <w:r>
              <w:rPr>
                <w:rFonts w:ascii="Calibri" w:hAnsi="宋体"/>
                <w:color w:val="000000"/>
                <w:sz w:val="20"/>
                <w:szCs w:val="20"/>
              </w:rPr>
              <w:t>金额(元)</w:t>
            </w:r>
          </w:p>
        </w:tc>
      </w:tr>
      <w:tr>
        <w:tblPrEx>
          <w:tblCellMar>
            <w:top w:w="0" w:type="dxa"/>
            <w:left w:w="0" w:type="dxa"/>
            <w:bottom w:w="0" w:type="dxa"/>
            <w:right w:w="0" w:type="dxa"/>
          </w:tblCellMar>
        </w:tblPrEx>
        <w:trPr>
          <w:trHeight w:val="619" w:hRule="atLeast"/>
          <w:jc w:val="center"/>
        </w:trPr>
        <w:tc>
          <w:tcPr>
            <w:tcW w:w="737" w:type="dxa"/>
            <w:vMerge w:val="continue"/>
            <w:tcBorders>
              <w:top w:val="single" w:color="auto" w:sz="4" w:space="0"/>
              <w:left w:val="single" w:color="auto" w:sz="4" w:space="0"/>
              <w:bottom w:val="single" w:color="000000" w:sz="4" w:space="0"/>
              <w:right w:val="single" w:color="000000" w:sz="4" w:space="0"/>
            </w:tcBorders>
            <w:shd w:val="clear" w:color="000000" w:fill="FFFFFF"/>
            <w:vAlign w:val="center"/>
          </w:tcPr>
          <w:p/>
        </w:tc>
        <w:tc>
          <w:tcPr>
            <w:tcW w:w="2410" w:type="dxa"/>
            <w:vMerge w:val="continue"/>
            <w:tcBorders>
              <w:top w:val="single" w:color="auto" w:sz="4" w:space="0"/>
              <w:left w:val="single" w:color="000000" w:sz="4" w:space="0"/>
              <w:bottom w:val="single" w:color="000000" w:sz="4" w:space="0"/>
              <w:right w:val="single" w:color="000000" w:sz="4" w:space="0"/>
            </w:tcBorders>
            <w:shd w:val="clear" w:color="000000" w:fill="FFFFFF"/>
            <w:vAlign w:val="center"/>
          </w:tcPr>
          <w:p/>
        </w:tc>
        <w:tc>
          <w:tcPr>
            <w:tcW w:w="1701" w:type="dxa"/>
            <w:vMerge w:val="continue"/>
            <w:tcBorders>
              <w:top w:val="single" w:color="auto" w:sz="4" w:space="0"/>
              <w:left w:val="single" w:color="000000" w:sz="4" w:space="0"/>
              <w:bottom w:val="single" w:color="000000" w:sz="4" w:space="0"/>
              <w:right w:val="single" w:color="000000" w:sz="4" w:space="0"/>
            </w:tcBorders>
            <w:shd w:val="clear" w:color="000000" w:fill="FFFFFF"/>
            <w:vAlign w:val="center"/>
          </w:tcPr>
          <w:p/>
        </w:tc>
        <w:tc>
          <w:tcPr>
            <w:tcW w:w="573" w:type="dxa"/>
            <w:vMerge w:val="continue"/>
            <w:tcBorders>
              <w:top w:val="single" w:color="auto" w:sz="4" w:space="0"/>
              <w:left w:val="single" w:color="000000" w:sz="4" w:space="0"/>
              <w:bottom w:val="single" w:color="000000" w:sz="4" w:space="0"/>
              <w:right w:val="single" w:color="000000" w:sz="4" w:space="0"/>
            </w:tcBorders>
            <w:shd w:val="clear" w:color="000000" w:fill="FFFFFF"/>
            <w:vAlign w:val="center"/>
          </w:tcPr>
          <w:p/>
        </w:tc>
        <w:tc>
          <w:tcPr>
            <w:tcW w:w="709" w:type="dxa"/>
            <w:vMerge w:val="continue"/>
            <w:tcBorders>
              <w:top w:val="single" w:color="auto" w:sz="4" w:space="0"/>
              <w:left w:val="single" w:color="000000" w:sz="4" w:space="0"/>
              <w:bottom w:val="single" w:color="000000" w:sz="4" w:space="0"/>
              <w:right w:val="single" w:color="000000" w:sz="4" w:space="0"/>
            </w:tcBorders>
            <w:shd w:val="clear" w:color="000000" w:fill="FFFFFF"/>
            <w:vAlign w:val="center"/>
          </w:tcPr>
          <w:p/>
        </w:tc>
        <w:tc>
          <w:tcPr>
            <w:tcW w:w="709" w:type="dxa"/>
            <w:tcBorders>
              <w:top w:val="nil"/>
              <w:left w:val="nil"/>
              <w:bottom w:val="single" w:color="auto" w:sz="4" w:space="0"/>
              <w:right w:val="single" w:color="000000" w:sz="4" w:space="0"/>
            </w:tcBorders>
            <w:shd w:val="clear" w:color="000000" w:fill="FFFFFF"/>
            <w:tcMar>
              <w:left w:w="15" w:type="dxa"/>
              <w:right w:w="15" w:type="dxa"/>
            </w:tcMar>
            <w:vAlign w:val="center"/>
          </w:tcPr>
          <w:p>
            <w:pPr>
              <w:wordWrap w:val="0"/>
              <w:jc w:val="center"/>
              <w:rPr>
                <w:rFonts w:ascii="宋体" w:hAnsi="宋体"/>
                <w:color w:val="000000"/>
                <w:sz w:val="20"/>
                <w:szCs w:val="20"/>
              </w:rPr>
            </w:pPr>
            <w:r>
              <w:rPr>
                <w:rFonts w:ascii="Calibri" w:hAnsi="宋体"/>
                <w:color w:val="000000"/>
                <w:sz w:val="20"/>
                <w:szCs w:val="20"/>
              </w:rPr>
              <w:t>综合</w:t>
            </w:r>
            <w:r>
              <w:rPr>
                <w:rFonts w:ascii="Calibri" w:hAnsi="宋体"/>
                <w:color w:val="000000"/>
                <w:sz w:val="20"/>
                <w:szCs w:val="20"/>
              </w:rPr>
              <w:br w:type="textWrapping"/>
            </w:r>
            <w:r>
              <w:rPr>
                <w:rFonts w:ascii="Calibri" w:hAnsi="宋体"/>
                <w:color w:val="000000"/>
                <w:sz w:val="20"/>
                <w:szCs w:val="20"/>
              </w:rPr>
              <w:t>单价</w:t>
            </w:r>
          </w:p>
        </w:tc>
        <w:tc>
          <w:tcPr>
            <w:tcW w:w="1110" w:type="dxa"/>
            <w:tcBorders>
              <w:top w:val="nil"/>
              <w:left w:val="nil"/>
              <w:bottom w:val="single" w:color="auto" w:sz="4" w:space="0"/>
              <w:right w:val="single" w:color="000000" w:sz="4" w:space="0"/>
            </w:tcBorders>
            <w:shd w:val="clear" w:color="000000" w:fill="FFFFFF"/>
            <w:tcMar>
              <w:left w:w="15" w:type="dxa"/>
              <w:right w:w="15" w:type="dxa"/>
            </w:tcMar>
            <w:vAlign w:val="center"/>
          </w:tcPr>
          <w:p>
            <w:pPr>
              <w:wordWrap w:val="0"/>
              <w:jc w:val="center"/>
              <w:rPr>
                <w:rFonts w:ascii="宋体" w:hAnsi="宋体"/>
                <w:color w:val="000000"/>
                <w:sz w:val="20"/>
                <w:szCs w:val="20"/>
              </w:rPr>
            </w:pPr>
            <w:r>
              <w:rPr>
                <w:rFonts w:ascii="Calibri" w:hAnsi="宋体"/>
                <w:color w:val="000000"/>
                <w:sz w:val="20"/>
                <w:szCs w:val="20"/>
              </w:rPr>
              <w:t>合价</w:t>
            </w: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11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11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11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11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11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11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11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11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11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11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11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11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11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11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11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11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11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11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11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11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24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11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r>
              <w:rPr>
                <w:rFonts w:hint="eastAsia" w:ascii="宋体" w:hAnsi="宋体"/>
                <w:color w:val="000000"/>
                <w:sz w:val="18"/>
                <w:szCs w:val="18"/>
              </w:rPr>
              <w:t xml:space="preserve"> </w:t>
            </w:r>
            <w:r>
              <w:rPr>
                <w:rFonts w:ascii="宋体" w:hAnsi="宋体"/>
                <w:color w:val="000000"/>
                <w:sz w:val="18"/>
                <w:szCs w:val="18"/>
              </w:rPr>
              <w:t xml:space="preserve">   </w:t>
            </w:r>
          </w:p>
        </w:tc>
        <w:tc>
          <w:tcPr>
            <w:tcW w:w="24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11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r>
      <w:tr>
        <w:tblPrEx>
          <w:tblCellMar>
            <w:top w:w="0" w:type="dxa"/>
            <w:left w:w="0" w:type="dxa"/>
            <w:bottom w:w="0" w:type="dxa"/>
            <w:right w:w="0" w:type="dxa"/>
          </w:tblCellMar>
        </w:tblPrEx>
        <w:trPr>
          <w:trHeight w:val="454" w:hRule="atLeast"/>
          <w:jc w:val="center"/>
        </w:trPr>
        <w:tc>
          <w:tcPr>
            <w:tcW w:w="737" w:type="dxa"/>
            <w:tcBorders>
              <w:top w:val="nil"/>
              <w:left w:val="single" w:color="auto" w:sz="4" w:space="0"/>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r>
              <w:rPr>
                <w:rFonts w:hint="eastAsia" w:ascii="宋体" w:hAnsi="宋体"/>
                <w:color w:val="000000"/>
                <w:sz w:val="18"/>
                <w:szCs w:val="18"/>
              </w:rPr>
              <w:t xml:space="preserve"> </w:t>
            </w:r>
            <w:r>
              <w:rPr>
                <w:rFonts w:ascii="宋体" w:hAnsi="宋体"/>
                <w:color w:val="000000"/>
                <w:sz w:val="18"/>
                <w:szCs w:val="18"/>
              </w:rPr>
              <w:t xml:space="preserve">   </w:t>
            </w:r>
          </w:p>
        </w:tc>
        <w:tc>
          <w:tcPr>
            <w:tcW w:w="24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1701"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rPr>
                <w:rFonts w:ascii="宋体" w:hAnsi="宋体"/>
                <w:color w:val="000000"/>
                <w:sz w:val="18"/>
                <w:szCs w:val="18"/>
              </w:rPr>
            </w:pPr>
          </w:p>
        </w:tc>
        <w:tc>
          <w:tcPr>
            <w:tcW w:w="573"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709"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c>
          <w:tcPr>
            <w:tcW w:w="11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r>
      <w:tr>
        <w:tblPrEx>
          <w:tblCellMar>
            <w:top w:w="0" w:type="dxa"/>
            <w:left w:w="0" w:type="dxa"/>
            <w:bottom w:w="0" w:type="dxa"/>
            <w:right w:w="0" w:type="dxa"/>
          </w:tblCellMar>
        </w:tblPrEx>
        <w:trPr>
          <w:trHeight w:val="454" w:hRule="atLeast"/>
          <w:jc w:val="center"/>
        </w:trPr>
        <w:tc>
          <w:tcPr>
            <w:tcW w:w="6839" w:type="dxa"/>
            <w:gridSpan w:val="6"/>
            <w:tcBorders>
              <w:top w:val="nil"/>
              <w:left w:val="single" w:color="auto" w:sz="4" w:space="0"/>
              <w:bottom w:val="single" w:color="auto" w:sz="4" w:space="0"/>
              <w:right w:val="single" w:color="auto" w:sz="4" w:space="0"/>
            </w:tcBorders>
            <w:shd w:val="clear" w:color="000000" w:fill="FFFFFF"/>
            <w:tcMar>
              <w:left w:w="15" w:type="dxa"/>
              <w:right w:w="15" w:type="dxa"/>
            </w:tcMar>
            <w:vAlign w:val="center"/>
          </w:tcPr>
          <w:p>
            <w:pPr>
              <w:jc w:val="center"/>
              <w:rPr>
                <w:rFonts w:ascii="宋体" w:hAnsi="宋体"/>
                <w:color w:val="000000"/>
                <w:sz w:val="18"/>
                <w:szCs w:val="18"/>
              </w:rPr>
            </w:pPr>
            <w:r>
              <w:rPr>
                <w:rFonts w:ascii="Calibri" w:hAnsi="宋体"/>
                <w:color w:val="000000"/>
                <w:sz w:val="20"/>
                <w:szCs w:val="20"/>
              </w:rPr>
              <w:t>本页小计</w:t>
            </w:r>
          </w:p>
        </w:tc>
        <w:tc>
          <w:tcPr>
            <w:tcW w:w="11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r>
      <w:tr>
        <w:tblPrEx>
          <w:tblCellMar>
            <w:top w:w="0" w:type="dxa"/>
            <w:left w:w="0" w:type="dxa"/>
            <w:bottom w:w="0" w:type="dxa"/>
            <w:right w:w="0" w:type="dxa"/>
          </w:tblCellMar>
        </w:tblPrEx>
        <w:trPr>
          <w:trHeight w:val="454" w:hRule="atLeast"/>
          <w:jc w:val="center"/>
        </w:trPr>
        <w:tc>
          <w:tcPr>
            <w:tcW w:w="6839" w:type="dxa"/>
            <w:gridSpan w:val="6"/>
            <w:tcBorders>
              <w:top w:val="nil"/>
              <w:left w:val="single" w:color="auto" w:sz="4" w:space="0"/>
              <w:bottom w:val="single" w:color="auto" w:sz="4" w:space="0"/>
              <w:right w:val="single" w:color="auto" w:sz="4" w:space="0"/>
            </w:tcBorders>
            <w:shd w:val="clear" w:color="000000" w:fill="FFFFFF"/>
            <w:tcMar>
              <w:left w:w="15" w:type="dxa"/>
              <w:right w:w="15" w:type="dxa"/>
            </w:tcMar>
            <w:vAlign w:val="center"/>
          </w:tcPr>
          <w:p>
            <w:pPr>
              <w:wordWrap w:val="0"/>
              <w:jc w:val="center"/>
              <w:rPr>
                <w:rFonts w:ascii="宋体" w:hAnsi="宋体"/>
                <w:color w:val="000000"/>
                <w:sz w:val="18"/>
                <w:szCs w:val="18"/>
              </w:rPr>
            </w:pPr>
            <w:r>
              <w:rPr>
                <w:rFonts w:ascii="Calibri" w:hAnsi="宋体"/>
                <w:color w:val="000000"/>
                <w:sz w:val="18"/>
                <w:szCs w:val="18"/>
              </w:rPr>
              <w:t>合  计</w:t>
            </w:r>
          </w:p>
        </w:tc>
        <w:tc>
          <w:tcPr>
            <w:tcW w:w="1110" w:type="dxa"/>
            <w:tcBorders>
              <w:top w:val="nil"/>
              <w:left w:val="nil"/>
              <w:bottom w:val="single" w:color="auto" w:sz="4" w:space="0"/>
              <w:right w:val="single" w:color="auto" w:sz="4" w:space="0"/>
            </w:tcBorders>
            <w:shd w:val="clear" w:color="000000" w:fill="FFFFFF"/>
            <w:tcMar>
              <w:left w:w="15" w:type="dxa"/>
              <w:right w:w="15" w:type="dxa"/>
            </w:tcMar>
            <w:vAlign w:val="center"/>
          </w:tcPr>
          <w:p>
            <w:pPr>
              <w:wordWrap w:val="0"/>
              <w:jc w:val="right"/>
              <w:rPr>
                <w:rFonts w:ascii="宋体" w:hAnsi="宋体"/>
                <w:color w:val="000000"/>
                <w:sz w:val="18"/>
                <w:szCs w:val="18"/>
              </w:rPr>
            </w:pPr>
          </w:p>
        </w:tc>
      </w:tr>
      <w:bookmarkEnd w:id="37"/>
      <w:bookmarkEnd w:id="38"/>
      <w:bookmarkEnd w:id="39"/>
      <w:bookmarkEnd w:id="40"/>
      <w:bookmarkEnd w:id="41"/>
      <w:bookmarkEnd w:id="42"/>
      <w:bookmarkEnd w:id="43"/>
    </w:tbl>
    <w:p>
      <w:pPr>
        <w:rPr>
          <w:sz w:val="24"/>
        </w:rPr>
      </w:pPr>
    </w:p>
    <w:p>
      <w:pPr>
        <w:rPr>
          <w:color w:val="FF0000"/>
        </w:rPr>
      </w:pPr>
    </w:p>
    <w:p>
      <w:pPr>
        <w:pStyle w:val="3"/>
        <w:jc w:val="center"/>
        <w:rPr>
          <w:rFonts w:ascii="黑体" w:eastAsia="黑体"/>
          <w:b w:val="0"/>
          <w:kern w:val="0"/>
          <w:sz w:val="24"/>
        </w:rPr>
      </w:pPr>
      <w:r>
        <w:rPr>
          <w:rFonts w:hint="eastAsia" w:ascii="黑体" w:eastAsia="黑体"/>
          <w:b w:val="0"/>
          <w:kern w:val="0"/>
          <w:sz w:val="24"/>
        </w:rPr>
        <w:t>三</w:t>
      </w:r>
      <w:r>
        <w:rPr>
          <w:rFonts w:ascii="黑体" w:eastAsia="黑体"/>
          <w:b w:val="0"/>
          <w:kern w:val="0"/>
          <w:sz w:val="24"/>
        </w:rPr>
        <w:t>、</w:t>
      </w:r>
      <w:r>
        <w:rPr>
          <w:rFonts w:hint="eastAsia" w:ascii="黑体" w:eastAsia="黑体"/>
          <w:b w:val="0"/>
          <w:kern w:val="0"/>
          <w:sz w:val="24"/>
        </w:rPr>
        <w:t>拟采用</w:t>
      </w:r>
      <w:r>
        <w:rPr>
          <w:rFonts w:ascii="黑体" w:eastAsia="黑体"/>
          <w:b w:val="0"/>
          <w:kern w:val="0"/>
          <w:sz w:val="24"/>
        </w:rPr>
        <w:t>材料品牌型号</w:t>
      </w:r>
      <w:r>
        <w:rPr>
          <w:rFonts w:hint="eastAsia" w:ascii="黑体" w:eastAsia="黑体"/>
          <w:b w:val="0"/>
          <w:kern w:val="0"/>
          <w:sz w:val="24"/>
        </w:rPr>
        <w:t>表</w:t>
      </w:r>
    </w:p>
    <w:bookmarkEnd w:id="44"/>
    <w:bookmarkEnd w:id="45"/>
    <w:bookmarkEnd w:id="46"/>
    <w:bookmarkEnd w:id="47"/>
    <w:bookmarkEnd w:id="48"/>
    <w:bookmarkEnd w:id="49"/>
    <w:bookmarkEnd w:id="50"/>
    <w:bookmarkEnd w:id="51"/>
    <w:p>
      <w:pPr>
        <w:autoSpaceDE w:val="0"/>
        <w:autoSpaceDN w:val="0"/>
        <w:adjustRightInd w:val="0"/>
        <w:jc w:val="center"/>
        <w:rPr>
          <w:rFonts w:ascii="华文新魏" w:hAnsi="MS Sans Serif" w:eastAsia="华文新魏"/>
          <w:b/>
          <w:bCs/>
          <w:kern w:val="0"/>
          <w:sz w:val="48"/>
          <w:szCs w:val="46"/>
        </w:rPr>
      </w:pPr>
      <w:r>
        <w:rPr>
          <w:rFonts w:hint="eastAsia" w:ascii="华文新魏" w:hAnsi="MS Sans Serif" w:eastAsia="华文新魏"/>
          <w:b/>
          <w:bCs/>
          <w:kern w:val="0"/>
          <w:sz w:val="48"/>
          <w:szCs w:val="46"/>
        </w:rPr>
        <w:t>拟采用</w:t>
      </w:r>
      <w:r>
        <w:rPr>
          <w:rFonts w:ascii="华文新魏" w:hAnsi="MS Sans Serif" w:eastAsia="华文新魏"/>
          <w:b/>
          <w:bCs/>
          <w:kern w:val="0"/>
          <w:sz w:val="48"/>
          <w:szCs w:val="46"/>
        </w:rPr>
        <w:t>材料品牌型号</w:t>
      </w:r>
      <w:r>
        <w:rPr>
          <w:rFonts w:hint="eastAsia" w:ascii="华文新魏" w:hAnsi="MS Sans Serif" w:eastAsia="华文新魏"/>
          <w:b/>
          <w:bCs/>
          <w:kern w:val="0"/>
          <w:sz w:val="48"/>
          <w:szCs w:val="46"/>
        </w:rPr>
        <w:t>表</w:t>
      </w:r>
    </w:p>
    <w:tbl>
      <w:tblPr>
        <w:tblStyle w:val="5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1"/>
        <w:gridCol w:w="2468"/>
        <w:gridCol w:w="2470"/>
        <w:gridCol w:w="2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7" w:type="pct"/>
          </w:tcPr>
          <w:p>
            <w:pPr>
              <w:jc w:val="center"/>
              <w:rPr>
                <w:rFonts w:ascii="宋体" w:hAnsi="宋体" w:cs="宋体"/>
                <w:color w:val="000000"/>
                <w:kern w:val="0"/>
                <w:sz w:val="20"/>
                <w:szCs w:val="20"/>
              </w:rPr>
            </w:pPr>
            <w:r>
              <w:rPr>
                <w:rFonts w:hint="eastAsia" w:ascii="宋体" w:hAnsi="宋体" w:cs="宋体"/>
                <w:color w:val="000000"/>
                <w:kern w:val="0"/>
                <w:sz w:val="20"/>
                <w:szCs w:val="20"/>
              </w:rPr>
              <w:t>序号</w:t>
            </w:r>
          </w:p>
        </w:tc>
        <w:tc>
          <w:tcPr>
            <w:tcW w:w="1447" w:type="pct"/>
          </w:tcPr>
          <w:p>
            <w:pPr>
              <w:jc w:val="center"/>
              <w:rPr>
                <w:rFonts w:ascii="宋体" w:hAnsi="宋体" w:cs="宋体"/>
                <w:color w:val="000000"/>
                <w:kern w:val="0"/>
                <w:sz w:val="20"/>
                <w:szCs w:val="20"/>
              </w:rPr>
            </w:pPr>
            <w:r>
              <w:rPr>
                <w:rFonts w:hint="eastAsia" w:ascii="宋体" w:hAnsi="宋体" w:cs="宋体"/>
                <w:color w:val="000000"/>
                <w:kern w:val="0"/>
                <w:sz w:val="20"/>
                <w:szCs w:val="20"/>
              </w:rPr>
              <w:t>材料名称</w:t>
            </w:r>
          </w:p>
        </w:tc>
        <w:tc>
          <w:tcPr>
            <w:tcW w:w="1448" w:type="pct"/>
          </w:tcPr>
          <w:p>
            <w:pPr>
              <w:jc w:val="center"/>
              <w:rPr>
                <w:rFonts w:ascii="宋体" w:hAnsi="宋体" w:cs="宋体"/>
                <w:color w:val="000000"/>
                <w:kern w:val="0"/>
                <w:sz w:val="20"/>
                <w:szCs w:val="20"/>
              </w:rPr>
            </w:pPr>
            <w:r>
              <w:rPr>
                <w:rFonts w:hint="eastAsia" w:ascii="宋体" w:hAnsi="宋体" w:cs="宋体"/>
                <w:color w:val="000000"/>
                <w:kern w:val="0"/>
                <w:sz w:val="20"/>
                <w:szCs w:val="20"/>
              </w:rPr>
              <w:t>品牌、</w:t>
            </w:r>
            <w:r>
              <w:rPr>
                <w:rFonts w:ascii="宋体" w:hAnsi="宋体" w:cs="宋体"/>
                <w:color w:val="000000"/>
                <w:kern w:val="0"/>
                <w:sz w:val="20"/>
                <w:szCs w:val="20"/>
              </w:rPr>
              <w:t>规格、型号</w:t>
            </w:r>
          </w:p>
        </w:tc>
        <w:tc>
          <w:tcPr>
            <w:tcW w:w="1448" w:type="pct"/>
          </w:tcPr>
          <w:p>
            <w:pPr>
              <w:jc w:val="center"/>
              <w:rPr>
                <w:rFonts w:ascii="宋体" w:hAnsi="宋体" w:cs="宋体"/>
                <w:color w:val="000000"/>
                <w:kern w:val="0"/>
                <w:sz w:val="20"/>
                <w:szCs w:val="20"/>
              </w:rPr>
            </w:pPr>
            <w:r>
              <w:rPr>
                <w:rFonts w:hint="eastAsia" w:ascii="宋体" w:hAnsi="宋体" w:cs="宋体"/>
                <w:color w:val="000000"/>
                <w:kern w:val="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7" w:type="pct"/>
          </w:tcPr>
          <w:p/>
        </w:tc>
        <w:tc>
          <w:tcPr>
            <w:tcW w:w="1447" w:type="pct"/>
          </w:tcPr>
          <w:p/>
        </w:tc>
        <w:tc>
          <w:tcPr>
            <w:tcW w:w="1448" w:type="pct"/>
          </w:tcPr>
          <w:p/>
        </w:tc>
        <w:tc>
          <w:tcPr>
            <w:tcW w:w="1448" w:type="pct"/>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7" w:type="pct"/>
          </w:tcPr>
          <w:p/>
        </w:tc>
        <w:tc>
          <w:tcPr>
            <w:tcW w:w="1447" w:type="pct"/>
          </w:tcPr>
          <w:p/>
        </w:tc>
        <w:tc>
          <w:tcPr>
            <w:tcW w:w="1448" w:type="pct"/>
          </w:tcPr>
          <w:p/>
        </w:tc>
        <w:tc>
          <w:tcPr>
            <w:tcW w:w="1448" w:type="pct"/>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7" w:type="pct"/>
          </w:tcPr>
          <w:p/>
        </w:tc>
        <w:tc>
          <w:tcPr>
            <w:tcW w:w="1447" w:type="pct"/>
          </w:tcPr>
          <w:p/>
        </w:tc>
        <w:tc>
          <w:tcPr>
            <w:tcW w:w="1448" w:type="pct"/>
          </w:tcPr>
          <w:p/>
        </w:tc>
        <w:tc>
          <w:tcPr>
            <w:tcW w:w="1448" w:type="pct"/>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7" w:type="pct"/>
          </w:tcPr>
          <w:p/>
        </w:tc>
        <w:tc>
          <w:tcPr>
            <w:tcW w:w="1447" w:type="pct"/>
          </w:tcPr>
          <w:p/>
        </w:tc>
        <w:tc>
          <w:tcPr>
            <w:tcW w:w="1448" w:type="pct"/>
          </w:tcPr>
          <w:p/>
        </w:tc>
        <w:tc>
          <w:tcPr>
            <w:tcW w:w="1448" w:type="pct"/>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7" w:type="pct"/>
          </w:tcPr>
          <w:p/>
        </w:tc>
        <w:tc>
          <w:tcPr>
            <w:tcW w:w="1447" w:type="pct"/>
          </w:tcPr>
          <w:p/>
        </w:tc>
        <w:tc>
          <w:tcPr>
            <w:tcW w:w="1448" w:type="pct"/>
          </w:tcPr>
          <w:p/>
        </w:tc>
        <w:tc>
          <w:tcPr>
            <w:tcW w:w="1448" w:type="pct"/>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7" w:type="pct"/>
          </w:tcPr>
          <w:p/>
        </w:tc>
        <w:tc>
          <w:tcPr>
            <w:tcW w:w="1447" w:type="pct"/>
          </w:tcPr>
          <w:p/>
        </w:tc>
        <w:tc>
          <w:tcPr>
            <w:tcW w:w="1448" w:type="pct"/>
          </w:tcPr>
          <w:p/>
        </w:tc>
        <w:tc>
          <w:tcPr>
            <w:tcW w:w="1448" w:type="pct"/>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7" w:type="pct"/>
          </w:tcPr>
          <w:p/>
        </w:tc>
        <w:tc>
          <w:tcPr>
            <w:tcW w:w="1447" w:type="pct"/>
          </w:tcPr>
          <w:p/>
        </w:tc>
        <w:tc>
          <w:tcPr>
            <w:tcW w:w="1448" w:type="pct"/>
          </w:tcPr>
          <w:p/>
        </w:tc>
        <w:tc>
          <w:tcPr>
            <w:tcW w:w="1448" w:type="pct"/>
          </w:tcPr>
          <w:p/>
        </w:tc>
      </w:tr>
    </w:tbl>
    <w:p>
      <w:pPr>
        <w:jc w:val="left"/>
        <w:rPr>
          <w:rFonts w:ascii="Calibri" w:hAnsi="宋体"/>
          <w:color w:val="FF0000"/>
          <w:sz w:val="28"/>
          <w:szCs w:val="30"/>
        </w:rPr>
      </w:pPr>
      <w:r>
        <w:rPr>
          <w:rFonts w:hint="eastAsia" w:ascii="Calibri" w:hAnsi="宋体"/>
          <w:color w:val="FF0000"/>
          <w:sz w:val="28"/>
          <w:szCs w:val="30"/>
        </w:rPr>
        <w:t>备注：分部分项工程量清单与计价表、主要材料参考品牌中</w:t>
      </w:r>
      <w:r>
        <w:rPr>
          <w:rFonts w:ascii="Calibri" w:hAnsi="宋体"/>
          <w:color w:val="FF0000"/>
          <w:sz w:val="28"/>
          <w:szCs w:val="30"/>
        </w:rPr>
        <w:t>出现的材料品牌都</w:t>
      </w:r>
      <w:r>
        <w:rPr>
          <w:rFonts w:hint="eastAsia" w:ascii="Calibri" w:hAnsi="宋体"/>
          <w:color w:val="FF0000"/>
          <w:sz w:val="28"/>
          <w:szCs w:val="30"/>
        </w:rPr>
        <w:t>均为</w:t>
      </w:r>
      <w:r>
        <w:rPr>
          <w:rFonts w:ascii="Calibri" w:hAnsi="宋体"/>
          <w:color w:val="FF0000"/>
          <w:sz w:val="28"/>
          <w:szCs w:val="30"/>
        </w:rPr>
        <w:t>参考品牌，不</w:t>
      </w:r>
      <w:r>
        <w:rPr>
          <w:rFonts w:hint="eastAsia" w:ascii="Calibri" w:hAnsi="宋体"/>
          <w:color w:val="FF0000"/>
          <w:sz w:val="28"/>
          <w:szCs w:val="30"/>
        </w:rPr>
        <w:t>作为</w:t>
      </w:r>
      <w:r>
        <w:rPr>
          <w:rFonts w:ascii="Calibri" w:hAnsi="宋体"/>
          <w:color w:val="FF0000"/>
          <w:sz w:val="28"/>
          <w:szCs w:val="30"/>
        </w:rPr>
        <w:t>对供应商投标采用材料品牌的限制</w:t>
      </w:r>
      <w:r>
        <w:rPr>
          <w:rFonts w:hint="eastAsia" w:ascii="Calibri" w:hAnsi="宋体"/>
          <w:color w:val="FF0000"/>
          <w:sz w:val="28"/>
          <w:szCs w:val="30"/>
        </w:rPr>
        <w:t>，</w:t>
      </w:r>
      <w:r>
        <w:rPr>
          <w:rFonts w:ascii="Calibri" w:hAnsi="宋体"/>
          <w:color w:val="FF0000"/>
          <w:sz w:val="28"/>
          <w:szCs w:val="30"/>
        </w:rPr>
        <w:t>仅作为衡量供应商投标采用材料</w:t>
      </w:r>
      <w:r>
        <w:rPr>
          <w:rFonts w:hint="eastAsia" w:ascii="Calibri" w:hAnsi="宋体"/>
          <w:color w:val="FF0000"/>
          <w:sz w:val="28"/>
          <w:szCs w:val="30"/>
        </w:rPr>
        <w:t>品质是否</w:t>
      </w:r>
      <w:r>
        <w:rPr>
          <w:rFonts w:ascii="Calibri" w:hAnsi="宋体"/>
          <w:color w:val="FF0000"/>
          <w:sz w:val="28"/>
          <w:szCs w:val="30"/>
        </w:rPr>
        <w:t>满足</w:t>
      </w:r>
      <w:r>
        <w:rPr>
          <w:rFonts w:hint="eastAsia" w:ascii="Calibri" w:hAnsi="宋体"/>
          <w:color w:val="FF0000"/>
          <w:sz w:val="28"/>
          <w:szCs w:val="30"/>
        </w:rPr>
        <w:t>采购</w:t>
      </w:r>
      <w:r>
        <w:rPr>
          <w:rFonts w:ascii="Calibri" w:hAnsi="宋体"/>
          <w:color w:val="FF0000"/>
          <w:sz w:val="28"/>
          <w:szCs w:val="30"/>
        </w:rPr>
        <w:t>要求的标准</w:t>
      </w:r>
      <w:r>
        <w:rPr>
          <w:rFonts w:hint="eastAsia" w:ascii="Calibri" w:hAnsi="宋体"/>
          <w:color w:val="FF0000"/>
          <w:sz w:val="28"/>
          <w:szCs w:val="30"/>
        </w:rPr>
        <w:t>，</w:t>
      </w:r>
      <w:r>
        <w:rPr>
          <w:rFonts w:ascii="Calibri" w:hAnsi="宋体"/>
          <w:color w:val="FF0000"/>
          <w:sz w:val="28"/>
          <w:szCs w:val="30"/>
        </w:rPr>
        <w:t>供应商</w:t>
      </w:r>
      <w:r>
        <w:rPr>
          <w:rFonts w:hint="eastAsia" w:ascii="Calibri" w:hAnsi="宋体"/>
          <w:color w:val="FF0000"/>
          <w:sz w:val="28"/>
          <w:szCs w:val="30"/>
        </w:rPr>
        <w:t>拟</w:t>
      </w:r>
      <w:r>
        <w:rPr>
          <w:rFonts w:ascii="Calibri" w:hAnsi="宋体"/>
          <w:color w:val="FF0000"/>
          <w:sz w:val="28"/>
          <w:szCs w:val="30"/>
        </w:rPr>
        <w:t>采用材料</w:t>
      </w:r>
      <w:r>
        <w:rPr>
          <w:rFonts w:hint="eastAsia" w:ascii="Calibri" w:hAnsi="宋体"/>
          <w:color w:val="FF0000"/>
          <w:sz w:val="28"/>
          <w:szCs w:val="30"/>
        </w:rPr>
        <w:t>的</w:t>
      </w:r>
      <w:r>
        <w:rPr>
          <w:rFonts w:ascii="Calibri" w:hAnsi="宋体"/>
          <w:color w:val="FF0000"/>
          <w:sz w:val="28"/>
          <w:szCs w:val="30"/>
        </w:rPr>
        <w:t>品质须</w:t>
      </w:r>
      <w:r>
        <w:rPr>
          <w:rFonts w:hint="eastAsia" w:ascii="Calibri" w:hAnsi="宋体"/>
          <w:color w:val="FF0000"/>
          <w:sz w:val="28"/>
          <w:szCs w:val="30"/>
        </w:rPr>
        <w:t>与</w:t>
      </w:r>
      <w:r>
        <w:rPr>
          <w:rFonts w:ascii="Calibri" w:hAnsi="宋体"/>
          <w:color w:val="FF0000"/>
          <w:sz w:val="28"/>
          <w:szCs w:val="30"/>
        </w:rPr>
        <w:t>招标文件参考品牌相</w:t>
      </w:r>
      <w:r>
        <w:rPr>
          <w:rFonts w:hint="eastAsia" w:ascii="Calibri" w:hAnsi="宋体"/>
          <w:color w:val="FF0000"/>
          <w:sz w:val="28"/>
          <w:szCs w:val="30"/>
        </w:rPr>
        <w:t>当</w:t>
      </w:r>
      <w:r>
        <w:rPr>
          <w:rFonts w:ascii="Calibri" w:hAnsi="宋体"/>
          <w:color w:val="FF0000"/>
          <w:sz w:val="28"/>
          <w:szCs w:val="30"/>
        </w:rPr>
        <w:t>或优于参考品牌。</w:t>
      </w:r>
      <w:r>
        <w:rPr>
          <w:rFonts w:hint="eastAsia" w:ascii="Calibri" w:hAnsi="宋体"/>
          <w:color w:val="FF0000"/>
          <w:sz w:val="28"/>
          <w:szCs w:val="30"/>
        </w:rPr>
        <w:t>供应商</w:t>
      </w:r>
      <w:r>
        <w:rPr>
          <w:rFonts w:ascii="Calibri" w:hAnsi="宋体"/>
          <w:color w:val="FF0000"/>
          <w:sz w:val="28"/>
          <w:szCs w:val="30"/>
        </w:rPr>
        <w:t>投标材料是否满足招标文件要求由评标委员会评定。</w:t>
      </w:r>
    </w:p>
    <w:p>
      <w:pPr>
        <w:jc w:val="left"/>
        <w:rPr>
          <w:rFonts w:ascii="仿宋" w:eastAsia="仿宋"/>
          <w:b/>
          <w:color w:val="FF0000"/>
          <w:sz w:val="30"/>
          <w:szCs w:val="30"/>
        </w:rPr>
      </w:pPr>
      <w:r>
        <w:rPr>
          <w:rFonts w:hint="eastAsia" w:ascii="仿宋" w:eastAsia="仿宋"/>
          <w:b/>
          <w:color w:val="FF0000"/>
          <w:sz w:val="30"/>
          <w:szCs w:val="30"/>
        </w:rPr>
        <w:t>投标</w:t>
      </w:r>
      <w:r>
        <w:rPr>
          <w:rFonts w:ascii="仿宋" w:eastAsia="仿宋"/>
          <w:b/>
          <w:color w:val="FF0000"/>
          <w:sz w:val="30"/>
          <w:szCs w:val="30"/>
        </w:rPr>
        <w:t>人</w:t>
      </w:r>
      <w:r>
        <w:rPr>
          <w:rFonts w:hint="eastAsia" w:ascii="仿宋" w:eastAsia="仿宋"/>
          <w:b/>
          <w:color w:val="FF0000"/>
          <w:sz w:val="30"/>
          <w:szCs w:val="30"/>
        </w:rPr>
        <w:t>提交投标文件时，</w:t>
      </w:r>
      <w:r>
        <w:rPr>
          <w:rFonts w:ascii="仿宋" w:eastAsia="仿宋"/>
          <w:b/>
          <w:color w:val="FF0000"/>
          <w:sz w:val="30"/>
          <w:szCs w:val="30"/>
        </w:rPr>
        <w:t>必须填写此表</w:t>
      </w:r>
      <w:r>
        <w:rPr>
          <w:rFonts w:hint="eastAsia" w:ascii="仿宋" w:eastAsia="仿宋"/>
          <w:b/>
          <w:color w:val="FF0000"/>
          <w:sz w:val="30"/>
          <w:szCs w:val="30"/>
        </w:rPr>
        <w:t>。备注栏</w:t>
      </w:r>
      <w:r>
        <w:rPr>
          <w:rFonts w:ascii="仿宋" w:eastAsia="仿宋"/>
          <w:b/>
          <w:color w:val="FF0000"/>
          <w:sz w:val="30"/>
          <w:szCs w:val="30"/>
        </w:rPr>
        <w:t>可不填写。</w:t>
      </w:r>
    </w:p>
    <w:p>
      <w:pPr>
        <w:jc w:val="left"/>
        <w:rPr>
          <w:rFonts w:ascii="仿宋" w:eastAsia="仿宋"/>
          <w:b/>
          <w:color w:val="FF0000"/>
          <w:sz w:val="30"/>
          <w:szCs w:val="30"/>
        </w:rPr>
      </w:pPr>
    </w:p>
    <w:p>
      <w:pPr>
        <w:jc w:val="center"/>
        <w:rPr>
          <w:color w:val="FF0000"/>
          <w:sz w:val="24"/>
        </w:rPr>
      </w:pPr>
      <w:r>
        <w:rPr>
          <w:rFonts w:hint="eastAsia"/>
          <w:color w:val="FF0000"/>
        </w:rPr>
        <w:t>其余部分投标文件格式由投标人自定</w:t>
      </w:r>
    </w:p>
    <w:p>
      <w:pPr>
        <w:rPr>
          <w:color w:val="FF0000"/>
          <w:sz w:val="24"/>
        </w:rPr>
      </w:pPr>
    </w:p>
    <w:p>
      <w:pPr>
        <w:pStyle w:val="5"/>
        <w:rPr>
          <w:kern w:val="2"/>
        </w:rPr>
      </w:pPr>
      <w:r>
        <w:br w:type="page"/>
      </w:r>
      <w:r>
        <w:rPr>
          <w:rFonts w:hint="eastAsia" w:ascii="华文新魏" w:hAnsi="华文新魏" w:eastAsia="华文新魏" w:cs="华文新魏"/>
          <w:kern w:val="2"/>
          <w:sz w:val="32"/>
          <w:szCs w:val="32"/>
        </w:rPr>
        <w:t>第五章  采购履约情况反馈表</w:t>
      </w:r>
    </w:p>
    <w:p>
      <w:pPr>
        <w:spacing w:line="240" w:lineRule="atLeast"/>
        <w:rPr>
          <w:rFonts w:ascii="宋体" w:hAnsi="宋体"/>
          <w:b/>
          <w:szCs w:val="21"/>
        </w:rPr>
      </w:pPr>
      <w:r>
        <w:rPr>
          <w:rFonts w:hint="eastAsia" w:ascii="宋体" w:hAnsi="宋体"/>
          <w:b/>
          <w:szCs w:val="21"/>
        </w:rPr>
        <w:t>采购单位名称：                       联系人及电话：</w:t>
      </w:r>
    </w:p>
    <w:p>
      <w:pPr>
        <w:spacing w:line="60" w:lineRule="exact"/>
        <w:rPr>
          <w:rFonts w:ascii="宋体" w:hAnsi="宋体"/>
          <w:b/>
          <w:szCs w:val="21"/>
        </w:rPr>
      </w:pPr>
    </w:p>
    <w:tbl>
      <w:tblPr>
        <w:tblStyle w:val="54"/>
        <w:tblW w:w="8917"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842"/>
        <w:gridCol w:w="720"/>
        <w:gridCol w:w="720"/>
        <w:gridCol w:w="2520"/>
        <w:gridCol w:w="1980"/>
        <w:gridCol w:w="2135"/>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0" w:hRule="atLeast"/>
          <w:jc w:val="center"/>
        </w:trPr>
        <w:tc>
          <w:tcPr>
            <w:tcW w:w="2282" w:type="dxa"/>
            <w:gridSpan w:val="3"/>
            <w:vAlign w:val="center"/>
          </w:tcPr>
          <w:p>
            <w:pPr>
              <w:spacing w:line="240" w:lineRule="atLeast"/>
              <w:jc w:val="center"/>
              <w:rPr>
                <w:rFonts w:ascii="宋体" w:hAnsi="宋体"/>
                <w:szCs w:val="21"/>
              </w:rPr>
            </w:pPr>
            <w:r>
              <w:rPr>
                <w:rFonts w:hint="eastAsia" w:ascii="宋体" w:hAnsi="宋体"/>
                <w:szCs w:val="21"/>
              </w:rPr>
              <w:t>采购项目名称</w:t>
            </w:r>
          </w:p>
        </w:tc>
        <w:tc>
          <w:tcPr>
            <w:tcW w:w="2520" w:type="dxa"/>
            <w:vAlign w:val="center"/>
          </w:tcPr>
          <w:p>
            <w:pPr>
              <w:spacing w:line="240" w:lineRule="atLeast"/>
              <w:jc w:val="center"/>
              <w:rPr>
                <w:rFonts w:ascii="宋体" w:hAnsi="宋体"/>
                <w:szCs w:val="21"/>
              </w:rPr>
            </w:pPr>
          </w:p>
        </w:tc>
        <w:tc>
          <w:tcPr>
            <w:tcW w:w="1980" w:type="dxa"/>
            <w:vAlign w:val="center"/>
          </w:tcPr>
          <w:p>
            <w:pPr>
              <w:spacing w:line="240" w:lineRule="atLeast"/>
              <w:jc w:val="center"/>
              <w:rPr>
                <w:rFonts w:ascii="宋体" w:hAnsi="宋体"/>
                <w:szCs w:val="21"/>
              </w:rPr>
            </w:pPr>
            <w:r>
              <w:rPr>
                <w:rFonts w:hint="eastAsia" w:ascii="宋体" w:hAnsi="宋体"/>
                <w:szCs w:val="21"/>
              </w:rPr>
              <w:t>项目编号</w:t>
            </w:r>
          </w:p>
        </w:tc>
        <w:tc>
          <w:tcPr>
            <w:tcW w:w="2135" w:type="dxa"/>
            <w:vAlign w:val="center"/>
          </w:tcPr>
          <w:p>
            <w:pPr>
              <w:spacing w:line="240" w:lineRule="atLeast"/>
              <w:jc w:val="center"/>
              <w:rPr>
                <w:rFonts w:ascii="宋体" w:hAnsi="宋体"/>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61" w:hRule="atLeast"/>
          <w:jc w:val="center"/>
        </w:trPr>
        <w:tc>
          <w:tcPr>
            <w:tcW w:w="2282" w:type="dxa"/>
            <w:gridSpan w:val="3"/>
            <w:vAlign w:val="center"/>
          </w:tcPr>
          <w:p>
            <w:pPr>
              <w:spacing w:line="240" w:lineRule="atLeast"/>
              <w:jc w:val="center"/>
              <w:rPr>
                <w:rFonts w:ascii="宋体" w:hAnsi="宋体"/>
                <w:szCs w:val="21"/>
              </w:rPr>
            </w:pPr>
            <w:r>
              <w:rPr>
                <w:rFonts w:hint="eastAsia" w:ascii="宋体" w:hAnsi="宋体"/>
                <w:szCs w:val="21"/>
              </w:rPr>
              <w:t>中标供应商名称</w:t>
            </w:r>
          </w:p>
        </w:tc>
        <w:tc>
          <w:tcPr>
            <w:tcW w:w="2520" w:type="dxa"/>
            <w:vAlign w:val="center"/>
          </w:tcPr>
          <w:p>
            <w:pPr>
              <w:spacing w:line="240" w:lineRule="atLeast"/>
              <w:jc w:val="center"/>
              <w:rPr>
                <w:rFonts w:ascii="宋体" w:hAnsi="宋体"/>
                <w:szCs w:val="21"/>
              </w:rPr>
            </w:pPr>
          </w:p>
        </w:tc>
        <w:tc>
          <w:tcPr>
            <w:tcW w:w="1980" w:type="dxa"/>
            <w:vAlign w:val="center"/>
          </w:tcPr>
          <w:p>
            <w:pPr>
              <w:spacing w:line="240" w:lineRule="atLeast"/>
              <w:jc w:val="center"/>
              <w:rPr>
                <w:rFonts w:ascii="宋体" w:hAnsi="宋体"/>
                <w:szCs w:val="21"/>
              </w:rPr>
            </w:pPr>
            <w:r>
              <w:rPr>
                <w:rFonts w:hint="eastAsia" w:ascii="宋体" w:hAnsi="宋体"/>
                <w:szCs w:val="21"/>
              </w:rPr>
              <w:t>供应商</w:t>
            </w:r>
          </w:p>
          <w:p>
            <w:pPr>
              <w:spacing w:line="240" w:lineRule="atLeast"/>
              <w:jc w:val="center"/>
              <w:rPr>
                <w:rFonts w:ascii="宋体" w:hAnsi="宋体"/>
                <w:szCs w:val="21"/>
              </w:rPr>
            </w:pPr>
            <w:r>
              <w:rPr>
                <w:rFonts w:hint="eastAsia" w:ascii="宋体" w:hAnsi="宋体"/>
                <w:szCs w:val="21"/>
              </w:rPr>
              <w:t>联系人及电话</w:t>
            </w:r>
          </w:p>
        </w:tc>
        <w:tc>
          <w:tcPr>
            <w:tcW w:w="2135" w:type="dxa"/>
            <w:vAlign w:val="center"/>
          </w:tcPr>
          <w:p>
            <w:pPr>
              <w:spacing w:line="240" w:lineRule="atLeast"/>
              <w:jc w:val="center"/>
              <w:rPr>
                <w:rFonts w:ascii="宋体" w:hAnsi="宋体"/>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38" w:hRule="atLeast"/>
          <w:jc w:val="center"/>
        </w:trPr>
        <w:tc>
          <w:tcPr>
            <w:tcW w:w="2282" w:type="dxa"/>
            <w:gridSpan w:val="3"/>
            <w:vAlign w:val="center"/>
          </w:tcPr>
          <w:p>
            <w:pPr>
              <w:spacing w:line="240" w:lineRule="atLeast"/>
              <w:jc w:val="center"/>
              <w:rPr>
                <w:rFonts w:ascii="宋体" w:hAnsi="宋体"/>
                <w:szCs w:val="21"/>
              </w:rPr>
            </w:pPr>
            <w:r>
              <w:rPr>
                <w:rFonts w:hint="eastAsia" w:ascii="宋体" w:hAnsi="宋体"/>
                <w:szCs w:val="21"/>
              </w:rPr>
              <w:t>中标金额</w:t>
            </w:r>
          </w:p>
        </w:tc>
        <w:tc>
          <w:tcPr>
            <w:tcW w:w="2520" w:type="dxa"/>
            <w:vAlign w:val="center"/>
          </w:tcPr>
          <w:p>
            <w:pPr>
              <w:spacing w:line="240" w:lineRule="atLeast"/>
              <w:jc w:val="center"/>
              <w:rPr>
                <w:rFonts w:ascii="宋体" w:hAnsi="宋体"/>
                <w:szCs w:val="21"/>
              </w:rPr>
            </w:pPr>
          </w:p>
        </w:tc>
        <w:tc>
          <w:tcPr>
            <w:tcW w:w="1980" w:type="dxa"/>
            <w:vAlign w:val="center"/>
          </w:tcPr>
          <w:p>
            <w:pPr>
              <w:spacing w:line="240" w:lineRule="atLeast"/>
              <w:jc w:val="center"/>
              <w:rPr>
                <w:rFonts w:ascii="宋体" w:hAnsi="宋体"/>
                <w:szCs w:val="21"/>
              </w:rPr>
            </w:pPr>
            <w:r>
              <w:rPr>
                <w:rFonts w:hint="eastAsia" w:ascii="宋体" w:hAnsi="宋体"/>
                <w:szCs w:val="21"/>
              </w:rPr>
              <w:t>合同履约时间</w:t>
            </w:r>
          </w:p>
        </w:tc>
        <w:tc>
          <w:tcPr>
            <w:tcW w:w="2135" w:type="dxa"/>
            <w:vAlign w:val="center"/>
          </w:tcPr>
          <w:p>
            <w:pPr>
              <w:spacing w:line="240" w:lineRule="atLeast"/>
              <w:rPr>
                <w:rFonts w:ascii="宋体" w:hAnsi="宋体"/>
                <w:szCs w:val="21"/>
              </w:rPr>
            </w:pPr>
            <w:r>
              <w:rPr>
                <w:rFonts w:hint="eastAsia" w:ascii="宋体" w:hAnsi="宋体"/>
                <w:szCs w:val="21"/>
              </w:rPr>
              <w:t>自       至</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44" w:hRule="atLeast"/>
          <w:jc w:val="center"/>
        </w:trPr>
        <w:tc>
          <w:tcPr>
            <w:tcW w:w="842" w:type="dxa"/>
            <w:vMerge w:val="restart"/>
            <w:vAlign w:val="center"/>
          </w:tcPr>
          <w:p>
            <w:pPr>
              <w:spacing w:line="240" w:lineRule="atLeast"/>
              <w:jc w:val="center"/>
              <w:rPr>
                <w:rFonts w:ascii="宋体" w:hAnsi="宋体"/>
                <w:b/>
                <w:szCs w:val="21"/>
              </w:rPr>
            </w:pPr>
            <w:r>
              <w:rPr>
                <w:rFonts w:hint="eastAsia" w:ascii="宋体" w:hAnsi="宋体"/>
                <w:b/>
                <w:szCs w:val="21"/>
              </w:rPr>
              <w:t>履约情况评价</w:t>
            </w:r>
          </w:p>
        </w:tc>
        <w:tc>
          <w:tcPr>
            <w:tcW w:w="1440" w:type="dxa"/>
            <w:gridSpan w:val="2"/>
            <w:tcBorders>
              <w:right w:val="single" w:color="auto" w:sz="4" w:space="0"/>
            </w:tcBorders>
            <w:vAlign w:val="center"/>
          </w:tcPr>
          <w:p>
            <w:pPr>
              <w:spacing w:line="240" w:lineRule="atLeast"/>
              <w:jc w:val="center"/>
              <w:rPr>
                <w:rFonts w:ascii="宋体" w:hAnsi="宋体"/>
                <w:szCs w:val="21"/>
              </w:rPr>
            </w:pPr>
            <w:r>
              <w:rPr>
                <w:rFonts w:hint="eastAsia" w:ascii="宋体" w:hAnsi="宋体"/>
                <w:szCs w:val="21"/>
              </w:rPr>
              <w:t>总体评价</w:t>
            </w:r>
          </w:p>
        </w:tc>
        <w:tc>
          <w:tcPr>
            <w:tcW w:w="6635" w:type="dxa"/>
            <w:gridSpan w:val="3"/>
            <w:tcBorders>
              <w:left w:val="single" w:color="auto" w:sz="4" w:space="0"/>
            </w:tcBorders>
            <w:vAlign w:val="center"/>
          </w:tcPr>
          <w:p>
            <w:pPr>
              <w:spacing w:line="240" w:lineRule="atLeast"/>
              <w:ind w:firstLine="105" w:firstLineChars="50"/>
              <w:jc w:val="center"/>
              <w:rPr>
                <w:rFonts w:ascii="宋体" w:hAnsi="宋体"/>
                <w:szCs w:val="21"/>
              </w:rPr>
            </w:pPr>
            <w:r>
              <w:rPr>
                <w:rFonts w:hint="eastAsia" w:ascii="宋体" w:hAnsi="宋体"/>
                <w:szCs w:val="21"/>
              </w:rPr>
              <w:t>□ 优          □ 良          □ 中           □ 差</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8" w:hRule="atLeast"/>
          <w:jc w:val="center"/>
        </w:trPr>
        <w:tc>
          <w:tcPr>
            <w:tcW w:w="842" w:type="dxa"/>
            <w:vMerge w:val="continue"/>
            <w:vAlign w:val="center"/>
          </w:tcPr>
          <w:p>
            <w:pPr>
              <w:spacing w:line="240" w:lineRule="atLeast"/>
              <w:jc w:val="center"/>
              <w:rPr>
                <w:rFonts w:ascii="宋体" w:hAnsi="宋体"/>
                <w:szCs w:val="21"/>
              </w:rPr>
            </w:pPr>
          </w:p>
        </w:tc>
        <w:tc>
          <w:tcPr>
            <w:tcW w:w="720" w:type="dxa"/>
            <w:vMerge w:val="restart"/>
            <w:tcBorders>
              <w:right w:val="single" w:color="auto" w:sz="4" w:space="0"/>
            </w:tcBorders>
            <w:vAlign w:val="center"/>
          </w:tcPr>
          <w:p>
            <w:pPr>
              <w:spacing w:line="240" w:lineRule="atLeast"/>
              <w:jc w:val="center"/>
              <w:rPr>
                <w:rFonts w:ascii="宋体" w:hAnsi="宋体"/>
                <w:szCs w:val="21"/>
              </w:rPr>
            </w:pPr>
            <w:r>
              <w:rPr>
                <w:rFonts w:hint="eastAsia" w:ascii="宋体" w:hAnsi="宋体"/>
                <w:szCs w:val="21"/>
              </w:rPr>
              <w:t>分项评价</w:t>
            </w:r>
          </w:p>
        </w:tc>
        <w:tc>
          <w:tcPr>
            <w:tcW w:w="720" w:type="dxa"/>
            <w:tcBorders>
              <w:left w:val="single" w:color="auto" w:sz="4" w:space="0"/>
              <w:right w:val="single" w:color="auto" w:sz="4" w:space="0"/>
            </w:tcBorders>
            <w:vAlign w:val="center"/>
          </w:tcPr>
          <w:p>
            <w:pPr>
              <w:spacing w:line="240" w:lineRule="atLeast"/>
              <w:jc w:val="center"/>
              <w:rPr>
                <w:rFonts w:ascii="宋体" w:hAnsi="宋体"/>
                <w:szCs w:val="21"/>
              </w:rPr>
            </w:pPr>
            <w:r>
              <w:rPr>
                <w:rFonts w:hint="eastAsia" w:ascii="宋体" w:hAnsi="宋体"/>
                <w:szCs w:val="21"/>
              </w:rPr>
              <w:t>质量方面</w:t>
            </w:r>
          </w:p>
        </w:tc>
        <w:tc>
          <w:tcPr>
            <w:tcW w:w="6635" w:type="dxa"/>
            <w:gridSpan w:val="3"/>
            <w:tcBorders>
              <w:left w:val="single" w:color="auto" w:sz="4" w:space="0"/>
            </w:tcBorders>
            <w:vAlign w:val="center"/>
          </w:tcPr>
          <w:p>
            <w:pPr>
              <w:spacing w:line="240" w:lineRule="atLeast"/>
              <w:jc w:val="center"/>
              <w:rPr>
                <w:rFonts w:ascii="宋体" w:hAnsi="宋体"/>
                <w:szCs w:val="21"/>
              </w:rPr>
            </w:pPr>
            <w:r>
              <w:rPr>
                <w:rFonts w:hint="eastAsia" w:ascii="宋体" w:hAnsi="宋体"/>
                <w:szCs w:val="21"/>
              </w:rPr>
              <w:t xml:space="preserve"> □ 优          □ 良          □ 中           □ 差</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8" w:hRule="atLeast"/>
          <w:jc w:val="center"/>
        </w:trPr>
        <w:tc>
          <w:tcPr>
            <w:tcW w:w="842" w:type="dxa"/>
            <w:vMerge w:val="continue"/>
            <w:vAlign w:val="center"/>
          </w:tcPr>
          <w:p>
            <w:pPr>
              <w:spacing w:line="240" w:lineRule="atLeast"/>
              <w:jc w:val="center"/>
              <w:rPr>
                <w:rFonts w:ascii="宋体" w:hAnsi="宋体"/>
                <w:szCs w:val="21"/>
              </w:rPr>
            </w:pPr>
          </w:p>
        </w:tc>
        <w:tc>
          <w:tcPr>
            <w:tcW w:w="720" w:type="dxa"/>
            <w:vMerge w:val="continue"/>
            <w:tcBorders>
              <w:right w:val="single" w:color="auto" w:sz="4" w:space="0"/>
            </w:tcBorders>
            <w:vAlign w:val="center"/>
          </w:tcPr>
          <w:p>
            <w:pPr>
              <w:spacing w:line="240" w:lineRule="atLeast"/>
              <w:jc w:val="center"/>
              <w:rPr>
                <w:rFonts w:ascii="宋体" w:hAnsi="宋体"/>
                <w:szCs w:val="21"/>
              </w:rPr>
            </w:pPr>
          </w:p>
        </w:tc>
        <w:tc>
          <w:tcPr>
            <w:tcW w:w="720" w:type="dxa"/>
            <w:tcBorders>
              <w:left w:val="single" w:color="auto" w:sz="4" w:space="0"/>
              <w:right w:val="single" w:color="auto" w:sz="4" w:space="0"/>
            </w:tcBorders>
            <w:vAlign w:val="center"/>
          </w:tcPr>
          <w:p>
            <w:pPr>
              <w:spacing w:line="240" w:lineRule="atLeast"/>
              <w:jc w:val="center"/>
              <w:rPr>
                <w:rFonts w:ascii="宋体" w:hAnsi="宋体"/>
                <w:szCs w:val="21"/>
              </w:rPr>
            </w:pPr>
            <w:r>
              <w:rPr>
                <w:rFonts w:hint="eastAsia" w:ascii="宋体" w:hAnsi="宋体"/>
                <w:szCs w:val="21"/>
              </w:rPr>
              <w:t>价格方面</w:t>
            </w:r>
          </w:p>
        </w:tc>
        <w:tc>
          <w:tcPr>
            <w:tcW w:w="6635" w:type="dxa"/>
            <w:gridSpan w:val="3"/>
            <w:tcBorders>
              <w:left w:val="single" w:color="auto" w:sz="4" w:space="0"/>
            </w:tcBorders>
            <w:vAlign w:val="center"/>
          </w:tcPr>
          <w:p>
            <w:pPr>
              <w:spacing w:line="240" w:lineRule="atLeast"/>
              <w:jc w:val="center"/>
              <w:rPr>
                <w:rFonts w:ascii="宋体" w:hAnsi="宋体"/>
                <w:szCs w:val="21"/>
              </w:rPr>
            </w:pPr>
            <w:r>
              <w:rPr>
                <w:rFonts w:hint="eastAsia" w:ascii="宋体" w:hAnsi="宋体"/>
                <w:szCs w:val="21"/>
              </w:rPr>
              <w:t xml:space="preserve"> □ 优          □ 良          □ 中           □ 差</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8" w:hRule="atLeast"/>
          <w:jc w:val="center"/>
        </w:trPr>
        <w:tc>
          <w:tcPr>
            <w:tcW w:w="842" w:type="dxa"/>
            <w:vMerge w:val="continue"/>
            <w:vAlign w:val="center"/>
          </w:tcPr>
          <w:p>
            <w:pPr>
              <w:spacing w:line="240" w:lineRule="atLeast"/>
              <w:jc w:val="center"/>
              <w:rPr>
                <w:rFonts w:ascii="宋体" w:hAnsi="宋体"/>
                <w:szCs w:val="21"/>
              </w:rPr>
            </w:pPr>
          </w:p>
        </w:tc>
        <w:tc>
          <w:tcPr>
            <w:tcW w:w="720" w:type="dxa"/>
            <w:vMerge w:val="continue"/>
            <w:tcBorders>
              <w:right w:val="single" w:color="auto" w:sz="4" w:space="0"/>
            </w:tcBorders>
            <w:vAlign w:val="center"/>
          </w:tcPr>
          <w:p>
            <w:pPr>
              <w:spacing w:line="240" w:lineRule="atLeast"/>
              <w:jc w:val="center"/>
              <w:rPr>
                <w:rFonts w:ascii="宋体" w:hAnsi="宋体"/>
                <w:szCs w:val="21"/>
              </w:rPr>
            </w:pPr>
          </w:p>
        </w:tc>
        <w:tc>
          <w:tcPr>
            <w:tcW w:w="720" w:type="dxa"/>
            <w:tcBorders>
              <w:left w:val="single" w:color="auto" w:sz="4" w:space="0"/>
              <w:right w:val="single" w:color="auto" w:sz="4" w:space="0"/>
            </w:tcBorders>
            <w:vAlign w:val="center"/>
          </w:tcPr>
          <w:p>
            <w:pPr>
              <w:spacing w:line="240" w:lineRule="atLeast"/>
              <w:jc w:val="center"/>
              <w:rPr>
                <w:rFonts w:ascii="宋体" w:hAnsi="宋体"/>
                <w:szCs w:val="21"/>
              </w:rPr>
            </w:pPr>
            <w:r>
              <w:rPr>
                <w:rFonts w:hint="eastAsia" w:ascii="宋体" w:hAnsi="宋体"/>
                <w:szCs w:val="21"/>
              </w:rPr>
              <w:t>服务方面</w:t>
            </w:r>
          </w:p>
        </w:tc>
        <w:tc>
          <w:tcPr>
            <w:tcW w:w="6635" w:type="dxa"/>
            <w:gridSpan w:val="3"/>
            <w:tcBorders>
              <w:left w:val="single" w:color="auto" w:sz="4" w:space="0"/>
            </w:tcBorders>
            <w:vAlign w:val="center"/>
          </w:tcPr>
          <w:p>
            <w:pPr>
              <w:spacing w:line="240" w:lineRule="atLeast"/>
              <w:jc w:val="center"/>
              <w:rPr>
                <w:rFonts w:ascii="宋体" w:hAnsi="宋体"/>
                <w:szCs w:val="21"/>
              </w:rPr>
            </w:pPr>
            <w:r>
              <w:rPr>
                <w:rFonts w:hint="eastAsia" w:ascii="宋体" w:hAnsi="宋体"/>
                <w:szCs w:val="21"/>
              </w:rPr>
              <w:t xml:space="preserve"> □ 优          □ 良          □ 中           □ 差</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8" w:hRule="atLeast"/>
          <w:jc w:val="center"/>
        </w:trPr>
        <w:tc>
          <w:tcPr>
            <w:tcW w:w="842" w:type="dxa"/>
            <w:vMerge w:val="continue"/>
            <w:vAlign w:val="center"/>
          </w:tcPr>
          <w:p>
            <w:pPr>
              <w:spacing w:line="240" w:lineRule="atLeast"/>
              <w:jc w:val="center"/>
              <w:rPr>
                <w:rFonts w:ascii="宋体" w:hAnsi="宋体"/>
                <w:szCs w:val="21"/>
              </w:rPr>
            </w:pPr>
          </w:p>
        </w:tc>
        <w:tc>
          <w:tcPr>
            <w:tcW w:w="720" w:type="dxa"/>
            <w:vMerge w:val="continue"/>
            <w:tcBorders>
              <w:right w:val="single" w:color="auto" w:sz="4" w:space="0"/>
            </w:tcBorders>
            <w:vAlign w:val="center"/>
          </w:tcPr>
          <w:p>
            <w:pPr>
              <w:spacing w:line="240" w:lineRule="atLeast"/>
              <w:jc w:val="center"/>
              <w:rPr>
                <w:rFonts w:ascii="宋体" w:hAnsi="宋体"/>
                <w:szCs w:val="21"/>
              </w:rPr>
            </w:pPr>
          </w:p>
        </w:tc>
        <w:tc>
          <w:tcPr>
            <w:tcW w:w="720" w:type="dxa"/>
            <w:tcBorders>
              <w:left w:val="single" w:color="auto" w:sz="4" w:space="0"/>
              <w:right w:val="single" w:color="auto" w:sz="4" w:space="0"/>
            </w:tcBorders>
            <w:vAlign w:val="center"/>
          </w:tcPr>
          <w:p>
            <w:pPr>
              <w:spacing w:line="240" w:lineRule="atLeast"/>
              <w:jc w:val="center"/>
              <w:rPr>
                <w:rFonts w:ascii="宋体" w:hAnsi="宋体"/>
                <w:szCs w:val="21"/>
              </w:rPr>
            </w:pPr>
            <w:r>
              <w:rPr>
                <w:rFonts w:hint="eastAsia" w:ascii="宋体" w:hAnsi="宋体"/>
                <w:szCs w:val="21"/>
              </w:rPr>
              <w:t>时间方面</w:t>
            </w:r>
          </w:p>
        </w:tc>
        <w:tc>
          <w:tcPr>
            <w:tcW w:w="6635" w:type="dxa"/>
            <w:gridSpan w:val="3"/>
            <w:tcBorders>
              <w:left w:val="single" w:color="auto" w:sz="4" w:space="0"/>
            </w:tcBorders>
            <w:vAlign w:val="center"/>
          </w:tcPr>
          <w:p>
            <w:pPr>
              <w:spacing w:line="240" w:lineRule="atLeast"/>
              <w:jc w:val="center"/>
              <w:rPr>
                <w:rFonts w:ascii="宋体" w:hAnsi="宋体"/>
                <w:szCs w:val="21"/>
              </w:rPr>
            </w:pPr>
            <w:r>
              <w:rPr>
                <w:rFonts w:hint="eastAsia" w:ascii="宋体" w:hAnsi="宋体"/>
                <w:szCs w:val="21"/>
              </w:rPr>
              <w:t xml:space="preserve"> □ 优          □ 良          □ 中           □ 差</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8" w:hRule="atLeast"/>
          <w:jc w:val="center"/>
        </w:trPr>
        <w:tc>
          <w:tcPr>
            <w:tcW w:w="842" w:type="dxa"/>
            <w:vMerge w:val="continue"/>
            <w:vAlign w:val="center"/>
          </w:tcPr>
          <w:p>
            <w:pPr>
              <w:spacing w:line="240" w:lineRule="atLeast"/>
              <w:jc w:val="center"/>
              <w:rPr>
                <w:rFonts w:ascii="宋体" w:hAnsi="宋体"/>
                <w:szCs w:val="21"/>
              </w:rPr>
            </w:pPr>
          </w:p>
        </w:tc>
        <w:tc>
          <w:tcPr>
            <w:tcW w:w="720" w:type="dxa"/>
            <w:vMerge w:val="continue"/>
            <w:tcBorders>
              <w:right w:val="single" w:color="auto" w:sz="4" w:space="0"/>
            </w:tcBorders>
            <w:vAlign w:val="center"/>
          </w:tcPr>
          <w:p>
            <w:pPr>
              <w:spacing w:line="240" w:lineRule="atLeast"/>
              <w:jc w:val="center"/>
              <w:rPr>
                <w:rFonts w:ascii="宋体" w:hAnsi="宋体"/>
                <w:szCs w:val="21"/>
              </w:rPr>
            </w:pPr>
          </w:p>
        </w:tc>
        <w:tc>
          <w:tcPr>
            <w:tcW w:w="720" w:type="dxa"/>
            <w:tcBorders>
              <w:left w:val="single" w:color="auto" w:sz="4" w:space="0"/>
              <w:right w:val="single" w:color="auto" w:sz="4" w:space="0"/>
            </w:tcBorders>
            <w:vAlign w:val="center"/>
          </w:tcPr>
          <w:p>
            <w:pPr>
              <w:spacing w:line="240" w:lineRule="atLeast"/>
              <w:jc w:val="center"/>
              <w:rPr>
                <w:rFonts w:ascii="宋体" w:hAnsi="宋体"/>
                <w:szCs w:val="21"/>
              </w:rPr>
            </w:pPr>
            <w:r>
              <w:rPr>
                <w:rFonts w:hint="eastAsia" w:ascii="宋体" w:hAnsi="宋体"/>
                <w:szCs w:val="21"/>
              </w:rPr>
              <w:t>环境保护</w:t>
            </w:r>
          </w:p>
        </w:tc>
        <w:tc>
          <w:tcPr>
            <w:tcW w:w="6635" w:type="dxa"/>
            <w:gridSpan w:val="3"/>
            <w:tcBorders>
              <w:left w:val="single" w:color="auto" w:sz="4" w:space="0"/>
            </w:tcBorders>
            <w:vAlign w:val="center"/>
          </w:tcPr>
          <w:p>
            <w:pPr>
              <w:spacing w:line="240" w:lineRule="atLeast"/>
              <w:jc w:val="center"/>
              <w:rPr>
                <w:rFonts w:ascii="宋体" w:hAnsi="宋体"/>
                <w:szCs w:val="21"/>
              </w:rPr>
            </w:pPr>
            <w:r>
              <w:rPr>
                <w:rFonts w:hint="eastAsia" w:ascii="宋体" w:hAnsi="宋体"/>
                <w:szCs w:val="21"/>
              </w:rPr>
              <w:t xml:space="preserve"> □ 优          □ 良          □ 中           □ 差</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8" w:hRule="atLeast"/>
          <w:jc w:val="center"/>
        </w:trPr>
        <w:tc>
          <w:tcPr>
            <w:tcW w:w="842" w:type="dxa"/>
            <w:vMerge w:val="continue"/>
            <w:vAlign w:val="center"/>
          </w:tcPr>
          <w:p>
            <w:pPr>
              <w:spacing w:line="240" w:lineRule="atLeast"/>
              <w:jc w:val="center"/>
              <w:rPr>
                <w:rFonts w:ascii="宋体" w:hAnsi="宋体"/>
                <w:szCs w:val="21"/>
              </w:rPr>
            </w:pPr>
          </w:p>
        </w:tc>
        <w:tc>
          <w:tcPr>
            <w:tcW w:w="720" w:type="dxa"/>
            <w:vMerge w:val="continue"/>
            <w:tcBorders>
              <w:right w:val="single" w:color="auto" w:sz="4" w:space="0"/>
            </w:tcBorders>
            <w:vAlign w:val="center"/>
          </w:tcPr>
          <w:p>
            <w:pPr>
              <w:spacing w:line="240" w:lineRule="atLeast"/>
              <w:jc w:val="center"/>
              <w:rPr>
                <w:rFonts w:ascii="宋体" w:hAnsi="宋体"/>
                <w:szCs w:val="21"/>
              </w:rPr>
            </w:pPr>
          </w:p>
        </w:tc>
        <w:tc>
          <w:tcPr>
            <w:tcW w:w="720" w:type="dxa"/>
            <w:tcBorders>
              <w:left w:val="single" w:color="auto" w:sz="4" w:space="0"/>
              <w:right w:val="single" w:color="auto" w:sz="4" w:space="0"/>
            </w:tcBorders>
            <w:vAlign w:val="center"/>
          </w:tcPr>
          <w:p>
            <w:pPr>
              <w:spacing w:line="240" w:lineRule="atLeast"/>
              <w:jc w:val="center"/>
              <w:rPr>
                <w:rFonts w:ascii="宋体" w:hAnsi="宋体"/>
                <w:szCs w:val="21"/>
              </w:rPr>
            </w:pPr>
            <w:r>
              <w:rPr>
                <w:rFonts w:hint="eastAsia" w:ascii="宋体" w:hAnsi="宋体"/>
                <w:szCs w:val="21"/>
              </w:rPr>
              <w:t>其他</w:t>
            </w:r>
          </w:p>
        </w:tc>
        <w:tc>
          <w:tcPr>
            <w:tcW w:w="6635" w:type="dxa"/>
            <w:gridSpan w:val="3"/>
            <w:tcBorders>
              <w:left w:val="single" w:color="auto" w:sz="4" w:space="0"/>
            </w:tcBorders>
            <w:vAlign w:val="center"/>
          </w:tcPr>
          <w:p>
            <w:pPr>
              <w:spacing w:before="120" w:beforeLines="50" w:after="120" w:afterLines="50" w:line="240" w:lineRule="atLeast"/>
              <w:rPr>
                <w:rFonts w:ascii="宋体" w:hAnsi="宋体"/>
                <w:szCs w:val="21"/>
                <w:u w:val="single"/>
              </w:rPr>
            </w:pPr>
            <w:r>
              <w:rPr>
                <w:rFonts w:hint="eastAsia" w:ascii="宋体" w:hAnsi="宋体"/>
                <w:szCs w:val="21"/>
              </w:rPr>
              <w:t>评价内容为：</w:t>
            </w:r>
          </w:p>
          <w:p>
            <w:pPr>
              <w:spacing w:before="120" w:beforeLines="50" w:after="120" w:afterLines="50" w:line="240" w:lineRule="atLeast"/>
              <w:rPr>
                <w:rFonts w:ascii="宋体" w:hAnsi="宋体"/>
                <w:szCs w:val="21"/>
              </w:rPr>
            </w:pPr>
            <w:r>
              <w:rPr>
                <w:rFonts w:hint="eastAsia" w:ascii="宋体" w:hAnsi="宋体"/>
                <w:szCs w:val="21"/>
              </w:rPr>
              <w:t>评价等级为：  □ 优       □ 良        □ 中         □ 差</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261" w:hRule="atLeast"/>
          <w:jc w:val="center"/>
        </w:trPr>
        <w:tc>
          <w:tcPr>
            <w:tcW w:w="1562" w:type="dxa"/>
            <w:gridSpan w:val="2"/>
            <w:vAlign w:val="center"/>
          </w:tcPr>
          <w:p>
            <w:pPr>
              <w:spacing w:line="240" w:lineRule="atLeast"/>
              <w:jc w:val="center"/>
              <w:rPr>
                <w:rFonts w:ascii="宋体" w:hAnsi="宋体"/>
                <w:szCs w:val="21"/>
              </w:rPr>
            </w:pPr>
            <w:r>
              <w:rPr>
                <w:rFonts w:hint="eastAsia" w:ascii="宋体" w:hAnsi="宋体"/>
                <w:szCs w:val="21"/>
              </w:rPr>
              <w:t>具体情况说明</w:t>
            </w:r>
          </w:p>
        </w:tc>
        <w:tc>
          <w:tcPr>
            <w:tcW w:w="7355" w:type="dxa"/>
            <w:gridSpan w:val="4"/>
          </w:tcPr>
          <w:p>
            <w:pPr>
              <w:spacing w:line="240" w:lineRule="atLeast"/>
              <w:rPr>
                <w:rFonts w:ascii="宋体" w:hAnsi="宋体"/>
                <w:szCs w:val="21"/>
              </w:rPr>
            </w:pPr>
          </w:p>
          <w:p>
            <w:pPr>
              <w:spacing w:line="240" w:lineRule="atLeast"/>
              <w:rPr>
                <w:rFonts w:ascii="宋体" w:hAnsi="宋体"/>
                <w:szCs w:val="21"/>
              </w:rPr>
            </w:pPr>
          </w:p>
          <w:p>
            <w:pPr>
              <w:spacing w:line="240" w:lineRule="atLeast"/>
              <w:rPr>
                <w:rFonts w:ascii="宋体" w:hAnsi="宋体"/>
                <w:szCs w:val="21"/>
              </w:rPr>
            </w:pPr>
          </w:p>
          <w:p>
            <w:pPr>
              <w:spacing w:line="240" w:lineRule="atLeast"/>
              <w:rPr>
                <w:rFonts w:ascii="宋体" w:hAnsi="宋体"/>
                <w:szCs w:val="21"/>
              </w:rPr>
            </w:pPr>
          </w:p>
          <w:p>
            <w:pPr>
              <w:spacing w:line="240" w:lineRule="atLeast"/>
              <w:rPr>
                <w:rFonts w:ascii="宋体" w:hAnsi="宋体"/>
                <w:szCs w:val="21"/>
              </w:rPr>
            </w:pPr>
          </w:p>
          <w:p>
            <w:pPr>
              <w:spacing w:line="240" w:lineRule="atLeast"/>
              <w:rPr>
                <w:rFonts w:ascii="宋体" w:hAnsi="宋体"/>
                <w:szCs w:val="21"/>
              </w:rPr>
            </w:pPr>
          </w:p>
          <w:p>
            <w:pPr>
              <w:spacing w:line="240" w:lineRule="atLeast"/>
              <w:rPr>
                <w:rFonts w:ascii="宋体" w:hAnsi="宋体"/>
                <w:szCs w:val="21"/>
              </w:rPr>
            </w:pPr>
          </w:p>
          <w:p>
            <w:pPr>
              <w:spacing w:line="240" w:lineRule="atLeast"/>
              <w:rPr>
                <w:rFonts w:ascii="宋体" w:hAnsi="宋体"/>
                <w:szCs w:val="21"/>
              </w:rPr>
            </w:pPr>
          </w:p>
          <w:p>
            <w:pPr>
              <w:spacing w:line="240" w:lineRule="atLeast"/>
              <w:rPr>
                <w:rFonts w:ascii="宋体" w:hAnsi="宋体"/>
                <w:szCs w:val="21"/>
              </w:rPr>
            </w:pPr>
          </w:p>
          <w:p>
            <w:pPr>
              <w:spacing w:line="240" w:lineRule="atLeast"/>
              <w:rPr>
                <w:rFonts w:ascii="宋体" w:hAnsi="宋体"/>
                <w:szCs w:val="21"/>
              </w:rPr>
            </w:pPr>
          </w:p>
          <w:p>
            <w:pPr>
              <w:spacing w:line="240" w:lineRule="atLeast"/>
              <w:rPr>
                <w:rFonts w:ascii="宋体" w:hAnsi="宋体"/>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510" w:hRule="atLeast"/>
          <w:jc w:val="center"/>
        </w:trPr>
        <w:tc>
          <w:tcPr>
            <w:tcW w:w="1562" w:type="dxa"/>
            <w:gridSpan w:val="2"/>
            <w:vAlign w:val="center"/>
          </w:tcPr>
          <w:p>
            <w:pPr>
              <w:spacing w:line="240" w:lineRule="atLeast"/>
              <w:jc w:val="center"/>
              <w:rPr>
                <w:rFonts w:ascii="宋体" w:hAnsi="宋体"/>
                <w:szCs w:val="21"/>
              </w:rPr>
            </w:pPr>
            <w:r>
              <w:rPr>
                <w:rFonts w:hint="eastAsia" w:ascii="宋体" w:hAnsi="宋体"/>
                <w:szCs w:val="21"/>
              </w:rPr>
              <w:t>采购单位意见</w:t>
            </w:r>
          </w:p>
          <w:p>
            <w:pPr>
              <w:spacing w:line="240" w:lineRule="atLeast"/>
              <w:jc w:val="center"/>
              <w:rPr>
                <w:rFonts w:ascii="宋体" w:hAnsi="宋体"/>
                <w:szCs w:val="21"/>
              </w:rPr>
            </w:pPr>
            <w:r>
              <w:rPr>
                <w:rFonts w:hint="eastAsia" w:ascii="宋体" w:hAnsi="宋体"/>
                <w:szCs w:val="21"/>
              </w:rPr>
              <w:t>（公章）</w:t>
            </w:r>
          </w:p>
        </w:tc>
        <w:tc>
          <w:tcPr>
            <w:tcW w:w="7355" w:type="dxa"/>
            <w:gridSpan w:val="4"/>
            <w:vAlign w:val="center"/>
          </w:tcPr>
          <w:p>
            <w:pPr>
              <w:spacing w:line="240" w:lineRule="atLeast"/>
              <w:rPr>
                <w:rFonts w:ascii="宋体" w:hAnsi="宋体"/>
                <w:szCs w:val="21"/>
              </w:rPr>
            </w:pPr>
          </w:p>
          <w:p>
            <w:pPr>
              <w:spacing w:line="240" w:lineRule="atLeast"/>
              <w:rPr>
                <w:rFonts w:ascii="宋体" w:hAnsi="宋体"/>
                <w:szCs w:val="21"/>
              </w:rPr>
            </w:pPr>
          </w:p>
          <w:p>
            <w:pPr>
              <w:spacing w:line="240" w:lineRule="atLeast"/>
              <w:rPr>
                <w:rFonts w:ascii="宋体" w:hAnsi="宋体"/>
                <w:szCs w:val="21"/>
              </w:rPr>
            </w:pPr>
          </w:p>
          <w:p>
            <w:pPr>
              <w:spacing w:line="240" w:lineRule="atLeast"/>
              <w:rPr>
                <w:rFonts w:ascii="宋体" w:hAnsi="宋体"/>
                <w:szCs w:val="21"/>
              </w:rPr>
            </w:pPr>
          </w:p>
          <w:p>
            <w:pPr>
              <w:spacing w:line="240" w:lineRule="atLeast"/>
              <w:ind w:firstLine="3780" w:firstLineChars="1800"/>
              <w:rPr>
                <w:rFonts w:ascii="宋体" w:hAnsi="宋体"/>
                <w:szCs w:val="21"/>
              </w:rPr>
            </w:pPr>
          </w:p>
          <w:p>
            <w:pPr>
              <w:spacing w:line="240" w:lineRule="atLeast"/>
              <w:ind w:firstLine="3780" w:firstLineChars="1800"/>
              <w:rPr>
                <w:rFonts w:ascii="宋体" w:hAnsi="宋体"/>
                <w:szCs w:val="21"/>
              </w:rPr>
            </w:pPr>
            <w:r>
              <w:rPr>
                <w:rFonts w:hint="eastAsia" w:ascii="宋体" w:hAnsi="宋体"/>
                <w:szCs w:val="21"/>
              </w:rPr>
              <w:t>日期：   年   月   日</w:t>
            </w:r>
          </w:p>
        </w:tc>
      </w:tr>
    </w:tbl>
    <w:p>
      <w:pPr>
        <w:spacing w:line="240" w:lineRule="atLeast"/>
        <w:rPr>
          <w:rFonts w:ascii="宋体" w:hAnsi="宋体"/>
          <w:szCs w:val="21"/>
        </w:rPr>
      </w:pPr>
      <w:r>
        <w:rPr>
          <w:rFonts w:hint="eastAsia" w:ascii="宋体" w:hAnsi="宋体"/>
          <w:szCs w:val="21"/>
        </w:rPr>
        <w:t>说明：</w:t>
      </w:r>
    </w:p>
    <w:p>
      <w:pPr>
        <w:spacing w:line="240" w:lineRule="atLeast"/>
        <w:rPr>
          <w:rFonts w:ascii="宋体" w:hAnsi="宋体"/>
          <w:szCs w:val="21"/>
        </w:rPr>
      </w:pPr>
      <w:r>
        <w:rPr>
          <w:rFonts w:hint="eastAsia" w:ascii="宋体" w:hAnsi="宋体"/>
          <w:szCs w:val="21"/>
        </w:rPr>
        <w:t>1、本表为采购单位向深圳市深大体育文化发展有限公司反映采购项目履约情况时所用；</w:t>
      </w:r>
    </w:p>
    <w:p>
      <w:pPr>
        <w:spacing w:line="240" w:lineRule="atLeast"/>
      </w:pPr>
      <w:r>
        <w:rPr>
          <w:rFonts w:hint="eastAsia"/>
        </w:rPr>
        <w:t>2、履约情况评价分为优、良、中、差四个等级，请在对应的框前打“√”，然后在“具体情况说明”一栏详细说明有关情况。</w:t>
      </w:r>
    </w:p>
    <w:p>
      <w:pPr>
        <w:pStyle w:val="2"/>
      </w:pPr>
      <w:r>
        <w:rPr>
          <w:rFonts w:hint="eastAsia"/>
        </w:rPr>
        <w:t>第二册  通用条款（公开招标）</w:t>
      </w:r>
    </w:p>
    <w:p>
      <w:pPr>
        <w:jc w:val="center"/>
        <w:rPr>
          <w:rFonts w:ascii="宋体" w:hAnsi="宋体"/>
          <w:color w:val="FF0000"/>
          <w:szCs w:val="21"/>
        </w:rPr>
      </w:pPr>
    </w:p>
    <w:p>
      <w:pPr>
        <w:jc w:val="center"/>
        <w:rPr>
          <w:rFonts w:ascii="宋体" w:hAnsi="宋体"/>
          <w:b/>
          <w:color w:val="FF0000"/>
          <w:sz w:val="28"/>
          <w:szCs w:val="28"/>
        </w:rPr>
      </w:pPr>
      <w:r>
        <w:rPr>
          <w:rFonts w:hint="eastAsia" w:ascii="宋体" w:hAnsi="宋体"/>
          <w:b/>
          <w:color w:val="FF0000"/>
          <w:sz w:val="28"/>
          <w:szCs w:val="28"/>
        </w:rPr>
        <w:t>（</w:t>
      </w:r>
      <w:r>
        <w:rPr>
          <w:rFonts w:ascii="宋体" w:hAnsi="宋体"/>
          <w:b/>
          <w:color w:val="FF0000"/>
          <w:sz w:val="28"/>
          <w:szCs w:val="28"/>
        </w:rPr>
        <w:t>1</w:t>
      </w:r>
      <w:r>
        <w:rPr>
          <w:rFonts w:hint="eastAsia" w:ascii="宋体" w:hAnsi="宋体"/>
          <w:b/>
          <w:color w:val="FF0000"/>
          <w:sz w:val="28"/>
          <w:szCs w:val="28"/>
        </w:rPr>
        <w:t>.</w:t>
      </w:r>
      <w:r>
        <w:rPr>
          <w:rFonts w:ascii="宋体" w:hAnsi="宋体"/>
          <w:b/>
          <w:color w:val="FF0000"/>
          <w:sz w:val="28"/>
          <w:szCs w:val="28"/>
        </w:rPr>
        <w:t>2</w:t>
      </w:r>
      <w:r>
        <w:rPr>
          <w:rFonts w:hint="eastAsia" w:ascii="宋体" w:hAnsi="宋体"/>
          <w:b/>
          <w:color w:val="FF0000"/>
          <w:sz w:val="28"/>
          <w:szCs w:val="28"/>
        </w:rPr>
        <w:t>.0</w:t>
      </w:r>
      <w:r>
        <w:rPr>
          <w:rFonts w:ascii="宋体" w:hAnsi="宋体"/>
          <w:b/>
          <w:color w:val="FF0000"/>
          <w:sz w:val="28"/>
          <w:szCs w:val="28"/>
        </w:rPr>
        <w:t>1</w:t>
      </w:r>
      <w:r>
        <w:rPr>
          <w:rFonts w:hint="eastAsia" w:ascii="宋体" w:hAnsi="宋体"/>
          <w:b/>
          <w:color w:val="FF0000"/>
          <w:sz w:val="28"/>
          <w:szCs w:val="28"/>
        </w:rPr>
        <w:t>版本）</w:t>
      </w:r>
    </w:p>
    <w:p>
      <w:pPr>
        <w:keepNext/>
        <w:keepLines/>
        <w:numPr>
          <w:ilvl w:val="0"/>
          <w:numId w:val="5"/>
        </w:numPr>
        <w:adjustRightInd w:val="0"/>
        <w:spacing w:before="120" w:beforeLines="50" w:after="120" w:afterLines="50"/>
        <w:jc w:val="center"/>
        <w:textAlignment w:val="baseline"/>
        <w:outlineLvl w:val="1"/>
        <w:rPr>
          <w:rFonts w:ascii="Arial" w:hAnsi="Arial" w:eastAsia="黑体"/>
          <w:b/>
          <w:bCs/>
          <w:sz w:val="28"/>
          <w:szCs w:val="28"/>
        </w:rPr>
      </w:pPr>
      <w:r>
        <w:rPr>
          <w:rFonts w:hint="eastAsia" w:ascii="Arial" w:hAnsi="Arial" w:eastAsia="黑体"/>
          <w:b/>
          <w:bCs/>
          <w:sz w:val="28"/>
          <w:szCs w:val="28"/>
        </w:rPr>
        <w:t>总则</w:t>
      </w:r>
    </w:p>
    <w:p>
      <w:pPr>
        <w:spacing w:line="360" w:lineRule="auto"/>
        <w:rPr>
          <w:rFonts w:ascii="黑体" w:hAnsi="宋体" w:eastAsia="黑体"/>
          <w:sz w:val="24"/>
        </w:rPr>
      </w:pPr>
      <w:r>
        <w:rPr>
          <w:rFonts w:hint="eastAsia" w:ascii="黑体" w:hAnsi="宋体" w:eastAsia="黑体"/>
          <w:sz w:val="24"/>
        </w:rPr>
        <w:t>1.通用条款说明</w:t>
      </w:r>
    </w:p>
    <w:p>
      <w:pPr>
        <w:ind w:firstLine="411" w:firstLineChars="196"/>
        <w:rPr>
          <w:rFonts w:ascii="宋体" w:hAnsi="宋体"/>
          <w:szCs w:val="21"/>
        </w:rPr>
      </w:pPr>
      <w:r>
        <w:rPr>
          <w:rFonts w:hint="eastAsia" w:ascii="宋体" w:hAnsi="宋体"/>
          <w:szCs w:val="21"/>
        </w:rPr>
        <w:t>1.1深圳市深大体育文化发展有限公司发出招标文件通用条款版本，列出深圳市深大体育文化发展有限公司采购项目进行招标采购所适用的通用条款内容。如有需要，深圳市深大体育文化发展有限公司可以随这些条款增加附录或补充内容。</w:t>
      </w:r>
    </w:p>
    <w:p>
      <w:pPr>
        <w:ind w:firstLine="411" w:firstLineChars="196"/>
        <w:rPr>
          <w:rFonts w:ascii="宋体" w:hAnsi="宋体"/>
          <w:szCs w:val="21"/>
        </w:rPr>
      </w:pPr>
      <w:r>
        <w:rPr>
          <w:rFonts w:hint="eastAsia" w:ascii="宋体" w:hAnsi="宋体"/>
          <w:szCs w:val="21"/>
        </w:rPr>
        <w:t>1.2为了减少文本数量，本文件所述的标准条款和条件资料已在深圳市深大体育文化发展有限公司</w:t>
      </w:r>
      <w:r>
        <w:rPr>
          <w:rFonts w:ascii="宋体" w:hAnsi="宋体"/>
          <w:szCs w:val="21"/>
        </w:rPr>
        <w:t>网</w:t>
      </w:r>
      <w:r>
        <w:rPr>
          <w:rFonts w:hint="eastAsia" w:ascii="宋体" w:hAnsi="宋体"/>
          <w:szCs w:val="21"/>
        </w:rPr>
        <w:t>站上（http://bidding.szu.edu.cn）公开，不再随具体招标项目的招标文件另行派发。投标人可自行下载浏览，并确定能符合本文件和附录或补充内容所要求的条款及条件。</w:t>
      </w:r>
    </w:p>
    <w:p>
      <w:pPr>
        <w:spacing w:line="360" w:lineRule="auto"/>
        <w:rPr>
          <w:rFonts w:ascii="黑体" w:hAnsi="宋体" w:eastAsia="黑体"/>
          <w:sz w:val="24"/>
        </w:rPr>
      </w:pPr>
      <w:bookmarkStart w:id="52" w:name="_Toc73517641"/>
      <w:bookmarkStart w:id="53" w:name="_Toc60631622"/>
      <w:bookmarkStart w:id="54" w:name="_Toc60560627"/>
      <w:bookmarkStart w:id="55" w:name="_Toc73521637"/>
      <w:bookmarkStart w:id="56" w:name="_Toc73521549"/>
      <w:bookmarkStart w:id="57" w:name="_Toc100052366"/>
      <w:bookmarkStart w:id="58" w:name="_Toc73518119"/>
      <w:bookmarkStart w:id="59" w:name="_Toc60560629"/>
      <w:bookmarkStart w:id="60" w:name="_Toc60631624"/>
      <w:bookmarkStart w:id="61" w:name="_Toc73521639"/>
      <w:bookmarkStart w:id="62" w:name="_Toc73518121"/>
      <w:bookmarkStart w:id="63" w:name="_Toc73521551"/>
      <w:bookmarkStart w:id="64" w:name="_Toc100052368"/>
      <w:bookmarkStart w:id="65" w:name="_Toc73517643"/>
      <w:r>
        <w:rPr>
          <w:rFonts w:hint="eastAsia" w:ascii="黑体" w:hAnsi="宋体" w:eastAsia="黑体"/>
          <w:sz w:val="24"/>
        </w:rPr>
        <w:t>2</w:t>
      </w:r>
      <w:r>
        <w:rPr>
          <w:rFonts w:ascii="黑体" w:hAnsi="宋体" w:eastAsia="黑体"/>
          <w:sz w:val="24"/>
        </w:rPr>
        <w:t>．</w:t>
      </w:r>
      <w:r>
        <w:rPr>
          <w:rFonts w:hint="eastAsia" w:ascii="黑体" w:hAnsi="宋体" w:eastAsia="黑体"/>
          <w:sz w:val="24"/>
        </w:rPr>
        <w:t>招标说明</w:t>
      </w:r>
      <w:bookmarkEnd w:id="52"/>
      <w:bookmarkEnd w:id="53"/>
      <w:bookmarkEnd w:id="54"/>
      <w:bookmarkEnd w:id="55"/>
      <w:bookmarkEnd w:id="56"/>
      <w:bookmarkEnd w:id="57"/>
      <w:bookmarkEnd w:id="58"/>
    </w:p>
    <w:p>
      <w:pPr>
        <w:ind w:firstLine="411" w:firstLineChars="196"/>
        <w:rPr>
          <w:rFonts w:ascii="宋体" w:hAnsi="宋体"/>
          <w:szCs w:val="21"/>
        </w:rPr>
      </w:pPr>
      <w:r>
        <w:rPr>
          <w:rFonts w:hint="eastAsia" w:ascii="宋体" w:hAnsi="宋体"/>
          <w:szCs w:val="21"/>
        </w:rPr>
        <w:t>本项目按照《深圳经济特区政府采购条例》、 《深圳经济特区</w:t>
      </w:r>
      <w:r>
        <w:rPr>
          <w:rFonts w:ascii="宋体" w:hAnsi="宋体"/>
          <w:szCs w:val="21"/>
        </w:rPr>
        <w:t>政府采购条例实施细则</w:t>
      </w:r>
      <w:r>
        <w:rPr>
          <w:rFonts w:hint="eastAsia" w:ascii="宋体" w:hAnsi="宋体"/>
          <w:szCs w:val="21"/>
        </w:rPr>
        <w:t>》和深圳市深大体育文化发展有限公司</w:t>
      </w:r>
      <w:r>
        <w:rPr>
          <w:rFonts w:ascii="宋体" w:hAnsi="宋体"/>
          <w:szCs w:val="21"/>
        </w:rPr>
        <w:t>的相关规定</w:t>
      </w:r>
      <w:r>
        <w:rPr>
          <w:rFonts w:hint="eastAsia" w:ascii="宋体" w:hAnsi="宋体"/>
          <w:szCs w:val="21"/>
        </w:rPr>
        <w:t>，并参考有关法规、政策、规章、规定通过招标择优选定供应商。</w:t>
      </w:r>
    </w:p>
    <w:p>
      <w:pPr>
        <w:spacing w:line="360" w:lineRule="auto"/>
        <w:rPr>
          <w:rFonts w:ascii="黑体" w:hAnsi="宋体" w:eastAsia="黑体"/>
          <w:sz w:val="24"/>
        </w:rPr>
      </w:pPr>
      <w:bookmarkStart w:id="66" w:name="_Toc73517642"/>
      <w:bookmarkStart w:id="67" w:name="_Toc73521638"/>
      <w:bookmarkStart w:id="68" w:name="_Toc73518120"/>
      <w:bookmarkStart w:id="69" w:name="_Toc60560628"/>
      <w:bookmarkStart w:id="70" w:name="_Toc73521550"/>
      <w:bookmarkStart w:id="71" w:name="_Toc60631623"/>
      <w:bookmarkStart w:id="72" w:name="_Toc100052367"/>
      <w:r>
        <w:rPr>
          <w:rFonts w:hint="eastAsia" w:ascii="黑体" w:hAnsi="宋体" w:eastAsia="黑体"/>
          <w:sz w:val="24"/>
        </w:rPr>
        <w:t>3．定义</w:t>
      </w:r>
      <w:bookmarkEnd w:id="66"/>
      <w:bookmarkEnd w:id="67"/>
      <w:bookmarkEnd w:id="68"/>
      <w:bookmarkEnd w:id="69"/>
      <w:bookmarkEnd w:id="70"/>
      <w:bookmarkEnd w:id="71"/>
      <w:bookmarkEnd w:id="72"/>
    </w:p>
    <w:p>
      <w:pPr>
        <w:ind w:firstLine="420" w:firstLineChars="200"/>
        <w:rPr>
          <w:rFonts w:ascii="宋体" w:hAnsi="宋体"/>
          <w:szCs w:val="21"/>
        </w:rPr>
      </w:pPr>
      <w:r>
        <w:rPr>
          <w:rFonts w:ascii="宋体" w:hAnsi="宋体"/>
          <w:szCs w:val="21"/>
        </w:rPr>
        <w:t>招标文件中下列术语应解释为：</w:t>
      </w:r>
    </w:p>
    <w:p>
      <w:pPr>
        <w:ind w:firstLine="411" w:firstLineChars="196"/>
        <w:rPr>
          <w:rFonts w:ascii="宋体" w:hAnsi="宋体"/>
          <w:szCs w:val="21"/>
        </w:rPr>
      </w:pPr>
      <w:r>
        <w:rPr>
          <w:rFonts w:hint="eastAsia" w:ascii="宋体" w:hAnsi="宋体"/>
          <w:szCs w:val="21"/>
        </w:rPr>
        <w:t>3.</w:t>
      </w:r>
      <w:r>
        <w:rPr>
          <w:rFonts w:ascii="宋体" w:hAnsi="宋体"/>
          <w:szCs w:val="21"/>
        </w:rPr>
        <w:t>1</w:t>
      </w:r>
      <w:r>
        <w:rPr>
          <w:rFonts w:hint="eastAsia" w:ascii="宋体" w:hAnsi="宋体"/>
          <w:szCs w:val="21"/>
        </w:rPr>
        <w:t>“采购机构”系指深圳市深大体育文化发展有限公司；</w:t>
      </w:r>
    </w:p>
    <w:p>
      <w:pPr>
        <w:ind w:firstLine="411" w:firstLineChars="196"/>
        <w:rPr>
          <w:rFonts w:ascii="宋体" w:hAnsi="宋体"/>
          <w:szCs w:val="21"/>
        </w:rPr>
      </w:pPr>
      <w:r>
        <w:rPr>
          <w:rFonts w:hint="eastAsia" w:ascii="宋体" w:hAnsi="宋体"/>
          <w:szCs w:val="21"/>
        </w:rPr>
        <w:t>3.2“采购人”或“采购单位”：系指深圳市深大体育文化发展有限公司</w:t>
      </w:r>
      <w:r>
        <w:rPr>
          <w:rFonts w:ascii="宋体" w:hAnsi="宋体"/>
          <w:szCs w:val="21"/>
        </w:rPr>
        <w:t>、</w:t>
      </w:r>
      <w:r>
        <w:rPr>
          <w:rFonts w:hint="eastAsia" w:ascii="宋体" w:hAnsi="宋体"/>
          <w:szCs w:val="21"/>
        </w:rPr>
        <w:t>深圳市深大体育文化发展有限公司</w:t>
      </w:r>
      <w:r>
        <w:rPr>
          <w:rFonts w:ascii="宋体" w:hAnsi="宋体"/>
          <w:szCs w:val="21"/>
        </w:rPr>
        <w:t>下属</w:t>
      </w:r>
      <w:r>
        <w:rPr>
          <w:rFonts w:hint="eastAsia" w:ascii="宋体" w:hAnsi="宋体"/>
          <w:szCs w:val="21"/>
        </w:rPr>
        <w:t xml:space="preserve">单位； </w:t>
      </w:r>
    </w:p>
    <w:p>
      <w:pPr>
        <w:ind w:firstLine="411" w:firstLineChars="196"/>
        <w:rPr>
          <w:rFonts w:ascii="宋体" w:hAnsi="宋体"/>
          <w:szCs w:val="21"/>
        </w:rPr>
      </w:pPr>
      <w:r>
        <w:rPr>
          <w:rFonts w:hint="eastAsia" w:ascii="宋体" w:hAnsi="宋体"/>
          <w:szCs w:val="21"/>
        </w:rPr>
        <w:t>3.</w:t>
      </w:r>
      <w:r>
        <w:rPr>
          <w:rFonts w:ascii="宋体" w:hAnsi="宋体"/>
          <w:szCs w:val="21"/>
        </w:rPr>
        <w:t>3</w:t>
      </w:r>
      <w:r>
        <w:rPr>
          <w:rFonts w:hint="eastAsia" w:ascii="宋体" w:hAnsi="宋体"/>
          <w:szCs w:val="21"/>
        </w:rPr>
        <w:t>“投标人”或“投标方”，即供应商，是指参加投标竞争并愿意按照招标文件要求向采购人提供货物、工程或者服务的依法成立的法人、其他组织或者自然人；</w:t>
      </w:r>
    </w:p>
    <w:p>
      <w:pPr>
        <w:ind w:firstLine="411" w:firstLineChars="196"/>
        <w:rPr>
          <w:rFonts w:ascii="宋体" w:hAnsi="宋体"/>
          <w:szCs w:val="21"/>
        </w:rPr>
      </w:pPr>
      <w:r>
        <w:rPr>
          <w:rFonts w:hint="eastAsia" w:ascii="宋体" w:hAnsi="宋体"/>
          <w:szCs w:val="21"/>
        </w:rPr>
        <w:t>3.</w:t>
      </w:r>
      <w:r>
        <w:rPr>
          <w:rFonts w:ascii="宋体" w:hAnsi="宋体"/>
          <w:szCs w:val="21"/>
        </w:rPr>
        <w:t>4</w:t>
      </w:r>
      <w:r>
        <w:rPr>
          <w:rFonts w:hint="eastAsia" w:ascii="宋体" w:hAnsi="宋体"/>
          <w:szCs w:val="21"/>
        </w:rPr>
        <w:t>“评标委员会”和“谈判小组”是依据《深圳经济特区政府采购条例》有关规定组建的专门负责本次招标的评标（谈判）工作的临时性机构；</w:t>
      </w:r>
    </w:p>
    <w:p>
      <w:pPr>
        <w:ind w:firstLine="411" w:firstLineChars="196"/>
        <w:rPr>
          <w:rFonts w:ascii="宋体" w:hAnsi="宋体"/>
          <w:szCs w:val="21"/>
        </w:rPr>
      </w:pPr>
      <w:r>
        <w:rPr>
          <w:rFonts w:hint="eastAsia" w:ascii="宋体" w:hAnsi="宋体"/>
          <w:szCs w:val="21"/>
        </w:rPr>
        <w:t>3.</w:t>
      </w:r>
      <w:r>
        <w:rPr>
          <w:rFonts w:ascii="宋体" w:hAnsi="宋体"/>
          <w:szCs w:val="21"/>
        </w:rPr>
        <w:t>5</w:t>
      </w:r>
      <w:r>
        <w:rPr>
          <w:rFonts w:hint="eastAsia" w:ascii="宋体" w:hAnsi="宋体"/>
          <w:szCs w:val="21"/>
        </w:rPr>
        <w:t>“日期”</w:t>
      </w:r>
      <w:r>
        <w:rPr>
          <w:rFonts w:ascii="宋体" w:hAnsi="宋体"/>
          <w:szCs w:val="21"/>
        </w:rPr>
        <w:t>指</w:t>
      </w:r>
      <w:r>
        <w:rPr>
          <w:rFonts w:hint="eastAsia" w:ascii="宋体" w:hAnsi="宋体"/>
          <w:szCs w:val="21"/>
        </w:rPr>
        <w:t>公历日；</w:t>
      </w:r>
    </w:p>
    <w:p>
      <w:pPr>
        <w:ind w:firstLine="411" w:firstLineChars="196"/>
        <w:rPr>
          <w:rFonts w:ascii="宋体" w:hAnsi="宋体"/>
          <w:szCs w:val="21"/>
        </w:rPr>
      </w:pPr>
      <w:r>
        <w:rPr>
          <w:rFonts w:hint="eastAsia" w:ascii="宋体" w:hAnsi="宋体"/>
          <w:szCs w:val="21"/>
        </w:rPr>
        <w:t>3.</w:t>
      </w:r>
      <w:r>
        <w:rPr>
          <w:rFonts w:ascii="宋体" w:hAnsi="宋体"/>
          <w:szCs w:val="21"/>
        </w:rPr>
        <w:t>6</w:t>
      </w:r>
      <w:r>
        <w:rPr>
          <w:rFonts w:hint="eastAsia" w:ascii="宋体" w:hAnsi="宋体"/>
          <w:szCs w:val="21"/>
        </w:rPr>
        <w:t>“合同”指由本次招标所产生的合同或合约文件；</w:t>
      </w:r>
    </w:p>
    <w:p>
      <w:pPr>
        <w:ind w:firstLine="411" w:firstLineChars="196"/>
        <w:rPr>
          <w:rFonts w:ascii="宋体" w:hAnsi="宋体"/>
          <w:szCs w:val="21"/>
        </w:rPr>
      </w:pPr>
      <w:r>
        <w:rPr>
          <w:rFonts w:hint="eastAsia" w:ascii="宋体" w:hAnsi="宋体"/>
          <w:szCs w:val="21"/>
        </w:rPr>
        <w:t>3.</w:t>
      </w:r>
      <w:r>
        <w:rPr>
          <w:rFonts w:ascii="宋体" w:hAnsi="宋体"/>
          <w:szCs w:val="21"/>
        </w:rPr>
        <w:t>7</w:t>
      </w:r>
      <w:r>
        <w:rPr>
          <w:rFonts w:hint="eastAsia" w:ascii="宋体" w:hAnsi="宋体"/>
          <w:szCs w:val="21"/>
        </w:rPr>
        <w:t>招标文件中的标题或题名仅起引导作用，而不应视为对招标文件内容的理解和解释。</w:t>
      </w:r>
    </w:p>
    <w:p>
      <w:pPr>
        <w:spacing w:line="360" w:lineRule="auto"/>
        <w:rPr>
          <w:rFonts w:ascii="黑体" w:hAnsi="宋体" w:eastAsia="黑体"/>
          <w:sz w:val="24"/>
        </w:rPr>
      </w:pPr>
      <w:r>
        <w:rPr>
          <w:rFonts w:hint="eastAsia" w:ascii="黑体" w:hAnsi="宋体" w:eastAsia="黑体"/>
          <w:sz w:val="24"/>
        </w:rPr>
        <w:t>4. 供应商责任</w:t>
      </w:r>
    </w:p>
    <w:p>
      <w:pPr>
        <w:ind w:firstLine="411" w:firstLineChars="196"/>
        <w:rPr>
          <w:rFonts w:ascii="宋体" w:hAnsi="宋体"/>
          <w:szCs w:val="21"/>
        </w:rPr>
      </w:pPr>
      <w:r>
        <w:rPr>
          <w:rFonts w:hint="eastAsia" w:ascii="宋体" w:hAnsi="宋体"/>
          <w:szCs w:val="21"/>
        </w:rPr>
        <w:t>4.1欢迎诚信、有实力和有社会责任心的供应商参与深圳市深大体育文化发展有限公司采购事务。</w:t>
      </w:r>
    </w:p>
    <w:p>
      <w:pPr>
        <w:ind w:firstLine="411" w:firstLineChars="196"/>
        <w:rPr>
          <w:rFonts w:ascii="宋体" w:hAnsi="宋体"/>
          <w:szCs w:val="21"/>
        </w:rPr>
      </w:pPr>
      <w:r>
        <w:rPr>
          <w:rFonts w:hint="eastAsia" w:ascii="宋体" w:hAnsi="宋体"/>
          <w:szCs w:val="21"/>
        </w:rPr>
        <w:t>4.2供应商在采购项目投标过程中应诚实守信，不弄虚作假，不隐瞒真实情况，不围标串标，不恶意质疑投诉。如违反上述要求，经核实后，供应商的投标将作废，没收投标保证金，将该供应商列入不良记录名单并在网上曝光，同时提请深圳市深大体育文化发展有限公司采购监督管理部门给予一定年限内</w:t>
      </w:r>
      <w:r>
        <w:rPr>
          <w:rFonts w:hint="eastAsia"/>
        </w:rPr>
        <w:t>禁止参加深圳市深大体育文化发展有限公司采购活动</w:t>
      </w:r>
      <w:r>
        <w:rPr>
          <w:rFonts w:hint="eastAsia"/>
          <w:b/>
        </w:rPr>
        <w:t>的处罚</w:t>
      </w:r>
      <w:r>
        <w:rPr>
          <w:rFonts w:hint="eastAsia"/>
        </w:rPr>
        <w:t>或其他处罚</w:t>
      </w:r>
      <w:r>
        <w:rPr>
          <w:rFonts w:hint="eastAsia" w:ascii="宋体" w:hAnsi="宋体"/>
          <w:szCs w:val="21"/>
        </w:rPr>
        <w:t>。</w:t>
      </w:r>
    </w:p>
    <w:p>
      <w:pPr>
        <w:spacing w:line="360" w:lineRule="auto"/>
        <w:rPr>
          <w:rFonts w:ascii="黑体" w:hAnsi="宋体" w:eastAsia="黑体"/>
          <w:sz w:val="24"/>
        </w:rPr>
      </w:pPr>
      <w:r>
        <w:rPr>
          <w:rFonts w:hint="eastAsia" w:ascii="黑体" w:hAnsi="宋体" w:eastAsia="黑体"/>
          <w:sz w:val="24"/>
        </w:rPr>
        <w:t>5．</w:t>
      </w:r>
      <w:bookmarkEnd w:id="59"/>
      <w:bookmarkEnd w:id="60"/>
      <w:bookmarkEnd w:id="61"/>
      <w:bookmarkEnd w:id="62"/>
      <w:bookmarkEnd w:id="63"/>
      <w:bookmarkEnd w:id="64"/>
      <w:bookmarkEnd w:id="65"/>
      <w:r>
        <w:rPr>
          <w:rFonts w:hint="eastAsia" w:ascii="黑体" w:hAnsi="宋体" w:eastAsia="黑体"/>
          <w:sz w:val="24"/>
        </w:rPr>
        <w:t>投标人参加深圳市深大体育文化发展有限公司采购活动的条件</w:t>
      </w:r>
    </w:p>
    <w:p>
      <w:pPr>
        <w:ind w:firstLine="411" w:firstLineChars="196"/>
        <w:rPr>
          <w:rFonts w:ascii="宋体" w:hAnsi="宋体"/>
          <w:szCs w:val="21"/>
        </w:rPr>
      </w:pPr>
      <w:r>
        <w:rPr>
          <w:rFonts w:hint="eastAsia" w:ascii="宋体" w:hAnsi="宋体"/>
          <w:szCs w:val="21"/>
        </w:rPr>
        <w:t>5.</w:t>
      </w:r>
      <w:r>
        <w:rPr>
          <w:rFonts w:ascii="宋体" w:hAnsi="宋体"/>
          <w:szCs w:val="21"/>
        </w:rPr>
        <w:t>1</w:t>
      </w:r>
      <w:r>
        <w:rPr>
          <w:rFonts w:hint="eastAsia" w:ascii="宋体" w:hAnsi="宋体"/>
          <w:szCs w:val="21"/>
        </w:rPr>
        <w:t>投标人的资格要求</w:t>
      </w:r>
    </w:p>
    <w:p>
      <w:pPr>
        <w:ind w:firstLine="411" w:firstLineChars="196"/>
        <w:rPr>
          <w:rFonts w:ascii="宋体" w:hAnsi="宋体"/>
          <w:szCs w:val="21"/>
        </w:rPr>
      </w:pPr>
      <w:r>
        <w:rPr>
          <w:rFonts w:hint="eastAsia" w:ascii="宋体" w:hAnsi="宋体"/>
          <w:szCs w:val="21"/>
        </w:rPr>
        <w:t>参加本项目的投标人应具备的资格条件详见本项目招标公告中 “对投标人资格要求”的内容。</w:t>
      </w:r>
    </w:p>
    <w:p>
      <w:pPr>
        <w:spacing w:line="360" w:lineRule="auto"/>
        <w:rPr>
          <w:rFonts w:ascii="黑体" w:hAnsi="宋体" w:eastAsia="黑体"/>
          <w:sz w:val="24"/>
        </w:rPr>
      </w:pPr>
      <w:bookmarkStart w:id="73" w:name="_Toc73518123"/>
      <w:bookmarkStart w:id="74" w:name="_Toc60631626"/>
      <w:bookmarkStart w:id="75" w:name="_Toc73517645"/>
      <w:bookmarkStart w:id="76" w:name="_Toc60560631"/>
      <w:bookmarkStart w:id="77" w:name="_Toc73521641"/>
      <w:bookmarkStart w:id="78" w:name="_Toc73521553"/>
      <w:bookmarkStart w:id="79" w:name="_Toc100052370"/>
      <w:r>
        <w:rPr>
          <w:rFonts w:hint="eastAsia" w:ascii="黑体" w:hAnsi="宋体" w:eastAsia="黑体"/>
          <w:sz w:val="24"/>
        </w:rPr>
        <w:t>6．联合体投标</w:t>
      </w:r>
    </w:p>
    <w:p>
      <w:pPr>
        <w:ind w:firstLine="411" w:firstLineChars="196"/>
        <w:rPr>
          <w:rFonts w:ascii="宋体" w:hAnsi="宋体"/>
        </w:rPr>
      </w:pPr>
      <w:r>
        <w:rPr>
          <w:rFonts w:hint="eastAsia" w:ascii="宋体" w:hAnsi="宋体"/>
        </w:rPr>
        <w:t>6.1　</w:t>
      </w:r>
      <w:r>
        <w:rPr>
          <w:rFonts w:hint="eastAsia"/>
        </w:rPr>
        <w:t>以下有关联合体投标的条款仅适用于允许投标人组成联合体投标的项目。</w:t>
      </w:r>
    </w:p>
    <w:p>
      <w:pPr>
        <w:ind w:firstLine="411" w:firstLineChars="196"/>
        <w:rPr>
          <w:rFonts w:ascii="宋体" w:hAnsi="宋体"/>
        </w:rPr>
      </w:pPr>
      <w:r>
        <w:rPr>
          <w:rFonts w:hint="eastAsia" w:ascii="宋体" w:hAnsi="宋体"/>
        </w:rPr>
        <w:t>6.2　由两个或</w:t>
      </w:r>
      <w:r>
        <w:rPr>
          <w:rFonts w:hint="eastAsia"/>
        </w:rPr>
        <w:t>两个以上的自然人、法人或者其他组织可以组成一个联合体，以一个供应商的身份</w:t>
      </w:r>
      <w:r>
        <w:rPr>
          <w:rFonts w:hint="eastAsia" w:ascii="宋体" w:hAnsi="宋体"/>
        </w:rPr>
        <w:t>共同投标时，应符合以下原则：</w:t>
      </w:r>
    </w:p>
    <w:p>
      <w:pPr>
        <w:ind w:firstLine="411" w:firstLineChars="196"/>
        <w:rPr>
          <w:rFonts w:ascii="宋体" w:hAnsi="宋体"/>
        </w:rPr>
      </w:pPr>
      <w:r>
        <w:rPr>
          <w:rFonts w:hint="eastAsia" w:ascii="宋体" w:hAnsi="宋体"/>
        </w:rPr>
        <w:t>（1）投标联合体各方参加深圳市深大体育文化发展有限公司</w:t>
      </w:r>
      <w:r>
        <w:rPr>
          <w:rFonts w:ascii="宋体" w:hAnsi="宋体"/>
        </w:rPr>
        <w:t>的</w:t>
      </w:r>
      <w:r>
        <w:rPr>
          <w:rFonts w:hint="eastAsia" w:ascii="宋体" w:hAnsi="宋体"/>
        </w:rPr>
        <w:t>采购活动应当具备下列条件：</w:t>
      </w:r>
    </w:p>
    <w:p>
      <w:pPr>
        <w:ind w:left="420" w:leftChars="200" w:firstLine="411" w:firstLineChars="196"/>
        <w:rPr>
          <w:rFonts w:ascii="宋体" w:hAnsi="宋体"/>
        </w:rPr>
      </w:pPr>
      <w:r>
        <w:rPr>
          <w:rFonts w:hint="eastAsia" w:ascii="宋体" w:hAnsi="宋体"/>
        </w:rPr>
        <w:t>1、具有独立承担民事责任的能力；</w:t>
      </w:r>
    </w:p>
    <w:p>
      <w:pPr>
        <w:ind w:left="420" w:firstLine="411" w:firstLineChars="196"/>
        <w:rPr>
          <w:rFonts w:ascii="宋体" w:hAnsi="宋体"/>
        </w:rPr>
      </w:pPr>
      <w:r>
        <w:rPr>
          <w:rFonts w:hint="eastAsia" w:ascii="宋体" w:hAnsi="宋体"/>
        </w:rPr>
        <w:t>2、有良好的商业信誉和健全的财务会计制度；</w:t>
      </w:r>
    </w:p>
    <w:p>
      <w:pPr>
        <w:ind w:left="420" w:leftChars="200" w:firstLine="411" w:firstLineChars="196"/>
        <w:rPr>
          <w:rFonts w:ascii="宋体" w:hAnsi="宋体"/>
        </w:rPr>
      </w:pPr>
      <w:r>
        <w:rPr>
          <w:rFonts w:hint="eastAsia" w:ascii="宋体" w:hAnsi="宋体"/>
        </w:rPr>
        <w:t>3、具有履行合同所必需的设备和专业技术能力；</w:t>
      </w:r>
    </w:p>
    <w:p>
      <w:pPr>
        <w:ind w:left="420" w:leftChars="200" w:firstLine="411" w:firstLineChars="196"/>
        <w:rPr>
          <w:rFonts w:ascii="宋体" w:hAnsi="宋体"/>
        </w:rPr>
      </w:pPr>
      <w:r>
        <w:rPr>
          <w:rFonts w:hint="eastAsia" w:ascii="宋体" w:hAnsi="宋体"/>
        </w:rPr>
        <w:t>4、有依法缴纳税收和社会保障资金的良好记录；</w:t>
      </w:r>
    </w:p>
    <w:p>
      <w:pPr>
        <w:ind w:left="420" w:leftChars="200" w:firstLine="411" w:firstLineChars="196"/>
        <w:rPr>
          <w:rFonts w:ascii="宋体" w:hAnsi="宋体"/>
        </w:rPr>
      </w:pPr>
      <w:r>
        <w:rPr>
          <w:rFonts w:hint="eastAsia" w:ascii="宋体" w:hAnsi="宋体"/>
        </w:rPr>
        <w:t>5、参加采购活动前三年内，在经营活动中没有重大违法记录；</w:t>
      </w:r>
    </w:p>
    <w:p>
      <w:pPr>
        <w:ind w:left="420" w:leftChars="200" w:firstLine="411" w:firstLineChars="196"/>
        <w:rPr>
          <w:rFonts w:ascii="宋体" w:hAnsi="宋体"/>
        </w:rPr>
      </w:pPr>
      <w:r>
        <w:rPr>
          <w:rFonts w:hint="eastAsia" w:ascii="宋体" w:hAnsi="宋体"/>
        </w:rPr>
        <w:t>6、法律、行政法规规定的其他条件。</w:t>
      </w:r>
    </w:p>
    <w:p>
      <w:pPr>
        <w:ind w:firstLine="411" w:firstLineChars="196"/>
        <w:rPr>
          <w:rFonts w:ascii="宋体" w:hAnsi="宋体"/>
        </w:rPr>
      </w:pPr>
      <w:r>
        <w:rPr>
          <w:rFonts w:hint="eastAsia" w:ascii="宋体" w:hAnsi="宋体"/>
        </w:rPr>
        <w:t>（2）采购人根据采购项目的特殊要求规定投标人特定条件的，联合体各方中至少应当有一方符合采购人规定的特定条件。联合体中有同类资质的供应商按照联合体分工承担相同工作的，应当按照资质等级较低的供应商确定资质等级。联合体各方的不同资质可优势互补。</w:t>
      </w:r>
    </w:p>
    <w:p>
      <w:pPr>
        <w:ind w:firstLine="411" w:firstLineChars="196"/>
        <w:rPr>
          <w:rFonts w:ascii="宋体" w:hAnsi="宋体"/>
        </w:rPr>
      </w:pPr>
      <w:r>
        <w:rPr>
          <w:rFonts w:hint="eastAsia" w:ascii="宋体" w:hAnsi="宋体"/>
        </w:rPr>
        <w:t>（3）投标人的投标文件及中标后签署的合同协议对联合体各方均具法律约束力；</w:t>
      </w:r>
    </w:p>
    <w:p>
      <w:pPr>
        <w:ind w:firstLine="411" w:firstLineChars="196"/>
        <w:rPr>
          <w:rFonts w:ascii="宋体" w:hAnsi="宋体"/>
        </w:rPr>
      </w:pPr>
      <w:r>
        <w:rPr>
          <w:rFonts w:hint="eastAsia" w:ascii="宋体" w:hAnsi="宋体"/>
        </w:rPr>
        <w:t>（4）联合体各方应当签订共同投标协议，明确约定各方拟承担的工作和责任，并将该共同投标协议随投标文件一并递交给深圳市深大体育文化发展有限公司；</w:t>
      </w:r>
    </w:p>
    <w:p>
      <w:pPr>
        <w:ind w:firstLine="411" w:firstLineChars="196"/>
        <w:rPr>
          <w:rFonts w:ascii="宋体" w:hAnsi="宋体"/>
        </w:rPr>
      </w:pPr>
      <w:r>
        <w:rPr>
          <w:rFonts w:hint="eastAsia" w:ascii="宋体" w:hAnsi="宋体"/>
        </w:rPr>
        <w:t>（5）联合体中标后，联合体各方应当共同与采购单位签订合同，就中标项目向采购单位承担连带责任；</w:t>
      </w:r>
    </w:p>
    <w:p>
      <w:pPr>
        <w:ind w:firstLine="411" w:firstLineChars="196"/>
        <w:rPr>
          <w:rFonts w:ascii="宋体" w:hAnsi="宋体"/>
        </w:rPr>
      </w:pPr>
      <w:r>
        <w:rPr>
          <w:rFonts w:hint="eastAsia" w:ascii="宋体" w:hAnsi="宋体"/>
        </w:rPr>
        <w:t>（6）联合体的各方应当共同推荐一联合体投标授权代表方，由联合体各方提交一份授权书，证明其有资格代表联合体各方签署投标文件，该授权书作为投标文件的组成部分一并提交给深圳市深大体育文化发展有限公司；</w:t>
      </w:r>
    </w:p>
    <w:p>
      <w:pPr>
        <w:ind w:firstLine="411" w:firstLineChars="196"/>
        <w:rPr>
          <w:rFonts w:ascii="宋体" w:hAnsi="宋体"/>
        </w:rPr>
      </w:pPr>
      <w:r>
        <w:rPr>
          <w:rFonts w:hint="eastAsia" w:ascii="宋体" w:hAnsi="宋体"/>
        </w:rPr>
        <w:t>（7）参加联合体的各方不得再以自己名义单独在同一项目中投标，不得组成新的联合体参加同一项目投标，也不得以分包商或其它形式参与同一项目投标，出现上述情况者，其投标和与此有关联合体、总包单位的投标将被拒绝；</w:t>
      </w:r>
    </w:p>
    <w:p>
      <w:pPr>
        <w:ind w:firstLine="411" w:firstLineChars="196"/>
        <w:rPr>
          <w:rFonts w:ascii="宋体" w:hAnsi="宋体"/>
        </w:rPr>
      </w:pPr>
      <w:r>
        <w:rPr>
          <w:rFonts w:hint="eastAsia" w:ascii="宋体" w:hAnsi="宋体"/>
        </w:rPr>
        <w:t>（8）除非另有规定或说明，本通用条款中“投标人”一词亦指联合体各方。</w:t>
      </w:r>
    </w:p>
    <w:p>
      <w:pPr>
        <w:spacing w:line="360" w:lineRule="auto"/>
        <w:rPr>
          <w:rFonts w:ascii="黑体" w:hAnsi="宋体" w:eastAsia="黑体"/>
          <w:sz w:val="24"/>
        </w:rPr>
      </w:pPr>
      <w:r>
        <w:rPr>
          <w:rFonts w:hint="eastAsia" w:ascii="黑体" w:hAnsi="宋体" w:eastAsia="黑体"/>
          <w:sz w:val="24"/>
        </w:rPr>
        <w:t>7.本项目若涉及采购货物，则合格的货物及相应服务应满足以下要求：</w:t>
      </w:r>
    </w:p>
    <w:p>
      <w:pPr>
        <w:ind w:firstLine="411" w:firstLineChars="196"/>
        <w:rPr>
          <w:rFonts w:ascii="宋体" w:hAnsi="宋体"/>
        </w:rPr>
      </w:pPr>
      <w:r>
        <w:rPr>
          <w:rFonts w:hint="eastAsia" w:ascii="宋体" w:hAnsi="宋体"/>
        </w:rPr>
        <w:t>7</w:t>
      </w:r>
      <w:r>
        <w:rPr>
          <w:rFonts w:ascii="宋体" w:hAnsi="宋体"/>
        </w:rPr>
        <w:t xml:space="preserve">.1  </w:t>
      </w:r>
      <w:r>
        <w:rPr>
          <w:rFonts w:hint="eastAsia" w:ascii="宋体" w:hAnsi="宋体"/>
        </w:rPr>
        <w:t>必须是全新、未使用过的原装合格正品（包括零部件），如安装或配置了软件的，须为正版软件。</w:t>
      </w:r>
    </w:p>
    <w:p>
      <w:pPr>
        <w:ind w:firstLine="411" w:firstLineChars="196"/>
        <w:rPr>
          <w:rFonts w:ascii="宋体" w:hAnsi="宋体"/>
        </w:rPr>
      </w:pPr>
      <w:r>
        <w:rPr>
          <w:rFonts w:hint="eastAsia" w:ascii="宋体" w:hAnsi="宋体"/>
        </w:rPr>
        <w:t>7.2  国产的货物及其有关服务必须符合中华人民共和国的设计和制造生产标准或行业标准。招标公告有其他要求的，亦应符合其要求。</w:t>
      </w:r>
    </w:p>
    <w:p>
      <w:pPr>
        <w:ind w:firstLine="411" w:firstLineChars="196"/>
        <w:rPr>
          <w:rFonts w:ascii="宋体" w:hAnsi="宋体"/>
        </w:rPr>
      </w:pPr>
      <w:r>
        <w:rPr>
          <w:rFonts w:hint="eastAsia" w:ascii="宋体" w:hAnsi="宋体"/>
        </w:rPr>
        <w:t>7</w:t>
      </w:r>
      <w:r>
        <w:rPr>
          <w:rFonts w:ascii="宋体" w:hAnsi="宋体"/>
        </w:rPr>
        <w:t>.</w:t>
      </w:r>
      <w:r>
        <w:rPr>
          <w:rFonts w:hint="eastAsia" w:ascii="宋体" w:hAnsi="宋体"/>
        </w:rPr>
        <w:t>3进口货物及其有关服务必须符合原产地和/或中华人民共和国的设计和制造生产标准或行业标准。进口的货物必须具有合法的进口手续和途径，并通过中华人民共和国商检部门检验。招标公告有其他要求的，亦应符合其要求。</w:t>
      </w:r>
    </w:p>
    <w:p>
      <w:pPr>
        <w:ind w:firstLine="411" w:firstLineChars="196"/>
        <w:rPr>
          <w:rFonts w:ascii="宋体" w:hAnsi="宋体"/>
        </w:rPr>
      </w:pPr>
      <w:r>
        <w:rPr>
          <w:rFonts w:hint="eastAsia" w:ascii="宋体" w:hAnsi="宋体"/>
        </w:rPr>
        <w:t>7</w:t>
      </w:r>
      <w:r>
        <w:rPr>
          <w:rFonts w:ascii="宋体" w:hAnsi="宋体"/>
        </w:rPr>
        <w:t>.</w:t>
      </w:r>
      <w:r>
        <w:rPr>
          <w:rFonts w:hint="eastAsia" w:ascii="宋体" w:hAnsi="宋体"/>
        </w:rPr>
        <w:t>4投标人应保证，其所提供的货物在提供给采购单位前具有完全的所有权，采购单位在中华人民共和国使用该货物或货物的任何一部分时，不会产生因第三方提出的包括但不限于侵犯其专利权、商标权、版权、工业设计权等知识产权和侵犯其所有权、抵押权等物权及其他权利而引发的纠纷。如有纠纷，投标人应承担全部责任。</w:t>
      </w:r>
    </w:p>
    <w:p>
      <w:pPr>
        <w:ind w:firstLine="411" w:firstLineChars="196"/>
        <w:rPr>
          <w:rFonts w:ascii="宋体" w:hAnsi="宋体"/>
        </w:rPr>
      </w:pPr>
      <w:r>
        <w:rPr>
          <w:rFonts w:hint="eastAsia" w:ascii="宋体" w:hAnsi="宋体"/>
        </w:rPr>
        <w:t>7.5  投标人应保证，其所提供的货物应具有行政主管部门颁发的资质证书或国家质量监督部门的产品《检验报告》。设备到货验收时，还必须提供设备的产品合格证、质量保证文件。若中标后，除非另有约定，投标人必须按合同规定完成设备的安装，并达到验收标准。</w:t>
      </w:r>
    </w:p>
    <w:p>
      <w:pPr>
        <w:ind w:firstLine="411" w:firstLineChars="196"/>
        <w:rPr>
          <w:rFonts w:ascii="宋体" w:hAnsi="宋体"/>
        </w:rPr>
      </w:pPr>
      <w:r>
        <w:rPr>
          <w:rFonts w:hint="eastAsia" w:ascii="宋体" w:hAnsi="宋体"/>
        </w:rPr>
        <w:t>7.6  对工期的要求：投标人在投标时对其所投项目应提交详细的《交货进度表》，列明交货计划等，在合同规定的时间内完工验收。</w:t>
      </w:r>
    </w:p>
    <w:p>
      <w:pPr>
        <w:ind w:firstLine="411" w:firstLineChars="196"/>
        <w:rPr>
          <w:rFonts w:ascii="宋体" w:hAnsi="宋体"/>
        </w:rPr>
      </w:pPr>
      <w:r>
        <w:rPr>
          <w:rFonts w:hint="eastAsia" w:ascii="宋体" w:hAnsi="宋体"/>
        </w:rPr>
        <w:t>7.7  除非下文另有规定，产品</w:t>
      </w:r>
      <w:r>
        <w:rPr>
          <w:rFonts w:ascii="宋体" w:hAnsi="宋体"/>
        </w:rPr>
        <w:t>有效期</w:t>
      </w:r>
      <w:r>
        <w:rPr>
          <w:rFonts w:hint="eastAsia" w:ascii="宋体" w:hAnsi="宋体"/>
        </w:rPr>
        <w:t>为：</w:t>
      </w:r>
      <w:r>
        <w:rPr>
          <w:rFonts w:ascii="宋体" w:hAnsi="宋体"/>
        </w:rPr>
        <w:t>密封存放在阴凉、干燥、通风、温度为</w:t>
      </w:r>
      <w:r>
        <w:rPr>
          <w:rFonts w:hint="eastAsia" w:ascii="宋体" w:hAnsi="宋体"/>
        </w:rPr>
        <w:t>-5</w:t>
      </w:r>
      <w:r>
        <w:rPr>
          <w:rFonts w:ascii="宋体" w:hAnsi="宋体"/>
        </w:rPr>
        <w:t>°</w:t>
      </w:r>
      <w:r>
        <w:rPr>
          <w:rFonts w:hint="eastAsia" w:ascii="宋体" w:hAnsi="宋体"/>
        </w:rPr>
        <w:t>C</w:t>
      </w:r>
      <w:r>
        <w:rPr>
          <w:rFonts w:ascii="宋体" w:hAnsi="宋体"/>
        </w:rPr>
        <w:t>～40°C的环境中，有效期八</w:t>
      </w:r>
      <w:r>
        <w:rPr>
          <w:rFonts w:hint="eastAsia" w:ascii="宋体" w:hAnsi="宋体"/>
        </w:rPr>
        <w:t>年</w:t>
      </w:r>
      <w:r>
        <w:rPr>
          <w:rFonts w:ascii="宋体" w:hAnsi="宋体"/>
        </w:rPr>
        <w:t>。</w:t>
      </w:r>
      <w:r>
        <w:rPr>
          <w:rFonts w:hint="eastAsia" w:ascii="宋体" w:hAnsi="宋体"/>
        </w:rPr>
        <w:t>特殊要求的另行规定。</w:t>
      </w:r>
    </w:p>
    <w:p>
      <w:pPr>
        <w:ind w:firstLine="411" w:firstLineChars="196"/>
        <w:rPr>
          <w:rFonts w:ascii="宋体" w:hAnsi="宋体"/>
        </w:rPr>
      </w:pPr>
      <w:r>
        <w:rPr>
          <w:rFonts w:hint="eastAsia" w:ascii="宋体" w:hAnsi="宋体"/>
        </w:rPr>
        <w:t>7.8  服务响应期：24小时以内到达采购单位现场。特殊要求的另行规定。</w:t>
      </w:r>
    </w:p>
    <w:p>
      <w:pPr>
        <w:ind w:firstLine="411" w:firstLineChars="196"/>
        <w:rPr>
          <w:rFonts w:ascii="宋体" w:hAnsi="宋体"/>
        </w:rPr>
      </w:pPr>
      <w:r>
        <w:rPr>
          <w:rFonts w:hint="eastAsia" w:ascii="宋体" w:hAnsi="宋体"/>
        </w:rPr>
        <w:t>7.9  投标人必须承担的设备运输、安装调试、验收检测和提供设备操作说明书、图纸等其他相关及类似的义务。</w:t>
      </w:r>
    </w:p>
    <w:p>
      <w:pPr>
        <w:spacing w:line="360" w:lineRule="auto"/>
        <w:rPr>
          <w:rFonts w:ascii="黑体" w:hAnsi="宋体" w:eastAsia="黑体"/>
          <w:sz w:val="24"/>
        </w:rPr>
      </w:pPr>
      <w:r>
        <w:rPr>
          <w:rFonts w:hint="eastAsia" w:ascii="黑体" w:hAnsi="宋体" w:eastAsia="黑体"/>
          <w:sz w:val="24"/>
        </w:rPr>
        <w:t>8．投标费用</w:t>
      </w:r>
      <w:bookmarkEnd w:id="73"/>
      <w:bookmarkEnd w:id="74"/>
      <w:bookmarkEnd w:id="75"/>
      <w:bookmarkEnd w:id="76"/>
      <w:bookmarkEnd w:id="77"/>
      <w:bookmarkEnd w:id="78"/>
      <w:bookmarkEnd w:id="79"/>
    </w:p>
    <w:p>
      <w:pPr>
        <w:ind w:firstLine="411" w:firstLineChars="196"/>
        <w:rPr>
          <w:rFonts w:ascii="宋体" w:hAnsi="宋体"/>
          <w:szCs w:val="21"/>
        </w:rPr>
      </w:pPr>
      <w:r>
        <w:rPr>
          <w:rFonts w:hint="eastAsia" w:ascii="宋体" w:hAnsi="宋体"/>
          <w:szCs w:val="21"/>
        </w:rPr>
        <w:t>不论投标结果如何，投标人应承担其编制投标文件与递交投标文件所涉及的一切费用。</w:t>
      </w:r>
    </w:p>
    <w:p>
      <w:pPr>
        <w:spacing w:line="360" w:lineRule="auto"/>
        <w:rPr>
          <w:rFonts w:ascii="黑体" w:hAnsi="宋体" w:eastAsia="黑体"/>
          <w:sz w:val="24"/>
        </w:rPr>
      </w:pPr>
      <w:bookmarkStart w:id="80" w:name="_Toc73518124"/>
      <w:bookmarkStart w:id="81" w:name="_Toc73521554"/>
      <w:bookmarkStart w:id="82" w:name="_Toc73517646"/>
      <w:bookmarkStart w:id="83" w:name="_Toc73521642"/>
      <w:bookmarkStart w:id="84" w:name="_Toc60560632"/>
      <w:bookmarkStart w:id="85" w:name="_Toc100052371"/>
      <w:bookmarkStart w:id="86" w:name="_Toc60631627"/>
      <w:r>
        <w:rPr>
          <w:rFonts w:hint="eastAsia" w:ascii="黑体" w:hAnsi="宋体" w:eastAsia="黑体"/>
          <w:sz w:val="24"/>
        </w:rPr>
        <w:t>9．踏勘现场</w:t>
      </w:r>
      <w:bookmarkEnd w:id="80"/>
      <w:bookmarkEnd w:id="81"/>
      <w:bookmarkEnd w:id="82"/>
      <w:bookmarkEnd w:id="83"/>
      <w:bookmarkEnd w:id="84"/>
      <w:bookmarkEnd w:id="85"/>
      <w:bookmarkEnd w:id="86"/>
    </w:p>
    <w:p>
      <w:pPr>
        <w:ind w:firstLine="411" w:firstLineChars="196"/>
        <w:rPr>
          <w:rFonts w:ascii="宋体" w:hAnsi="宋体"/>
        </w:rPr>
      </w:pPr>
      <w:bookmarkStart w:id="87" w:name="_Toc78260681"/>
      <w:bookmarkStart w:id="88" w:name="_Toc100052372"/>
      <w:r>
        <w:rPr>
          <w:rFonts w:hint="eastAsia" w:ascii="宋体" w:hAnsi="宋体"/>
        </w:rPr>
        <w:t>9.1如有需要，采购机构或采购单位将组织投标人对项目现场及周围环境进行踏勘，以便投标人获取有关编制投标文件和签署合同所需的所有资料。踏勘现场所发生的费用由投标人自己承担，投标人应按招标公告所约定的时间、地点统一踏勘现场。</w:t>
      </w:r>
    </w:p>
    <w:p>
      <w:pPr>
        <w:ind w:firstLine="411" w:firstLineChars="196"/>
        <w:rPr>
          <w:rFonts w:ascii="宋体" w:hAnsi="宋体"/>
        </w:rPr>
      </w:pPr>
      <w:r>
        <w:rPr>
          <w:rFonts w:hint="eastAsia" w:ascii="宋体" w:hAnsi="宋体"/>
        </w:rPr>
        <w:t>9.2投标人及其人员经过采购单位的允许，可以踏勘目的进入采购单位的项目现场。若本项目招标文件要求投标人于统一时间地点踏勘现场的，投标人应当按时前往。</w:t>
      </w:r>
    </w:p>
    <w:p>
      <w:pPr>
        <w:ind w:firstLine="411" w:firstLineChars="196"/>
        <w:rPr>
          <w:rFonts w:ascii="宋体" w:hAnsi="宋体"/>
        </w:rPr>
      </w:pPr>
      <w:r>
        <w:rPr>
          <w:rFonts w:hint="eastAsia" w:ascii="宋体" w:hAnsi="宋体"/>
        </w:rPr>
        <w:t>9.3采购单位必须通过采购机构向投标人提供有关现场的资料和数据。</w:t>
      </w:r>
    </w:p>
    <w:p>
      <w:pPr>
        <w:ind w:firstLine="411" w:firstLineChars="196"/>
        <w:rPr>
          <w:rFonts w:ascii="宋体" w:hAnsi="宋体"/>
        </w:rPr>
      </w:pPr>
      <w:r>
        <w:rPr>
          <w:rFonts w:hint="eastAsia" w:ascii="宋体" w:hAnsi="宋体"/>
        </w:rPr>
        <w:t>9.4任何人或任何组织在踏勘现场时向投标人提交的任何书面或口头上的资料，未经采购机构在网上发布或书面通知，均作无效处理。采购机构对投标人由此而做出的推论、理解和结论概不负责。</w:t>
      </w:r>
    </w:p>
    <w:p>
      <w:pPr>
        <w:ind w:firstLine="411" w:firstLineChars="196"/>
        <w:rPr>
          <w:rFonts w:ascii="宋体" w:hAnsi="宋体"/>
        </w:rPr>
      </w:pPr>
      <w:r>
        <w:rPr>
          <w:rFonts w:hint="eastAsia" w:ascii="宋体" w:hAnsi="宋体"/>
        </w:rPr>
        <w:t>9.5 未参与现场踏勘不能作为否定投标人资格的理由。</w:t>
      </w:r>
    </w:p>
    <w:p>
      <w:pPr>
        <w:spacing w:line="360" w:lineRule="auto"/>
        <w:rPr>
          <w:rFonts w:ascii="黑体" w:hAnsi="宋体" w:eastAsia="黑体"/>
          <w:sz w:val="24"/>
        </w:rPr>
      </w:pPr>
      <w:r>
        <w:rPr>
          <w:rFonts w:hint="eastAsia" w:ascii="黑体" w:hAnsi="宋体" w:eastAsia="黑体"/>
          <w:sz w:val="24"/>
        </w:rPr>
        <w:t>10．招标</w:t>
      </w:r>
      <w:bookmarkEnd w:id="87"/>
      <w:r>
        <w:rPr>
          <w:rFonts w:hint="eastAsia" w:ascii="黑体" w:hAnsi="宋体" w:eastAsia="黑体"/>
          <w:sz w:val="24"/>
        </w:rPr>
        <w:t>答疑</w:t>
      </w:r>
      <w:bookmarkEnd w:id="88"/>
    </w:p>
    <w:p>
      <w:pPr>
        <w:ind w:firstLine="411" w:firstLineChars="196"/>
        <w:rPr>
          <w:rFonts w:ascii="宋体" w:hAnsi="宋体"/>
          <w:szCs w:val="21"/>
        </w:rPr>
      </w:pPr>
      <w:r>
        <w:rPr>
          <w:rFonts w:hint="eastAsia" w:ascii="宋体" w:hAnsi="宋体"/>
          <w:szCs w:val="21"/>
        </w:rPr>
        <w:t>10.1招标答疑的目的是澄清、解答投标人在查阅招标文件后或现场踏勘中可能提出的与投标有关的疑问或询问。</w:t>
      </w:r>
    </w:p>
    <w:p>
      <w:pPr>
        <w:ind w:firstLine="411" w:firstLineChars="196"/>
        <w:rPr>
          <w:rFonts w:ascii="宋体" w:hAnsi="宋体"/>
          <w:szCs w:val="21"/>
        </w:rPr>
      </w:pPr>
      <w:r>
        <w:rPr>
          <w:rFonts w:hint="eastAsia" w:ascii="宋体" w:hAnsi="宋体"/>
          <w:szCs w:val="21"/>
        </w:rPr>
        <w:t>10.2投标人提出的与投标有关的问题须在招标文件规定的答疑截止时间前以书面形式提交给采购机构。</w:t>
      </w:r>
    </w:p>
    <w:p>
      <w:pPr>
        <w:ind w:firstLine="411" w:firstLineChars="196"/>
        <w:rPr>
          <w:rFonts w:ascii="宋体" w:hAnsi="宋体"/>
          <w:szCs w:val="21"/>
        </w:rPr>
      </w:pPr>
      <w:r>
        <w:rPr>
          <w:rFonts w:hint="eastAsia" w:ascii="宋体" w:hAnsi="宋体"/>
          <w:szCs w:val="21"/>
        </w:rPr>
        <w:t>10.3采购机构对疑问所做出的澄清和解答，以书面答复（包括网站发布信息）为准。答疑纪要的有效性规定按照本通用条款第13</w:t>
      </w:r>
      <w:r>
        <w:rPr>
          <w:rFonts w:ascii="宋体" w:hAnsi="宋体"/>
          <w:szCs w:val="21"/>
        </w:rPr>
        <w:t>.3</w:t>
      </w:r>
      <w:r>
        <w:rPr>
          <w:rFonts w:hint="eastAsia" w:ascii="宋体" w:hAnsi="宋体"/>
          <w:szCs w:val="21"/>
        </w:rPr>
        <w:t>、13</w:t>
      </w:r>
      <w:r>
        <w:rPr>
          <w:rFonts w:ascii="宋体" w:hAnsi="宋体"/>
          <w:szCs w:val="21"/>
        </w:rPr>
        <w:t>.4</w:t>
      </w:r>
      <w:r>
        <w:rPr>
          <w:rFonts w:hint="eastAsia" w:ascii="宋体" w:hAnsi="宋体"/>
          <w:szCs w:val="21"/>
        </w:rPr>
        <w:t>款规定执行。</w:t>
      </w:r>
    </w:p>
    <w:p>
      <w:pPr>
        <w:ind w:firstLine="411" w:firstLineChars="196"/>
        <w:rPr>
          <w:rFonts w:ascii="宋体" w:hAnsi="宋体"/>
          <w:szCs w:val="21"/>
        </w:rPr>
      </w:pPr>
      <w:r>
        <w:rPr>
          <w:rFonts w:hint="eastAsia" w:ascii="宋体" w:hAnsi="宋体"/>
          <w:szCs w:val="21"/>
        </w:rPr>
        <w:t>10.4如采购机构认为有必要组织现场答疑会，投标人应按照招标文件规定的时间或采购机构另行书面通知（包括网站发布的通知）的时间和地点，参与现场答疑会。</w:t>
      </w:r>
    </w:p>
    <w:p>
      <w:pPr>
        <w:ind w:firstLine="411" w:firstLineChars="196"/>
        <w:rPr>
          <w:rFonts w:ascii="宋体" w:hAnsi="宋体"/>
        </w:rPr>
      </w:pPr>
      <w:r>
        <w:rPr>
          <w:rFonts w:hint="eastAsia" w:ascii="宋体" w:hAnsi="宋体"/>
          <w:szCs w:val="21"/>
        </w:rPr>
        <w:t>10.5未参与招标答疑不作为否定投标人资格的理由。</w:t>
      </w:r>
    </w:p>
    <w:p>
      <w:pPr>
        <w:keepNext/>
        <w:keepLines/>
        <w:numPr>
          <w:ilvl w:val="0"/>
          <w:numId w:val="5"/>
        </w:numPr>
        <w:adjustRightInd w:val="0"/>
        <w:spacing w:before="120" w:beforeLines="50" w:after="120" w:afterLines="50"/>
        <w:jc w:val="center"/>
        <w:textAlignment w:val="baseline"/>
        <w:outlineLvl w:val="1"/>
        <w:rPr>
          <w:rFonts w:ascii="Arial" w:hAnsi="Arial" w:eastAsia="黑体"/>
          <w:b/>
          <w:bCs/>
          <w:sz w:val="28"/>
          <w:szCs w:val="28"/>
        </w:rPr>
      </w:pPr>
      <w:bookmarkStart w:id="89" w:name="bt招标文件"/>
      <w:bookmarkEnd w:id="89"/>
      <w:bookmarkStart w:id="90" w:name="_Toc73521644"/>
      <w:bookmarkStart w:id="91" w:name="_Toc100052373"/>
      <w:bookmarkStart w:id="92" w:name="_Toc73517648"/>
      <w:bookmarkStart w:id="93" w:name="_Toc73518126"/>
      <w:bookmarkStart w:id="94" w:name="_Toc73521556"/>
      <w:bookmarkStart w:id="95" w:name="_Toc101074878"/>
      <w:r>
        <w:rPr>
          <w:rFonts w:hint="eastAsia" w:ascii="Arial" w:hAnsi="Arial" w:eastAsia="黑体"/>
          <w:b/>
          <w:bCs/>
          <w:sz w:val="28"/>
          <w:szCs w:val="28"/>
        </w:rPr>
        <w:t>招标文件</w:t>
      </w:r>
      <w:bookmarkEnd w:id="90"/>
      <w:bookmarkEnd w:id="91"/>
      <w:bookmarkEnd w:id="92"/>
      <w:bookmarkEnd w:id="93"/>
      <w:bookmarkEnd w:id="94"/>
      <w:bookmarkEnd w:id="95"/>
    </w:p>
    <w:p>
      <w:pPr>
        <w:spacing w:line="360" w:lineRule="auto"/>
        <w:rPr>
          <w:rFonts w:ascii="黑体" w:hAnsi="宋体" w:eastAsia="黑体"/>
          <w:sz w:val="24"/>
        </w:rPr>
      </w:pPr>
      <w:bookmarkStart w:id="96" w:name="_Toc73518127"/>
      <w:bookmarkStart w:id="97" w:name="_Toc100052374"/>
      <w:bookmarkStart w:id="98" w:name="_Toc73517649"/>
      <w:bookmarkStart w:id="99" w:name="_Toc73521557"/>
      <w:bookmarkStart w:id="100" w:name="_Toc73521645"/>
      <w:r>
        <w:rPr>
          <w:rFonts w:hint="eastAsia" w:ascii="黑体" w:hAnsi="宋体" w:eastAsia="黑体"/>
          <w:sz w:val="24"/>
        </w:rPr>
        <w:t>11．招标文件的编制与组成</w:t>
      </w:r>
      <w:bookmarkEnd w:id="96"/>
      <w:bookmarkEnd w:id="97"/>
      <w:bookmarkEnd w:id="98"/>
      <w:bookmarkEnd w:id="99"/>
      <w:bookmarkEnd w:id="100"/>
    </w:p>
    <w:p>
      <w:pPr>
        <w:snapToGrid w:val="0"/>
        <w:ind w:firstLine="420" w:firstLineChars="200"/>
        <w:rPr>
          <w:rFonts w:ascii="宋体" w:hAnsi="宋体"/>
          <w:szCs w:val="21"/>
        </w:rPr>
      </w:pPr>
      <w:r>
        <w:rPr>
          <w:rFonts w:hint="eastAsia" w:ascii="宋体" w:hAnsi="宋体"/>
          <w:szCs w:val="21"/>
        </w:rPr>
        <w:t>11.1招标文件除以下内容外，采购机构在招标（或谈判）期间发出的答疑纪要和其他补充修改函件，均是招标文件的组成部分，对投标人起约束作用；</w:t>
      </w:r>
    </w:p>
    <w:p>
      <w:pPr>
        <w:ind w:firstLine="411" w:firstLineChars="196"/>
        <w:rPr>
          <w:rFonts w:ascii="宋体" w:hAnsi="宋体"/>
          <w:szCs w:val="21"/>
        </w:rPr>
      </w:pPr>
      <w:r>
        <w:rPr>
          <w:rFonts w:hint="eastAsia" w:ascii="宋体" w:hAnsi="宋体"/>
          <w:szCs w:val="21"/>
        </w:rPr>
        <w:t>招标文件包括下列内容：</w:t>
      </w:r>
    </w:p>
    <w:p>
      <w:pPr>
        <w:ind w:left="420" w:leftChars="200" w:firstLine="413" w:firstLineChars="196"/>
        <w:rPr>
          <w:rFonts w:ascii="宋体" w:hAnsi="宋体"/>
          <w:b/>
          <w:szCs w:val="21"/>
        </w:rPr>
      </w:pPr>
      <w:r>
        <w:rPr>
          <w:rFonts w:hint="eastAsia" w:ascii="宋体" w:hAnsi="宋体"/>
          <w:b/>
          <w:szCs w:val="21"/>
        </w:rPr>
        <w:t>第一册  专用条款</w:t>
      </w:r>
    </w:p>
    <w:p>
      <w:pPr>
        <w:ind w:left="1079" w:leftChars="514"/>
        <w:rPr>
          <w:rFonts w:ascii="宋体" w:hAnsi="宋体"/>
          <w:b/>
          <w:szCs w:val="21"/>
        </w:rPr>
      </w:pPr>
      <w:r>
        <w:rPr>
          <w:rFonts w:hint="eastAsia" w:ascii="宋体" w:hAnsi="宋体"/>
          <w:b/>
          <w:szCs w:val="21"/>
        </w:rPr>
        <w:t>关键信息</w:t>
      </w:r>
    </w:p>
    <w:p>
      <w:pPr>
        <w:ind w:left="630" w:leftChars="300" w:firstLine="411" w:firstLineChars="196"/>
        <w:rPr>
          <w:rFonts w:ascii="宋体" w:hAnsi="宋体"/>
          <w:szCs w:val="21"/>
        </w:rPr>
      </w:pPr>
      <w:r>
        <w:rPr>
          <w:rFonts w:hint="eastAsia" w:ascii="宋体" w:hAnsi="宋体"/>
          <w:szCs w:val="21"/>
        </w:rPr>
        <w:t>第一章  招标公告</w:t>
      </w:r>
    </w:p>
    <w:p>
      <w:pPr>
        <w:ind w:left="630" w:leftChars="300" w:firstLine="411" w:firstLineChars="196"/>
        <w:rPr>
          <w:rFonts w:ascii="宋体" w:hAnsi="宋体"/>
          <w:szCs w:val="21"/>
        </w:rPr>
      </w:pPr>
      <w:r>
        <w:rPr>
          <w:rFonts w:hint="eastAsia" w:ascii="宋体" w:hAnsi="宋体"/>
          <w:szCs w:val="21"/>
        </w:rPr>
        <w:t>第二章  招标项目需求</w:t>
      </w:r>
    </w:p>
    <w:p>
      <w:pPr>
        <w:ind w:left="630" w:leftChars="300" w:firstLine="411" w:firstLineChars="196"/>
        <w:rPr>
          <w:rFonts w:ascii="宋体" w:hAnsi="宋体"/>
          <w:szCs w:val="21"/>
        </w:rPr>
      </w:pPr>
      <w:r>
        <w:rPr>
          <w:rFonts w:hint="eastAsia" w:ascii="宋体" w:hAnsi="宋体"/>
          <w:szCs w:val="21"/>
        </w:rPr>
        <w:t>第三章  合同条款及格式</w:t>
      </w:r>
    </w:p>
    <w:p>
      <w:pPr>
        <w:ind w:left="630" w:leftChars="300" w:firstLine="411" w:firstLineChars="196"/>
        <w:rPr>
          <w:rFonts w:ascii="宋体" w:hAnsi="宋体"/>
          <w:szCs w:val="21"/>
        </w:rPr>
      </w:pPr>
      <w:r>
        <w:rPr>
          <w:rFonts w:hint="eastAsia" w:ascii="宋体" w:hAnsi="宋体"/>
          <w:szCs w:val="21"/>
        </w:rPr>
        <w:t>第四章  投标文件格式、附件</w:t>
      </w:r>
    </w:p>
    <w:p>
      <w:pPr>
        <w:ind w:left="630" w:leftChars="300" w:firstLine="411" w:firstLineChars="196"/>
        <w:rPr>
          <w:rFonts w:ascii="宋体" w:hAnsi="宋体"/>
          <w:szCs w:val="21"/>
        </w:rPr>
      </w:pPr>
      <w:r>
        <w:rPr>
          <w:rFonts w:hint="eastAsia" w:ascii="宋体" w:hAnsi="宋体"/>
          <w:szCs w:val="21"/>
        </w:rPr>
        <w:t>第五章  深圳市深大体育文化发展有限公司采购履约情况反馈表</w:t>
      </w:r>
    </w:p>
    <w:p>
      <w:pPr>
        <w:ind w:left="420" w:leftChars="200" w:firstLine="413" w:firstLineChars="196"/>
        <w:rPr>
          <w:rFonts w:ascii="宋体" w:hAnsi="宋体"/>
          <w:b/>
          <w:szCs w:val="21"/>
        </w:rPr>
      </w:pPr>
      <w:r>
        <w:rPr>
          <w:rFonts w:hint="eastAsia" w:ascii="宋体" w:hAnsi="宋体"/>
          <w:b/>
          <w:szCs w:val="21"/>
        </w:rPr>
        <w:t>第二册  通用条款</w:t>
      </w:r>
    </w:p>
    <w:p>
      <w:pPr>
        <w:numPr>
          <w:ilvl w:val="1"/>
          <w:numId w:val="0"/>
        </w:numPr>
        <w:tabs>
          <w:tab w:val="left" w:pos="360"/>
        </w:tabs>
        <w:ind w:firstLine="1079" w:firstLineChars="514"/>
        <w:rPr>
          <w:szCs w:val="21"/>
        </w:rPr>
      </w:pPr>
      <w:r>
        <w:rPr>
          <w:rFonts w:hint="eastAsia"/>
          <w:szCs w:val="21"/>
        </w:rPr>
        <w:t>第一章  总则</w:t>
      </w:r>
    </w:p>
    <w:p>
      <w:pPr>
        <w:numPr>
          <w:ilvl w:val="1"/>
          <w:numId w:val="0"/>
        </w:numPr>
        <w:tabs>
          <w:tab w:val="left" w:pos="360"/>
        </w:tabs>
        <w:ind w:firstLine="1079" w:firstLineChars="514"/>
        <w:rPr>
          <w:szCs w:val="21"/>
        </w:rPr>
      </w:pPr>
      <w:r>
        <w:rPr>
          <w:rFonts w:hint="eastAsia"/>
          <w:szCs w:val="21"/>
        </w:rPr>
        <w:t>第二章  招标文件</w:t>
      </w:r>
    </w:p>
    <w:p>
      <w:pPr>
        <w:numPr>
          <w:ilvl w:val="1"/>
          <w:numId w:val="0"/>
        </w:numPr>
        <w:tabs>
          <w:tab w:val="left" w:pos="360"/>
        </w:tabs>
        <w:ind w:firstLine="1079" w:firstLineChars="514"/>
        <w:rPr>
          <w:szCs w:val="21"/>
        </w:rPr>
      </w:pPr>
      <w:r>
        <w:rPr>
          <w:rFonts w:hint="eastAsia"/>
          <w:szCs w:val="21"/>
        </w:rPr>
        <w:t>第三章  投标文件的编制</w:t>
      </w:r>
    </w:p>
    <w:p>
      <w:pPr>
        <w:numPr>
          <w:ilvl w:val="1"/>
          <w:numId w:val="0"/>
        </w:numPr>
        <w:tabs>
          <w:tab w:val="left" w:pos="360"/>
        </w:tabs>
        <w:ind w:firstLine="1079" w:firstLineChars="514"/>
        <w:rPr>
          <w:szCs w:val="21"/>
        </w:rPr>
      </w:pPr>
      <w:r>
        <w:rPr>
          <w:rFonts w:hint="eastAsia"/>
          <w:szCs w:val="21"/>
        </w:rPr>
        <w:t>第四章  投标文件的递交</w:t>
      </w:r>
    </w:p>
    <w:p>
      <w:pPr>
        <w:numPr>
          <w:ilvl w:val="1"/>
          <w:numId w:val="0"/>
        </w:numPr>
        <w:tabs>
          <w:tab w:val="left" w:pos="360"/>
        </w:tabs>
        <w:ind w:firstLine="1079" w:firstLineChars="514"/>
        <w:rPr>
          <w:szCs w:val="21"/>
        </w:rPr>
      </w:pPr>
      <w:r>
        <w:rPr>
          <w:rFonts w:hint="eastAsia"/>
          <w:szCs w:val="21"/>
        </w:rPr>
        <w:t>第五章  开标</w:t>
      </w:r>
    </w:p>
    <w:p>
      <w:pPr>
        <w:numPr>
          <w:ilvl w:val="1"/>
          <w:numId w:val="0"/>
        </w:numPr>
        <w:tabs>
          <w:tab w:val="left" w:pos="360"/>
        </w:tabs>
        <w:ind w:firstLine="1079" w:firstLineChars="514"/>
        <w:rPr>
          <w:szCs w:val="21"/>
        </w:rPr>
      </w:pPr>
      <w:r>
        <w:rPr>
          <w:rFonts w:hint="eastAsia"/>
          <w:szCs w:val="21"/>
        </w:rPr>
        <w:t>第六章  评标要求</w:t>
      </w:r>
    </w:p>
    <w:p>
      <w:pPr>
        <w:numPr>
          <w:ilvl w:val="1"/>
          <w:numId w:val="0"/>
        </w:numPr>
        <w:tabs>
          <w:tab w:val="left" w:pos="360"/>
        </w:tabs>
        <w:ind w:firstLine="1079" w:firstLineChars="514"/>
        <w:rPr>
          <w:szCs w:val="21"/>
        </w:rPr>
      </w:pPr>
      <w:r>
        <w:rPr>
          <w:rFonts w:hint="eastAsia"/>
          <w:szCs w:val="21"/>
        </w:rPr>
        <w:t>第七章  评标程序及评标方法</w:t>
      </w:r>
    </w:p>
    <w:p>
      <w:pPr>
        <w:numPr>
          <w:ilvl w:val="1"/>
          <w:numId w:val="0"/>
        </w:numPr>
        <w:tabs>
          <w:tab w:val="left" w:pos="360"/>
        </w:tabs>
        <w:ind w:firstLine="1079" w:firstLineChars="514"/>
        <w:rPr>
          <w:szCs w:val="21"/>
        </w:rPr>
      </w:pPr>
      <w:r>
        <w:rPr>
          <w:rFonts w:hint="eastAsia"/>
          <w:szCs w:val="21"/>
        </w:rPr>
        <w:t>第八章  定标及公示</w:t>
      </w:r>
    </w:p>
    <w:p>
      <w:pPr>
        <w:numPr>
          <w:ilvl w:val="1"/>
          <w:numId w:val="0"/>
        </w:numPr>
        <w:tabs>
          <w:tab w:val="left" w:pos="360"/>
        </w:tabs>
        <w:ind w:firstLine="1079" w:firstLineChars="514"/>
        <w:rPr>
          <w:szCs w:val="21"/>
        </w:rPr>
      </w:pPr>
      <w:r>
        <w:rPr>
          <w:rFonts w:hint="eastAsia"/>
          <w:szCs w:val="21"/>
        </w:rPr>
        <w:t>第九章  公开招标失败的后续处理</w:t>
      </w:r>
    </w:p>
    <w:p>
      <w:pPr>
        <w:numPr>
          <w:ilvl w:val="1"/>
          <w:numId w:val="0"/>
        </w:numPr>
        <w:tabs>
          <w:tab w:val="left" w:pos="360"/>
        </w:tabs>
        <w:ind w:firstLine="1079" w:firstLineChars="514"/>
        <w:rPr>
          <w:szCs w:val="21"/>
        </w:rPr>
      </w:pPr>
      <w:r>
        <w:rPr>
          <w:rFonts w:hint="eastAsia"/>
          <w:szCs w:val="21"/>
        </w:rPr>
        <w:t>第十章  合同的授予与备案</w:t>
      </w:r>
    </w:p>
    <w:p>
      <w:pPr>
        <w:numPr>
          <w:ilvl w:val="1"/>
          <w:numId w:val="0"/>
        </w:numPr>
        <w:tabs>
          <w:tab w:val="left" w:pos="360"/>
        </w:tabs>
        <w:ind w:firstLine="1079" w:firstLineChars="514"/>
        <w:rPr>
          <w:szCs w:val="21"/>
        </w:rPr>
      </w:pPr>
      <w:r>
        <w:rPr>
          <w:rFonts w:hint="eastAsia"/>
          <w:szCs w:val="21"/>
        </w:rPr>
        <w:t>第十一章  质疑处理</w:t>
      </w:r>
    </w:p>
    <w:p>
      <w:pPr>
        <w:ind w:firstLine="411" w:firstLineChars="196"/>
        <w:rPr>
          <w:rFonts w:ascii="宋体" w:hAnsi="宋体"/>
          <w:szCs w:val="21"/>
        </w:rPr>
      </w:pPr>
      <w:bookmarkStart w:id="101" w:name="_Toc60631631"/>
      <w:bookmarkStart w:id="102" w:name="_Toc73521558"/>
      <w:bookmarkStart w:id="103" w:name="_Toc100052375"/>
      <w:bookmarkStart w:id="104" w:name="_Toc73518128"/>
      <w:bookmarkStart w:id="105" w:name="_Toc73517650"/>
      <w:bookmarkStart w:id="106" w:name="_Toc73521646"/>
      <w:bookmarkStart w:id="107" w:name="_Toc60560636"/>
      <w:bookmarkStart w:id="108" w:name="_Toc73521559"/>
      <w:bookmarkStart w:id="109" w:name="_Toc60631632"/>
      <w:bookmarkStart w:id="110" w:name="_Toc73518129"/>
      <w:bookmarkStart w:id="111" w:name="_Toc100052376"/>
      <w:bookmarkStart w:id="112" w:name="_Toc73517651"/>
      <w:bookmarkStart w:id="113" w:name="_Toc60560637"/>
      <w:bookmarkStart w:id="114" w:name="_Toc73521647"/>
      <w:r>
        <w:rPr>
          <w:rFonts w:hint="eastAsia" w:ascii="宋体" w:hAnsi="宋体"/>
          <w:szCs w:val="21"/>
        </w:rPr>
        <w:t>11.2 投标人获得招标文件后，应仔细检查招标文件的所有内容，如有残缺应在答疑截止时间之前向采购机构提出，否则，由此引起的投标损失自负；投标人同时应认真审阅招标文件所有的事项、格式、条款和规范要求等，如果投标人的投标文件没有按招标文件要求提交全部资料或者投标文件没有对招标文件做出实质性响应，其风险应由投标人自行承担，并根据有关条款规定，其投标有可能被拒绝。</w:t>
      </w:r>
    </w:p>
    <w:p>
      <w:pPr>
        <w:ind w:firstLine="411" w:firstLineChars="196"/>
        <w:rPr>
          <w:rFonts w:ascii="宋体" w:hAnsi="宋体"/>
          <w:szCs w:val="21"/>
        </w:rPr>
      </w:pPr>
      <w:r>
        <w:rPr>
          <w:rFonts w:hint="eastAsia" w:ascii="宋体" w:hAnsi="宋体"/>
          <w:szCs w:val="21"/>
        </w:rPr>
        <w:t>11.3</w:t>
      </w:r>
      <w:r>
        <w:rPr>
          <w:rFonts w:hint="eastAsia" w:ascii="宋体" w:hAnsi="宋体"/>
        </w:rPr>
        <w:t>任何人或任何组织向投标人提交的任何书面或口头资料，未经采购机构在网上发布或书面通知，均作无效处理，不得作为招标文件的组成部分。采购机构对投标人由此而做出的推论、理解和结论概不负责。</w:t>
      </w:r>
    </w:p>
    <w:p>
      <w:pPr>
        <w:spacing w:line="360" w:lineRule="auto"/>
        <w:rPr>
          <w:rFonts w:ascii="黑体" w:hAnsi="宋体" w:eastAsia="黑体"/>
          <w:sz w:val="24"/>
        </w:rPr>
      </w:pPr>
      <w:r>
        <w:rPr>
          <w:rFonts w:hint="eastAsia" w:ascii="黑体" w:hAnsi="宋体" w:eastAsia="黑体"/>
          <w:sz w:val="24"/>
        </w:rPr>
        <w:t>12．招标文件的澄清</w:t>
      </w:r>
      <w:bookmarkEnd w:id="101"/>
      <w:bookmarkEnd w:id="102"/>
      <w:bookmarkEnd w:id="103"/>
      <w:bookmarkEnd w:id="104"/>
      <w:bookmarkEnd w:id="105"/>
      <w:bookmarkEnd w:id="106"/>
      <w:bookmarkEnd w:id="107"/>
    </w:p>
    <w:p>
      <w:pPr>
        <w:snapToGrid w:val="0"/>
        <w:ind w:firstLine="420" w:firstLineChars="200"/>
        <w:rPr>
          <w:rFonts w:ascii="宋体" w:hAnsi="宋体"/>
          <w:szCs w:val="21"/>
        </w:rPr>
      </w:pPr>
      <w:r>
        <w:rPr>
          <w:rFonts w:hint="eastAsia" w:ascii="宋体" w:hAnsi="宋体"/>
          <w:szCs w:val="21"/>
        </w:rPr>
        <w:t>12.1投标人在收到招标文件后，对招标文件任何部分若有任何疑问，或要求澄清招标文件的，均应在招标公告规定的答疑截止时间内，以</w:t>
      </w:r>
      <w:r>
        <w:rPr>
          <w:rFonts w:ascii="宋体" w:hAnsi="宋体"/>
          <w:szCs w:val="21"/>
        </w:rPr>
        <w:t>书面</w:t>
      </w:r>
      <w:r>
        <w:rPr>
          <w:rFonts w:hint="eastAsia" w:ascii="宋体" w:hAnsi="宋体"/>
          <w:szCs w:val="21"/>
        </w:rPr>
        <w:t>形式向采购机构提交。不论是采购机构根据需要主动对招标文件进行必要的澄清或是根据投标人的要求对招标文件做出澄清，采购机构都将在投标截止日期前以书面形式（包括深圳市深大体育文化发展有限公司网站公开发布方式）答复或发送给所有投标人。澄清纪要作为招标文件的组成部分，对投标人起约束作用；</w:t>
      </w:r>
    </w:p>
    <w:p>
      <w:pPr>
        <w:snapToGrid w:val="0"/>
        <w:ind w:firstLine="420" w:firstLineChars="200"/>
        <w:rPr>
          <w:rFonts w:ascii="宋体" w:hAnsi="宋体"/>
          <w:szCs w:val="21"/>
        </w:rPr>
      </w:pPr>
      <w:r>
        <w:rPr>
          <w:rFonts w:hint="eastAsia" w:ascii="宋体" w:hAnsi="宋体"/>
          <w:szCs w:val="21"/>
        </w:rPr>
        <w:t>12.2对于没有提出澄清又参与了该项目投标的供应商将被视为完全认同该</w:t>
      </w:r>
      <w:r>
        <w:rPr>
          <w:rFonts w:hint="eastAsia"/>
        </w:rPr>
        <w:t>招标文件（含澄清纪要）</w:t>
      </w:r>
      <w:r>
        <w:rPr>
          <w:rFonts w:hint="eastAsia" w:ascii="宋体" w:hAnsi="宋体"/>
          <w:szCs w:val="21"/>
        </w:rPr>
        <w:t>，投标截止期后不再受理针对招标文件的相关质疑或投诉。</w:t>
      </w:r>
    </w:p>
    <w:p>
      <w:pPr>
        <w:snapToGrid w:val="0"/>
        <w:ind w:firstLine="420" w:firstLineChars="200"/>
        <w:rPr>
          <w:rFonts w:ascii="宋体" w:hAnsi="宋体"/>
          <w:szCs w:val="21"/>
        </w:rPr>
      </w:pPr>
      <w:r>
        <w:rPr>
          <w:rFonts w:hint="eastAsia" w:ascii="宋体" w:hAnsi="宋体"/>
          <w:szCs w:val="21"/>
        </w:rPr>
        <w:t>12.3 对招标文件中描述有歧义或前后不一致的地方，评标委员会有权进行评判，但对同一条款的评判应适用于每个投标人。</w:t>
      </w:r>
    </w:p>
    <w:p>
      <w:pPr>
        <w:spacing w:line="360" w:lineRule="auto"/>
        <w:rPr>
          <w:rFonts w:ascii="黑体" w:hAnsi="宋体" w:eastAsia="黑体"/>
          <w:sz w:val="24"/>
        </w:rPr>
      </w:pPr>
      <w:r>
        <w:rPr>
          <w:rFonts w:ascii="黑体" w:hAnsi="宋体" w:eastAsia="黑体"/>
          <w:sz w:val="24"/>
        </w:rPr>
        <w:t>1</w:t>
      </w:r>
      <w:r>
        <w:rPr>
          <w:rFonts w:hint="eastAsia" w:ascii="黑体" w:hAnsi="宋体" w:eastAsia="黑体"/>
          <w:sz w:val="24"/>
        </w:rPr>
        <w:t>3．招标文件的修改</w:t>
      </w:r>
      <w:bookmarkEnd w:id="108"/>
      <w:bookmarkEnd w:id="109"/>
      <w:bookmarkEnd w:id="110"/>
      <w:bookmarkEnd w:id="111"/>
      <w:bookmarkEnd w:id="112"/>
      <w:bookmarkEnd w:id="113"/>
      <w:bookmarkEnd w:id="114"/>
    </w:p>
    <w:p>
      <w:pPr>
        <w:ind w:firstLine="411" w:firstLineChars="196"/>
        <w:rPr>
          <w:rFonts w:ascii="宋体" w:hAnsi="宋体"/>
          <w:szCs w:val="21"/>
        </w:rPr>
      </w:pPr>
      <w:bookmarkStart w:id="115" w:name="bt投标文件"/>
      <w:bookmarkEnd w:id="115"/>
      <w:bookmarkStart w:id="116" w:name="_Toc73521648"/>
      <w:bookmarkStart w:id="117" w:name="_Toc73521560"/>
      <w:bookmarkStart w:id="118" w:name="_Toc73518130"/>
      <w:bookmarkStart w:id="119" w:name="_Toc101074879"/>
      <w:bookmarkStart w:id="120" w:name="_Toc73517652"/>
      <w:bookmarkStart w:id="121" w:name="_Toc100052377"/>
      <w:r>
        <w:rPr>
          <w:rFonts w:ascii="宋体" w:hAnsi="宋体"/>
          <w:szCs w:val="21"/>
        </w:rPr>
        <w:t>1</w:t>
      </w:r>
      <w:r>
        <w:rPr>
          <w:rFonts w:hint="eastAsia" w:ascii="宋体" w:hAnsi="宋体"/>
          <w:szCs w:val="21"/>
        </w:rPr>
        <w:t>3.1招标文件发出后，在投标截止日期前任何时候，确需要变更招标内容的，采购机构可主动地或在解答投标人提出的澄清问题时对招标文件进行修改；</w:t>
      </w:r>
    </w:p>
    <w:p>
      <w:pPr>
        <w:ind w:firstLine="411" w:firstLineChars="196"/>
        <w:rPr>
          <w:rFonts w:ascii="宋体" w:hAnsi="宋体"/>
          <w:szCs w:val="21"/>
        </w:rPr>
      </w:pPr>
      <w:r>
        <w:rPr>
          <w:rFonts w:ascii="宋体" w:hAnsi="宋体"/>
          <w:szCs w:val="21"/>
        </w:rPr>
        <w:t>1</w:t>
      </w:r>
      <w:r>
        <w:rPr>
          <w:rFonts w:hint="eastAsia" w:ascii="宋体" w:hAnsi="宋体"/>
          <w:szCs w:val="21"/>
        </w:rPr>
        <w:t>3.2招标文件的修改以书面形式（包括网站公开发布方式）发送给所有投标人，招标文件的修改内容作为招标文件的组成部分，并具有约束力。</w:t>
      </w:r>
    </w:p>
    <w:p>
      <w:pPr>
        <w:ind w:firstLine="411" w:firstLineChars="196"/>
        <w:rPr>
          <w:rFonts w:ascii="宋体" w:hAnsi="宋体"/>
          <w:szCs w:val="21"/>
        </w:rPr>
      </w:pPr>
      <w:r>
        <w:rPr>
          <w:rFonts w:ascii="宋体" w:hAnsi="宋体"/>
          <w:szCs w:val="21"/>
        </w:rPr>
        <w:t>1</w:t>
      </w:r>
      <w:r>
        <w:rPr>
          <w:rFonts w:hint="eastAsia" w:ascii="宋体" w:hAnsi="宋体"/>
          <w:szCs w:val="21"/>
        </w:rPr>
        <w:t>3.3招标文件、招标文件澄清（答疑）纪要、招标文件修改补充通知内容均以书面（包括网站公开发布方式）明确的内容为准。当招标文件、修改补充通知、澄清（答疑）纪要内容相互矛盾时，以最后发出的通知（或纪要）或修改文件为准；</w:t>
      </w:r>
    </w:p>
    <w:p>
      <w:pPr>
        <w:ind w:firstLine="411" w:firstLineChars="196"/>
        <w:rPr>
          <w:rFonts w:ascii="宋体" w:hAnsi="宋体"/>
          <w:szCs w:val="21"/>
        </w:rPr>
      </w:pPr>
      <w:r>
        <w:rPr>
          <w:rFonts w:ascii="宋体" w:hAnsi="宋体"/>
          <w:szCs w:val="21"/>
        </w:rPr>
        <w:t>1</w:t>
      </w:r>
      <w:r>
        <w:rPr>
          <w:rFonts w:hint="eastAsia" w:ascii="宋体" w:hAnsi="宋体"/>
          <w:szCs w:val="21"/>
        </w:rPr>
        <w:t>3.4采购机构保证招标文件澄清（答疑）纪要和招标文件修改补充通知在投标截止时间前以网站公开发布形式或书面形式发送给所有投标人。为使投标人在编写投标文件时有充分时间对招标文件的修改部分进行研究，采购机构可以酌情延长递交投标文件的截止日期，具体时间将在修改补充通知中明确。</w:t>
      </w:r>
    </w:p>
    <w:p>
      <w:pPr>
        <w:keepNext/>
        <w:keepLines/>
        <w:numPr>
          <w:ilvl w:val="0"/>
          <w:numId w:val="5"/>
        </w:numPr>
        <w:adjustRightInd w:val="0"/>
        <w:spacing w:before="120" w:beforeLines="50" w:after="120" w:afterLines="50"/>
        <w:jc w:val="center"/>
        <w:textAlignment w:val="baseline"/>
        <w:outlineLvl w:val="1"/>
        <w:rPr>
          <w:rFonts w:ascii="Arial" w:hAnsi="Arial" w:eastAsia="黑体"/>
          <w:b/>
          <w:bCs/>
          <w:sz w:val="28"/>
          <w:szCs w:val="28"/>
        </w:rPr>
      </w:pPr>
      <w:r>
        <w:rPr>
          <w:rFonts w:hint="eastAsia" w:ascii="Arial" w:hAnsi="Arial" w:eastAsia="黑体"/>
          <w:b/>
          <w:bCs/>
          <w:sz w:val="28"/>
          <w:szCs w:val="28"/>
        </w:rPr>
        <w:t>投标文件</w:t>
      </w:r>
      <w:bookmarkEnd w:id="116"/>
      <w:bookmarkEnd w:id="117"/>
      <w:bookmarkEnd w:id="118"/>
      <w:bookmarkEnd w:id="119"/>
      <w:bookmarkEnd w:id="120"/>
      <w:bookmarkEnd w:id="121"/>
      <w:r>
        <w:rPr>
          <w:rFonts w:hint="eastAsia" w:ascii="Arial" w:hAnsi="Arial" w:eastAsia="黑体"/>
          <w:b/>
          <w:bCs/>
          <w:sz w:val="28"/>
          <w:szCs w:val="28"/>
        </w:rPr>
        <w:t>的编制</w:t>
      </w:r>
    </w:p>
    <w:p>
      <w:pPr>
        <w:spacing w:line="360" w:lineRule="auto"/>
        <w:rPr>
          <w:rFonts w:ascii="黑体" w:hAnsi="宋体" w:eastAsia="黑体"/>
          <w:sz w:val="24"/>
        </w:rPr>
      </w:pPr>
      <w:bookmarkStart w:id="122" w:name="_Toc100052378"/>
      <w:bookmarkStart w:id="123" w:name="_Toc73521649"/>
      <w:bookmarkStart w:id="124" w:name="_Toc73518131"/>
      <w:bookmarkStart w:id="125" w:name="_Toc73517653"/>
      <w:bookmarkStart w:id="126" w:name="_Toc60631634"/>
      <w:bookmarkStart w:id="127" w:name="_Toc60560639"/>
      <w:bookmarkStart w:id="128" w:name="_Toc73521561"/>
      <w:r>
        <w:rPr>
          <w:rFonts w:hint="eastAsia" w:ascii="黑体" w:hAnsi="宋体" w:eastAsia="黑体"/>
          <w:sz w:val="24"/>
        </w:rPr>
        <w:t>14．投标文件的语言及度量单位</w:t>
      </w:r>
      <w:bookmarkEnd w:id="122"/>
      <w:bookmarkEnd w:id="123"/>
      <w:bookmarkEnd w:id="124"/>
      <w:bookmarkEnd w:id="125"/>
      <w:bookmarkEnd w:id="126"/>
      <w:bookmarkEnd w:id="127"/>
      <w:bookmarkEnd w:id="128"/>
    </w:p>
    <w:p>
      <w:pPr>
        <w:ind w:firstLine="411" w:firstLineChars="196"/>
        <w:rPr>
          <w:rFonts w:ascii="宋体" w:hAnsi="宋体"/>
          <w:szCs w:val="21"/>
        </w:rPr>
      </w:pPr>
      <w:r>
        <w:rPr>
          <w:rFonts w:hint="eastAsia" w:ascii="宋体" w:hAnsi="宋体"/>
          <w:szCs w:val="21"/>
        </w:rPr>
        <w:t>14.1 投标人和采购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pPr>
        <w:ind w:firstLine="411" w:firstLineChars="196"/>
        <w:rPr>
          <w:rFonts w:ascii="宋体" w:hAnsi="宋体"/>
          <w:szCs w:val="21"/>
        </w:rPr>
      </w:pPr>
      <w:r>
        <w:rPr>
          <w:rFonts w:hint="eastAsia" w:ascii="宋体" w:hAnsi="宋体"/>
          <w:szCs w:val="21"/>
        </w:rPr>
        <w:t>14.2 除技术规范另有规定外，投标文件使用的度量单位，均采用中华人民共和国法定计量单位。</w:t>
      </w:r>
    </w:p>
    <w:p>
      <w:pPr>
        <w:spacing w:line="360" w:lineRule="auto"/>
        <w:rPr>
          <w:rFonts w:ascii="黑体" w:hAnsi="宋体" w:eastAsia="黑体"/>
          <w:sz w:val="24"/>
        </w:rPr>
      </w:pPr>
      <w:bookmarkStart w:id="129" w:name="_Toc60631635"/>
      <w:bookmarkStart w:id="130" w:name="_Toc73517654"/>
      <w:bookmarkStart w:id="131" w:name="_Toc60560640"/>
      <w:bookmarkStart w:id="132" w:name="_Toc73518132"/>
      <w:bookmarkStart w:id="133" w:name="_Toc100052379"/>
      <w:bookmarkStart w:id="134" w:name="_Toc73521562"/>
      <w:bookmarkStart w:id="135" w:name="_Toc73521650"/>
      <w:r>
        <w:rPr>
          <w:rFonts w:hint="eastAsia" w:ascii="黑体" w:hAnsi="宋体" w:eastAsia="黑体"/>
          <w:sz w:val="24"/>
        </w:rPr>
        <w:t>15．投标文件的组成</w:t>
      </w:r>
      <w:bookmarkEnd w:id="129"/>
      <w:bookmarkEnd w:id="130"/>
      <w:bookmarkEnd w:id="131"/>
      <w:bookmarkEnd w:id="132"/>
      <w:bookmarkEnd w:id="133"/>
      <w:bookmarkEnd w:id="134"/>
      <w:bookmarkEnd w:id="135"/>
    </w:p>
    <w:p>
      <w:pPr>
        <w:ind w:firstLine="413" w:firstLineChars="196"/>
        <w:rPr>
          <w:rFonts w:ascii="宋体" w:hAnsi="宋体"/>
          <w:b/>
          <w:szCs w:val="21"/>
        </w:rPr>
      </w:pPr>
      <w:r>
        <w:rPr>
          <w:rFonts w:hint="eastAsia" w:ascii="宋体" w:hAnsi="宋体"/>
          <w:b/>
          <w:szCs w:val="21"/>
        </w:rPr>
        <w:t>具体内容请详见本项目专用条款的相关内容。</w:t>
      </w:r>
      <w:bookmarkStart w:id="136" w:name="投标文件的组成"/>
      <w:bookmarkStart w:id="137" w:name="_Toc73521563"/>
      <w:bookmarkStart w:id="138" w:name="_Toc60631636"/>
      <w:bookmarkStart w:id="139" w:name="_Toc73518133"/>
      <w:bookmarkStart w:id="140" w:name="_Toc60560641"/>
      <w:bookmarkStart w:id="141" w:name="_Toc73521651"/>
      <w:bookmarkStart w:id="142" w:name="_Toc73517655"/>
    </w:p>
    <w:bookmarkEnd w:id="136"/>
    <w:p>
      <w:pPr>
        <w:spacing w:line="360" w:lineRule="auto"/>
        <w:rPr>
          <w:rFonts w:ascii="黑体" w:hAnsi="宋体" w:eastAsia="黑体"/>
          <w:sz w:val="24"/>
        </w:rPr>
      </w:pPr>
      <w:bookmarkStart w:id="143" w:name="_Toc100052380"/>
      <w:r>
        <w:rPr>
          <w:rFonts w:hint="eastAsia" w:ascii="黑体" w:hAnsi="宋体" w:eastAsia="黑体"/>
          <w:sz w:val="24"/>
        </w:rPr>
        <w:t>16．投标文件格式</w:t>
      </w:r>
      <w:bookmarkEnd w:id="137"/>
      <w:bookmarkEnd w:id="138"/>
      <w:bookmarkEnd w:id="139"/>
      <w:bookmarkEnd w:id="140"/>
      <w:bookmarkEnd w:id="141"/>
      <w:bookmarkEnd w:id="142"/>
      <w:bookmarkEnd w:id="143"/>
    </w:p>
    <w:p>
      <w:pPr>
        <w:ind w:firstLine="411" w:firstLineChars="196"/>
        <w:rPr>
          <w:rFonts w:ascii="宋体" w:hAnsi="宋体"/>
          <w:szCs w:val="21"/>
        </w:rPr>
      </w:pPr>
      <w:r>
        <w:rPr>
          <w:rFonts w:hint="eastAsia" w:ascii="宋体" w:hAnsi="宋体"/>
          <w:szCs w:val="21"/>
        </w:rPr>
        <w:t>投标文件包括本通用条款第15条中规定的内容。如招标文件提供了投标文件格式，则</w:t>
      </w:r>
      <w:r>
        <w:rPr>
          <w:rFonts w:hint="eastAsia" w:ascii="宋体" w:hAnsi="宋体"/>
          <w:b/>
          <w:bCs/>
          <w:szCs w:val="21"/>
        </w:rPr>
        <w:t>投标人提交的投标文件应毫无例外地使用招标文件所提供的相应格式</w:t>
      </w:r>
      <w:r>
        <w:rPr>
          <w:rFonts w:hint="eastAsia" w:ascii="宋体" w:hAnsi="宋体"/>
          <w:szCs w:val="21"/>
        </w:rPr>
        <w:t>（表格可以按同样格式扩展）。</w:t>
      </w:r>
      <w:bookmarkStart w:id="144" w:name="_Toc60631638"/>
      <w:bookmarkStart w:id="145" w:name="_Toc73518135"/>
      <w:bookmarkStart w:id="146" w:name="_Toc73521653"/>
      <w:bookmarkStart w:id="147" w:name="_Toc73521565"/>
      <w:bookmarkStart w:id="148" w:name="_Toc60560643"/>
      <w:bookmarkStart w:id="149" w:name="_Toc73517657"/>
    </w:p>
    <w:p>
      <w:pPr>
        <w:spacing w:line="360" w:lineRule="auto"/>
        <w:rPr>
          <w:rFonts w:ascii="黑体" w:hAnsi="宋体" w:eastAsia="黑体"/>
          <w:sz w:val="24"/>
        </w:rPr>
      </w:pPr>
      <w:bookmarkStart w:id="150" w:name="_Toc100052382"/>
      <w:r>
        <w:rPr>
          <w:rFonts w:hint="eastAsia" w:ascii="黑体" w:hAnsi="宋体" w:eastAsia="黑体"/>
          <w:sz w:val="24"/>
        </w:rPr>
        <w:t>17．投标货币</w:t>
      </w:r>
      <w:bookmarkEnd w:id="144"/>
      <w:bookmarkEnd w:id="145"/>
      <w:bookmarkEnd w:id="146"/>
      <w:bookmarkEnd w:id="147"/>
      <w:bookmarkEnd w:id="148"/>
      <w:bookmarkEnd w:id="149"/>
      <w:bookmarkEnd w:id="150"/>
    </w:p>
    <w:p>
      <w:pPr>
        <w:ind w:firstLine="411" w:firstLineChars="196"/>
        <w:rPr>
          <w:rFonts w:ascii="宋体" w:hAnsi="宋体"/>
          <w:szCs w:val="21"/>
        </w:rPr>
      </w:pPr>
      <w:r>
        <w:rPr>
          <w:rFonts w:hint="eastAsia" w:ascii="宋体" w:hAnsi="宋体"/>
          <w:szCs w:val="21"/>
        </w:rPr>
        <w:t>本项目的投标应以人民币计。</w:t>
      </w:r>
    </w:p>
    <w:p>
      <w:pPr>
        <w:spacing w:line="360" w:lineRule="auto"/>
        <w:rPr>
          <w:rFonts w:ascii="黑体" w:hAnsi="宋体" w:eastAsia="黑体"/>
          <w:sz w:val="24"/>
        </w:rPr>
      </w:pPr>
      <w:r>
        <w:rPr>
          <w:rFonts w:hint="eastAsia" w:ascii="黑体" w:hAnsi="宋体" w:eastAsia="黑体"/>
          <w:sz w:val="24"/>
        </w:rPr>
        <w:t>18．证明投标文件投标技术方案的合格性和符合招标文件规定的文件要求</w:t>
      </w:r>
    </w:p>
    <w:p>
      <w:pPr>
        <w:ind w:firstLine="411" w:firstLineChars="196"/>
        <w:rPr>
          <w:rFonts w:ascii="宋体" w:hAnsi="宋体"/>
          <w:szCs w:val="21"/>
        </w:rPr>
      </w:pPr>
      <w:r>
        <w:rPr>
          <w:rFonts w:hint="eastAsia" w:ascii="宋体" w:hAnsi="宋体"/>
          <w:szCs w:val="21"/>
        </w:rPr>
        <w:t>18</w:t>
      </w:r>
      <w:r>
        <w:rPr>
          <w:rFonts w:ascii="宋体" w:hAnsi="宋体"/>
          <w:szCs w:val="21"/>
        </w:rPr>
        <w:t xml:space="preserve">.1 </w:t>
      </w:r>
      <w:r>
        <w:rPr>
          <w:rFonts w:hint="eastAsia" w:ascii="宋体" w:hAnsi="宋体"/>
          <w:szCs w:val="21"/>
        </w:rPr>
        <w:t>投标人应提交证明文件证明其投标技术方案项下的货物、工程和服务的合格性符合招标文件规定。该投标技术方案及其证明文件作为投标文件的一部分。</w:t>
      </w:r>
    </w:p>
    <w:p>
      <w:pPr>
        <w:ind w:firstLine="411" w:firstLineChars="196"/>
        <w:rPr>
          <w:rFonts w:ascii="宋体" w:hAnsi="宋体"/>
          <w:szCs w:val="21"/>
        </w:rPr>
      </w:pPr>
      <w:r>
        <w:rPr>
          <w:rFonts w:ascii="宋体" w:hAnsi="宋体"/>
          <w:szCs w:val="21"/>
        </w:rPr>
        <w:t>1</w:t>
      </w:r>
      <w:r>
        <w:rPr>
          <w:rFonts w:hint="eastAsia" w:ascii="宋体" w:hAnsi="宋体"/>
          <w:szCs w:val="21"/>
        </w:rPr>
        <w:t>8</w:t>
      </w:r>
      <w:r>
        <w:rPr>
          <w:rFonts w:ascii="宋体" w:hAnsi="宋体"/>
          <w:szCs w:val="21"/>
        </w:rPr>
        <w:t xml:space="preserve">.2 </w:t>
      </w:r>
      <w:r>
        <w:rPr>
          <w:rFonts w:hint="eastAsia" w:ascii="宋体" w:hAnsi="宋体"/>
          <w:szCs w:val="21"/>
        </w:rPr>
        <w:t>投标人提供证明投标技术方案与招标文件的要求相一致的文件，可以是文字资料、图纸、数据或数码照片、制造商公布的产品说明书、产品彩页和我国政府机构出具的产品检验和核准证件等，以证明投标人响应的真实性。它包括并应符合以下要求：</w:t>
      </w:r>
    </w:p>
    <w:p>
      <w:pPr>
        <w:ind w:firstLine="411" w:firstLineChars="196"/>
        <w:rPr>
          <w:rFonts w:ascii="宋体" w:hAnsi="宋体"/>
          <w:szCs w:val="21"/>
        </w:rPr>
      </w:pPr>
      <w:r>
        <w:rPr>
          <w:rFonts w:hint="eastAsia" w:ascii="宋体" w:hAnsi="宋体"/>
          <w:szCs w:val="21"/>
        </w:rPr>
        <w:t>18.2.1主要技术指标和性能的详细说明。</w:t>
      </w:r>
    </w:p>
    <w:p>
      <w:pPr>
        <w:ind w:firstLine="411" w:firstLineChars="196"/>
        <w:rPr>
          <w:rFonts w:ascii="宋体" w:hAnsi="宋体"/>
          <w:szCs w:val="21"/>
        </w:rPr>
      </w:pPr>
      <w:r>
        <w:rPr>
          <w:rFonts w:hint="eastAsia" w:ascii="宋体" w:hAnsi="宋体"/>
          <w:szCs w:val="21"/>
        </w:rPr>
        <w:t>18.2.</w:t>
      </w:r>
      <w:r>
        <w:rPr>
          <w:rFonts w:ascii="宋体" w:hAnsi="宋体"/>
          <w:szCs w:val="21"/>
        </w:rPr>
        <w:t>2</w:t>
      </w:r>
      <w:r>
        <w:rPr>
          <w:rFonts w:hint="eastAsia" w:ascii="宋体" w:hAnsi="宋体"/>
          <w:szCs w:val="21"/>
        </w:rPr>
        <w:t>投标产品从采购单位开始使用至招标文件中规定的周期内正常、连续地使用所必须的备件和专用工具清单，包括备件和专用工具的货源及现行价格。</w:t>
      </w:r>
    </w:p>
    <w:p>
      <w:pPr>
        <w:ind w:firstLine="411" w:firstLineChars="196"/>
        <w:rPr>
          <w:rFonts w:ascii="宋体" w:hAnsi="宋体"/>
          <w:szCs w:val="21"/>
        </w:rPr>
      </w:pPr>
      <w:r>
        <w:rPr>
          <w:rFonts w:hint="eastAsia" w:ascii="宋体" w:hAnsi="宋体"/>
          <w:szCs w:val="21"/>
        </w:rPr>
        <w:t>18.2.</w:t>
      </w:r>
      <w:r>
        <w:rPr>
          <w:rFonts w:ascii="宋体" w:hAnsi="宋体"/>
          <w:szCs w:val="21"/>
        </w:rPr>
        <w:t>3</w:t>
      </w:r>
      <w:r>
        <w:rPr>
          <w:rFonts w:hint="eastAsia" w:ascii="宋体" w:hAnsi="宋体"/>
          <w:szCs w:val="21"/>
        </w:rPr>
        <w:t>对照招标文件技术规格，逐条说明投标技术方案已对采购单位的技术规格做出了实质性的响应，或申明与技术规格条文的偏差和例外。投标人应详细说明投标技术方案中产品的具体参数，不得照搬照抄招标文件的技术要求。</w:t>
      </w:r>
    </w:p>
    <w:p>
      <w:pPr>
        <w:ind w:firstLine="411" w:firstLineChars="196"/>
        <w:rPr>
          <w:rFonts w:ascii="宋体" w:hAnsi="宋体"/>
          <w:szCs w:val="21"/>
        </w:rPr>
      </w:pPr>
      <w:r>
        <w:rPr>
          <w:rFonts w:hint="eastAsia" w:ascii="宋体" w:hAnsi="宋体"/>
          <w:szCs w:val="21"/>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清晰度应该能够被阅读、识别和判断。</w:t>
      </w:r>
    </w:p>
    <w:p>
      <w:pPr>
        <w:ind w:firstLine="411" w:firstLineChars="196"/>
        <w:rPr>
          <w:rFonts w:ascii="宋体" w:hAnsi="宋体"/>
          <w:szCs w:val="21"/>
        </w:rPr>
      </w:pPr>
      <w:r>
        <w:rPr>
          <w:rFonts w:hint="eastAsia" w:ascii="宋体" w:hAnsi="宋体"/>
          <w:szCs w:val="21"/>
        </w:rPr>
        <w:t>18.2.5我国政府机构出具的产品检验和核准证件应为证件正面、背面和附件标注的全部具体内容；产品检验和核准证件的尺寸和清晰度应该能够被阅读、识别和判断。</w:t>
      </w:r>
    </w:p>
    <w:p>
      <w:pPr>
        <w:ind w:firstLine="411" w:firstLineChars="196"/>
        <w:rPr>
          <w:rFonts w:ascii="宋体" w:hAnsi="宋体"/>
          <w:szCs w:val="21"/>
        </w:rPr>
      </w:pPr>
      <w:r>
        <w:rPr>
          <w:rFonts w:hint="eastAsia" w:ascii="宋体" w:hAnsi="宋体"/>
          <w:szCs w:val="21"/>
        </w:rPr>
        <w:t>18.3相关资料不符合18.2款要求的，评标委员会有权认定为投标技术方案不合格响应，其相关分数予以扣减或作废标处理。</w:t>
      </w:r>
    </w:p>
    <w:p>
      <w:pPr>
        <w:ind w:firstLine="411" w:firstLineChars="196"/>
        <w:rPr>
          <w:rFonts w:ascii="宋体" w:hAnsi="宋体"/>
          <w:szCs w:val="21"/>
        </w:rPr>
      </w:pPr>
      <w:r>
        <w:rPr>
          <w:rFonts w:hint="eastAsia" w:ascii="宋体" w:hAnsi="宋体"/>
          <w:szCs w:val="21"/>
        </w:rPr>
        <w:t>18.4评标委员会有权对以谋取中标为目的的技术规格模糊响应（如有意照搬照抄招标文件的技术要求）或虚假响应予以认定。供应商上述行为一经发现或查实，除扣分或废标外，还可能被一并处以没收投标保证金和1年内不能参加深圳市深大体育文化发展有限公司采购活动的处罚，采购机构可视情况报</w:t>
      </w:r>
      <w:r>
        <w:rPr>
          <w:rFonts w:hint="eastAsia" w:ascii="宋体" w:hAnsi="宋体"/>
          <w:szCs w:val="21"/>
          <w:lang w:eastAsia="zh-CN"/>
        </w:rPr>
        <w:t>公司</w:t>
      </w:r>
      <w:r>
        <w:rPr>
          <w:rFonts w:hint="eastAsia" w:ascii="宋体" w:hAnsi="宋体"/>
          <w:szCs w:val="21"/>
        </w:rPr>
        <w:t>采购监督管理部门做进一步处理。</w:t>
      </w:r>
    </w:p>
    <w:p>
      <w:pPr>
        <w:ind w:firstLine="411" w:firstLineChars="196"/>
        <w:rPr>
          <w:rFonts w:ascii="宋体" w:hAnsi="宋体"/>
          <w:szCs w:val="21"/>
        </w:rPr>
      </w:pPr>
      <w:r>
        <w:rPr>
          <w:rFonts w:ascii="宋体" w:hAnsi="宋体"/>
          <w:szCs w:val="21"/>
        </w:rPr>
        <w:t>1</w:t>
      </w:r>
      <w:r>
        <w:rPr>
          <w:rFonts w:hint="eastAsia" w:ascii="宋体" w:hAnsi="宋体"/>
          <w:szCs w:val="21"/>
        </w:rPr>
        <w:t>8</w:t>
      </w:r>
      <w:r>
        <w:rPr>
          <w:rFonts w:ascii="宋体" w:hAnsi="宋体"/>
          <w:szCs w:val="21"/>
        </w:rPr>
        <w:t>.</w:t>
      </w:r>
      <w:r>
        <w:rPr>
          <w:rFonts w:hint="eastAsia" w:ascii="宋体" w:hAnsi="宋体"/>
          <w:szCs w:val="21"/>
        </w:rPr>
        <w:t>5投标人在阐述上述第18.2时应注意采购单位在技术规格中指出的工艺、材料和设备的标准以及参照的牌号或分类号仅起说明作用，并没有任何限制性。投标人在投标中可以选用替代标准、牌号或分类号，但这些替代要实质上满足招标文件中技术规格的要求，是否</w:t>
      </w:r>
      <w:r>
        <w:rPr>
          <w:rFonts w:hint="eastAsia"/>
        </w:rPr>
        <w:t>满足要求</w:t>
      </w:r>
      <w:r>
        <w:rPr>
          <w:rFonts w:hint="eastAsia" w:ascii="宋体" w:hAnsi="宋体"/>
          <w:szCs w:val="21"/>
        </w:rPr>
        <w:t>，由评标委员会来评判。</w:t>
      </w:r>
    </w:p>
    <w:p>
      <w:pPr>
        <w:ind w:firstLine="411" w:firstLineChars="196"/>
        <w:rPr>
          <w:rFonts w:ascii="宋体" w:hAnsi="宋体"/>
          <w:szCs w:val="21"/>
        </w:rPr>
      </w:pPr>
      <w:r>
        <w:rPr>
          <w:rFonts w:hint="eastAsia" w:ascii="宋体" w:hAnsi="宋体"/>
          <w:szCs w:val="21"/>
        </w:rPr>
        <w:t>18.6为保证公平公正，除非另有规定或说明，投标人对同一货物或服务投标时，不得同时提供两套或两套以上的投标方案。</w:t>
      </w:r>
    </w:p>
    <w:p>
      <w:pPr>
        <w:spacing w:line="360" w:lineRule="auto"/>
        <w:rPr>
          <w:rFonts w:ascii="黑体" w:hAnsi="宋体" w:eastAsia="黑体"/>
          <w:sz w:val="24"/>
        </w:rPr>
      </w:pPr>
      <w:r>
        <w:rPr>
          <w:rFonts w:hint="eastAsia" w:ascii="黑体" w:hAnsi="宋体" w:eastAsia="黑体"/>
          <w:sz w:val="24"/>
        </w:rPr>
        <w:t>19．投标文件其他证明文件的要求</w:t>
      </w:r>
    </w:p>
    <w:p>
      <w:pPr>
        <w:ind w:firstLine="411" w:firstLineChars="196"/>
        <w:rPr>
          <w:rFonts w:ascii="宋体" w:hAnsi="宋体"/>
          <w:szCs w:val="21"/>
        </w:rPr>
      </w:pPr>
      <w:r>
        <w:rPr>
          <w:rFonts w:hint="eastAsia" w:ascii="宋体" w:hAnsi="宋体"/>
          <w:szCs w:val="21"/>
        </w:rPr>
        <w:t>19.1对项目招标文件《评标信息》评分项中涉及的相关业绩、社保情况、纳税情况、银行资信等级和资金流状况等内容以及《投标文件初审表》中涉及的资格证书，投标人应提供相关部门出具的证明材料原件复印件，原件备查。上述证明材料应为证件正面、背面和附件标注的全部具体内容；有关原件复印的尺寸和清晰度应该能够被阅读、识别和判断。若投标人未按要求提供证明材料或提供的是部分证明材料或提供不清晰的原件复印件的，评标委员会有权认定其投标文件未对招标文件有关需求进行响应，涉及资格性检查或符合性检查的予以废标处理，涉及《评标信息》打分项的则该项评分予以0分处理。</w:t>
      </w:r>
    </w:p>
    <w:p>
      <w:pPr>
        <w:ind w:firstLine="411" w:firstLineChars="196"/>
        <w:rPr>
          <w:rFonts w:ascii="宋体" w:hAnsi="宋体"/>
          <w:szCs w:val="21"/>
        </w:rPr>
      </w:pPr>
      <w:r>
        <w:rPr>
          <w:rFonts w:hint="eastAsia" w:ascii="宋体" w:hAnsi="宋体"/>
          <w:szCs w:val="21"/>
        </w:rPr>
        <w:t>19.2本项目涉及提供的有关资质证书，若原有资质证书处于年审期间，须提供证书颁发部门提供的回执，并且回执须证明该证书依然有效，则该投标人提供年审证明的可按原资质投标；若投标人正在申报上一级别资质，在未获批准之前，仍按原级别资质投标。</w:t>
      </w:r>
    </w:p>
    <w:p>
      <w:pPr>
        <w:spacing w:line="360" w:lineRule="auto"/>
        <w:rPr>
          <w:rFonts w:ascii="黑体" w:hAnsi="宋体" w:eastAsia="黑体"/>
          <w:sz w:val="24"/>
        </w:rPr>
      </w:pPr>
      <w:bookmarkStart w:id="151" w:name="_Toc73521566"/>
      <w:bookmarkStart w:id="152" w:name="_Toc60560644"/>
      <w:bookmarkStart w:id="153" w:name="_Toc60631639"/>
      <w:bookmarkStart w:id="154" w:name="_Toc73517658"/>
      <w:bookmarkStart w:id="155" w:name="_Toc100052383"/>
      <w:bookmarkStart w:id="156" w:name="_Toc73521654"/>
      <w:bookmarkStart w:id="157" w:name="_Toc73518136"/>
      <w:r>
        <w:rPr>
          <w:rFonts w:hint="eastAsia" w:ascii="黑体" w:hAnsi="宋体" w:eastAsia="黑体"/>
          <w:sz w:val="24"/>
        </w:rPr>
        <w:t>20．投标有效期</w:t>
      </w:r>
      <w:bookmarkEnd w:id="151"/>
      <w:bookmarkEnd w:id="152"/>
      <w:bookmarkEnd w:id="153"/>
      <w:bookmarkEnd w:id="154"/>
      <w:bookmarkEnd w:id="155"/>
      <w:bookmarkEnd w:id="156"/>
      <w:bookmarkEnd w:id="157"/>
    </w:p>
    <w:p>
      <w:pPr>
        <w:ind w:firstLine="411" w:firstLineChars="196"/>
        <w:rPr>
          <w:rFonts w:ascii="宋体" w:hAnsi="宋体"/>
          <w:szCs w:val="21"/>
        </w:rPr>
      </w:pPr>
      <w:r>
        <w:rPr>
          <w:rFonts w:hint="eastAsia" w:ascii="宋体" w:hAnsi="宋体"/>
          <w:szCs w:val="21"/>
        </w:rPr>
        <w:t>20.1 投标有效期为</w:t>
      </w:r>
      <w:r>
        <w:rPr>
          <w:rFonts w:hint="eastAsia" w:ascii="Arial" w:hAnsi="Arial" w:cs="Arial"/>
          <w:szCs w:val="21"/>
        </w:rPr>
        <w:t>从投标截止之日算起的日历天数，具体见专用条款中投标有效期的天数要求。</w:t>
      </w:r>
      <w:r>
        <w:rPr>
          <w:rFonts w:hint="eastAsia" w:ascii="宋体" w:hAnsi="宋体"/>
          <w:szCs w:val="21"/>
        </w:rPr>
        <w:t>在此期限内，所有投标文件均保持有效；</w:t>
      </w:r>
    </w:p>
    <w:p>
      <w:pPr>
        <w:ind w:firstLine="411" w:firstLineChars="196"/>
        <w:rPr>
          <w:rFonts w:ascii="宋体" w:hAnsi="宋体"/>
          <w:szCs w:val="21"/>
        </w:rPr>
      </w:pPr>
      <w:r>
        <w:rPr>
          <w:rFonts w:hint="eastAsia" w:ascii="宋体" w:hAnsi="宋体"/>
          <w:szCs w:val="21"/>
        </w:rPr>
        <w:t>20.2 在特殊的情况下，采购机构在原定的投标有效期满之前，可以根据需要以书面形式（包括网站公开发布方式）向投标人提出延长投标有效期的要求，对此要求投标人须以书面形式予以答复，投标人可以拒绝采购机构此项要求，而不被没收投标保证金，其投标在原投标有效期满后不再有效。同意延长投标有效期的投标人不能要求也不允许修改其投标文件，但应当相应的延长投标担保的有效期，在延长的投标有效期内本通用条款第21条关于投标保证金的退还与没收的规定仍然适用；</w:t>
      </w:r>
    </w:p>
    <w:p>
      <w:pPr>
        <w:ind w:firstLine="411" w:firstLineChars="196"/>
        <w:rPr>
          <w:rFonts w:ascii="宋体" w:hAnsi="宋体"/>
          <w:szCs w:val="21"/>
        </w:rPr>
      </w:pPr>
      <w:r>
        <w:rPr>
          <w:rFonts w:hint="eastAsia" w:ascii="宋体" w:hAnsi="宋体"/>
          <w:szCs w:val="21"/>
        </w:rPr>
        <w:t>20</w:t>
      </w:r>
      <w:r>
        <w:rPr>
          <w:rFonts w:ascii="宋体" w:hAnsi="宋体"/>
          <w:szCs w:val="21"/>
        </w:rPr>
        <w:t>.3</w:t>
      </w:r>
      <w:r>
        <w:rPr>
          <w:rFonts w:hint="eastAsia" w:ascii="宋体" w:hAnsi="宋体"/>
          <w:szCs w:val="21"/>
        </w:rPr>
        <w:t xml:space="preserve"> 中标单位的投标书有效期，截止于完成本招标文件规定的全部项目内容，并通过竣工验收及保修结束。</w:t>
      </w:r>
    </w:p>
    <w:p>
      <w:pPr>
        <w:spacing w:line="360" w:lineRule="auto"/>
        <w:rPr>
          <w:rFonts w:ascii="黑体" w:hAnsi="宋体" w:eastAsia="黑体"/>
          <w:sz w:val="24"/>
        </w:rPr>
      </w:pPr>
      <w:bookmarkStart w:id="158" w:name="_Toc100052384"/>
      <w:bookmarkStart w:id="159" w:name="_Toc60560645"/>
      <w:bookmarkStart w:id="160" w:name="_Toc73521655"/>
      <w:bookmarkStart w:id="161" w:name="_Toc73521567"/>
      <w:bookmarkStart w:id="162" w:name="_Toc73517659"/>
      <w:bookmarkStart w:id="163" w:name="_Toc73518137"/>
      <w:bookmarkStart w:id="164" w:name="_Toc60631640"/>
      <w:r>
        <w:rPr>
          <w:rFonts w:hint="eastAsia" w:ascii="黑体" w:hAnsi="宋体" w:eastAsia="黑体"/>
          <w:sz w:val="24"/>
        </w:rPr>
        <w:t>21．投标</w:t>
      </w:r>
      <w:bookmarkEnd w:id="158"/>
      <w:bookmarkEnd w:id="159"/>
      <w:bookmarkEnd w:id="160"/>
      <w:bookmarkEnd w:id="161"/>
      <w:bookmarkEnd w:id="162"/>
      <w:bookmarkEnd w:id="163"/>
      <w:bookmarkEnd w:id="164"/>
      <w:r>
        <w:rPr>
          <w:rFonts w:hint="eastAsia" w:ascii="黑体" w:hAnsi="宋体" w:eastAsia="黑体"/>
          <w:sz w:val="24"/>
        </w:rPr>
        <w:t>保证金</w:t>
      </w:r>
    </w:p>
    <w:p>
      <w:pPr>
        <w:ind w:firstLine="411" w:firstLineChars="196"/>
        <w:rPr>
          <w:rFonts w:ascii="宋体" w:hAnsi="宋体"/>
          <w:szCs w:val="21"/>
        </w:rPr>
      </w:pPr>
      <w:bookmarkStart w:id="165" w:name="_Toc73521656"/>
      <w:bookmarkStart w:id="166" w:name="_Toc73518138"/>
      <w:bookmarkStart w:id="167" w:name="_Toc60631641"/>
      <w:bookmarkStart w:id="168" w:name="_Toc100052385"/>
      <w:bookmarkStart w:id="169" w:name="_Toc60560646"/>
      <w:bookmarkStart w:id="170" w:name="_Toc73517660"/>
      <w:bookmarkStart w:id="171" w:name="_Toc73521568"/>
      <w:r>
        <w:rPr>
          <w:rFonts w:hint="eastAsia" w:ascii="宋体" w:hAnsi="宋体"/>
          <w:szCs w:val="21"/>
        </w:rPr>
        <w:t>21.1投标保证金的缴纳：</w:t>
      </w:r>
    </w:p>
    <w:p>
      <w:pPr>
        <w:ind w:firstLine="411" w:firstLineChars="196"/>
        <w:rPr>
          <w:rFonts w:ascii="宋体" w:hAnsi="宋体"/>
          <w:szCs w:val="21"/>
        </w:rPr>
      </w:pPr>
      <w:r>
        <w:rPr>
          <w:rFonts w:hint="eastAsia" w:ascii="宋体" w:hAnsi="宋体"/>
          <w:szCs w:val="21"/>
        </w:rPr>
        <w:t>21.1.1一般项目</w:t>
      </w:r>
      <w:r>
        <w:rPr>
          <w:rFonts w:ascii="宋体" w:hAnsi="宋体"/>
          <w:szCs w:val="21"/>
        </w:rPr>
        <w:t>需</w:t>
      </w:r>
      <w:r>
        <w:rPr>
          <w:rFonts w:hint="eastAsia" w:ascii="宋体" w:hAnsi="宋体"/>
          <w:szCs w:val="21"/>
        </w:rPr>
        <w:t>缴纳投标保证金一万元，投标保证金</w:t>
      </w:r>
      <w:r>
        <w:rPr>
          <w:rFonts w:ascii="宋体" w:hAnsi="宋体"/>
          <w:szCs w:val="21"/>
        </w:rPr>
        <w:t>须</w:t>
      </w:r>
      <w:r>
        <w:rPr>
          <w:rFonts w:hint="eastAsia" w:ascii="宋体" w:hAnsi="宋体"/>
          <w:szCs w:val="21"/>
        </w:rPr>
        <w:t>于开标</w:t>
      </w:r>
      <w:r>
        <w:rPr>
          <w:rFonts w:ascii="宋体" w:hAnsi="宋体"/>
          <w:szCs w:val="21"/>
        </w:rPr>
        <w:t>前一日到</w:t>
      </w:r>
      <w:r>
        <w:rPr>
          <w:rFonts w:hint="eastAsia" w:ascii="宋体" w:hAnsi="宋体"/>
          <w:szCs w:val="21"/>
        </w:rPr>
        <w:t>深圳市深大体育文化发展有限公司</w:t>
      </w:r>
      <w:r>
        <w:rPr>
          <w:rFonts w:ascii="宋体" w:hAnsi="宋体"/>
          <w:szCs w:val="21"/>
        </w:rPr>
        <w:t>账户</w:t>
      </w:r>
      <w:r>
        <w:rPr>
          <w:rFonts w:hint="eastAsia" w:ascii="宋体" w:hAnsi="宋体"/>
          <w:szCs w:val="21"/>
        </w:rPr>
        <w:t>，落标或中标项目签订</w:t>
      </w:r>
      <w:r>
        <w:rPr>
          <w:rFonts w:ascii="宋体" w:hAnsi="宋体"/>
          <w:szCs w:val="21"/>
        </w:rPr>
        <w:t>合同</w:t>
      </w:r>
      <w:r>
        <w:rPr>
          <w:rFonts w:hint="eastAsia" w:ascii="宋体" w:hAnsi="宋体"/>
          <w:szCs w:val="21"/>
        </w:rPr>
        <w:t>后返还。</w:t>
      </w:r>
    </w:p>
    <w:p>
      <w:pPr>
        <w:ind w:firstLine="411" w:firstLineChars="196"/>
        <w:rPr>
          <w:rFonts w:ascii="宋体" w:hAnsi="宋体"/>
          <w:szCs w:val="21"/>
        </w:rPr>
      </w:pPr>
      <w:r>
        <w:rPr>
          <w:rFonts w:hint="eastAsia" w:ascii="宋体" w:hAnsi="宋体"/>
          <w:szCs w:val="21"/>
        </w:rPr>
        <w:t>21.1.2 若为重大项目，采购机构可自行决定另外收取投标保证金，不受21</w:t>
      </w:r>
      <w:r>
        <w:rPr>
          <w:rFonts w:ascii="宋体" w:hAnsi="宋体"/>
          <w:szCs w:val="21"/>
        </w:rPr>
        <w:t>.1</w:t>
      </w:r>
      <w:r>
        <w:rPr>
          <w:rFonts w:hint="eastAsia" w:ascii="宋体" w:hAnsi="宋体"/>
          <w:szCs w:val="21"/>
        </w:rPr>
        <w:t>.1款限制。是否另外收取投标保证金，请见本招标文件专用条款《对通用条款的补充内容》中的相关要求。</w:t>
      </w:r>
    </w:p>
    <w:p>
      <w:pPr>
        <w:ind w:firstLine="411" w:firstLineChars="196"/>
        <w:rPr>
          <w:rFonts w:ascii="宋体" w:hAnsi="宋体"/>
          <w:szCs w:val="21"/>
        </w:rPr>
      </w:pPr>
      <w:r>
        <w:rPr>
          <w:rFonts w:hint="eastAsia" w:ascii="宋体" w:hAnsi="宋体"/>
          <w:szCs w:val="21"/>
        </w:rPr>
        <w:t>21.1.3交纳投标保证金应一律从投标人基本账户转出,否则按隐瞒真实情况，提供虚假资料处理。不得</w:t>
      </w:r>
      <w:r>
        <w:rPr>
          <w:rFonts w:ascii="宋体" w:hAnsi="宋体"/>
          <w:szCs w:val="21"/>
        </w:rPr>
        <w:t>采用</w:t>
      </w:r>
      <w:r>
        <w:rPr>
          <w:rFonts w:hint="eastAsia" w:ascii="宋体" w:hAnsi="宋体"/>
          <w:szCs w:val="21"/>
        </w:rPr>
        <w:t>现金汇款、个人银行结算账户转出和第三方代交等方式。</w:t>
      </w:r>
    </w:p>
    <w:p>
      <w:pPr>
        <w:ind w:firstLine="411" w:firstLineChars="196"/>
        <w:rPr>
          <w:rFonts w:ascii="宋体" w:hAnsi="宋体"/>
          <w:szCs w:val="21"/>
        </w:rPr>
      </w:pPr>
      <w:r>
        <w:rPr>
          <w:rFonts w:hint="eastAsia" w:ascii="宋体" w:hAnsi="宋体"/>
          <w:szCs w:val="21"/>
        </w:rPr>
        <w:t>21.2</w:t>
      </w:r>
      <w:r>
        <w:rPr>
          <w:rFonts w:hint="eastAsia"/>
        </w:rPr>
        <w:t>投标保证金是为了保护采购机构和采购单位免因投标人的行为而蒙受损失。采购机构和采购单位因投标人的行为受到损害时可根据本通用条款第</w:t>
      </w:r>
      <w:r>
        <w:rPr>
          <w:rFonts w:hint="eastAsia" w:ascii="宋体" w:hAnsi="宋体"/>
          <w:szCs w:val="21"/>
        </w:rPr>
        <w:t>21.3款</w:t>
      </w:r>
      <w:r>
        <w:rPr>
          <w:rFonts w:hint="eastAsia"/>
        </w:rPr>
        <w:t>的规定没收投标人的投标保证金。</w:t>
      </w:r>
    </w:p>
    <w:p>
      <w:pPr>
        <w:ind w:firstLine="411" w:firstLineChars="196"/>
        <w:rPr>
          <w:rFonts w:ascii="宋体" w:hAnsi="宋体"/>
          <w:szCs w:val="21"/>
        </w:rPr>
      </w:pPr>
      <w:r>
        <w:rPr>
          <w:rFonts w:hint="eastAsia" w:ascii="宋体" w:hAnsi="宋体"/>
          <w:szCs w:val="21"/>
        </w:rPr>
        <w:t>21.3如</w:t>
      </w:r>
      <w:r>
        <w:rPr>
          <w:rFonts w:hint="eastAsia"/>
        </w:rPr>
        <w:t>下列任何情况发生时，</w:t>
      </w:r>
      <w:r>
        <w:rPr>
          <w:rFonts w:hint="eastAsia" w:ascii="宋体" w:hAnsi="宋体"/>
          <w:szCs w:val="21"/>
        </w:rPr>
        <w:t>投标保证金将被没收。</w:t>
      </w:r>
    </w:p>
    <w:p>
      <w:pPr>
        <w:ind w:firstLine="411" w:firstLineChars="196"/>
        <w:rPr>
          <w:rFonts w:ascii="宋体" w:hAnsi="宋体"/>
          <w:szCs w:val="21"/>
        </w:rPr>
      </w:pPr>
      <w:r>
        <w:rPr>
          <w:rFonts w:hint="eastAsia" w:ascii="宋体" w:hAnsi="宋体"/>
          <w:szCs w:val="21"/>
        </w:rPr>
        <w:t>1）投标人在招标文件中规定的投标有效期内撤回其投标；</w:t>
      </w:r>
    </w:p>
    <w:p>
      <w:pPr>
        <w:ind w:firstLine="411" w:firstLineChars="196"/>
        <w:rPr>
          <w:rFonts w:ascii="宋体" w:hAnsi="宋体"/>
          <w:szCs w:val="21"/>
        </w:rPr>
      </w:pPr>
      <w:r>
        <w:rPr>
          <w:rFonts w:hint="eastAsia" w:ascii="宋体" w:hAnsi="宋体"/>
          <w:szCs w:val="21"/>
        </w:rPr>
        <w:t>2）中标人在规定期限内未能根据本项通用条款第47条规定签订合同；</w:t>
      </w:r>
    </w:p>
    <w:p>
      <w:pPr>
        <w:ind w:firstLine="411" w:firstLineChars="196"/>
        <w:rPr>
          <w:rFonts w:ascii="宋体" w:hAnsi="宋体"/>
          <w:szCs w:val="21"/>
        </w:rPr>
      </w:pPr>
      <w:r>
        <w:rPr>
          <w:rFonts w:hint="eastAsia" w:ascii="宋体" w:hAnsi="宋体"/>
          <w:szCs w:val="21"/>
        </w:rPr>
        <w:t>3）投标人提供虚假投标文件或虚假补充文件：</w:t>
      </w:r>
    </w:p>
    <w:p>
      <w:pPr>
        <w:ind w:firstLine="411" w:firstLineChars="196"/>
        <w:rPr>
          <w:rFonts w:ascii="宋体" w:hAnsi="宋体"/>
          <w:szCs w:val="21"/>
        </w:rPr>
      </w:pPr>
      <w:r>
        <w:rPr>
          <w:rFonts w:hint="eastAsia" w:ascii="宋体" w:hAnsi="宋体"/>
          <w:szCs w:val="21"/>
        </w:rPr>
        <w:t>4）投标人以谋取中标为目的的技术规格模糊响应（如有意照搬照抄招标文件的技术要求）或虚假响应的；</w:t>
      </w:r>
    </w:p>
    <w:p>
      <w:pPr>
        <w:ind w:firstLine="411" w:firstLineChars="196"/>
        <w:rPr>
          <w:rFonts w:ascii="宋体" w:hAnsi="宋体"/>
          <w:szCs w:val="21"/>
        </w:rPr>
      </w:pPr>
      <w:r>
        <w:rPr>
          <w:rFonts w:hint="eastAsia" w:ascii="宋体" w:hAnsi="宋体"/>
          <w:szCs w:val="21"/>
        </w:rPr>
        <w:t>5）投标人质疑投诉提供虚假情况。</w:t>
      </w:r>
    </w:p>
    <w:p>
      <w:pPr>
        <w:ind w:firstLine="411" w:firstLineChars="196"/>
        <w:rPr>
          <w:rFonts w:ascii="宋体" w:hAnsi="宋体"/>
          <w:szCs w:val="21"/>
        </w:rPr>
      </w:pPr>
      <w:r>
        <w:rPr>
          <w:rFonts w:hint="eastAsia" w:ascii="宋体" w:hAnsi="宋体"/>
          <w:szCs w:val="21"/>
        </w:rPr>
        <w:t>21.4投标保证金账户信息：</w:t>
      </w:r>
    </w:p>
    <w:p>
      <w:pPr>
        <w:spacing w:line="500" w:lineRule="exact"/>
        <w:ind w:firstLine="829" w:firstLineChars="393"/>
        <w:rPr>
          <w:rFonts w:ascii="宋体" w:hAnsi="宋体" w:cs="宋体"/>
          <w:b/>
          <w:kern w:val="0"/>
          <w:szCs w:val="21"/>
        </w:rPr>
      </w:pPr>
      <w:r>
        <w:rPr>
          <w:rFonts w:hint="eastAsia" w:ascii="宋体" w:hAnsi="宋体" w:cs="宋体"/>
          <w:b/>
          <w:kern w:val="0"/>
          <w:szCs w:val="21"/>
        </w:rPr>
        <w:t>户  名：深圳市深大体育文化发展有限公司</w:t>
      </w:r>
    </w:p>
    <w:p>
      <w:pPr>
        <w:spacing w:line="500" w:lineRule="exact"/>
        <w:ind w:firstLine="829" w:firstLineChars="393"/>
        <w:rPr>
          <w:rFonts w:ascii="宋体" w:hAnsi="宋体" w:cs="宋体"/>
          <w:b/>
          <w:kern w:val="0"/>
          <w:szCs w:val="21"/>
        </w:rPr>
      </w:pPr>
      <w:r>
        <w:rPr>
          <w:rFonts w:hint="eastAsia" w:ascii="宋体" w:hAnsi="宋体" w:cs="宋体"/>
          <w:b/>
          <w:kern w:val="0"/>
          <w:szCs w:val="21"/>
        </w:rPr>
        <w:t>开户行：中国银行深圳深大支行</w:t>
      </w:r>
    </w:p>
    <w:p>
      <w:pPr>
        <w:spacing w:line="500" w:lineRule="exact"/>
        <w:ind w:firstLine="829" w:firstLineChars="393"/>
        <w:rPr>
          <w:rFonts w:ascii="宋体" w:hAnsi="宋体" w:cs="宋体"/>
          <w:b/>
          <w:kern w:val="0"/>
          <w:szCs w:val="21"/>
        </w:rPr>
      </w:pPr>
      <w:r>
        <w:rPr>
          <w:rFonts w:hint="eastAsia" w:ascii="宋体" w:hAnsi="宋体" w:cs="宋体"/>
          <w:b/>
          <w:kern w:val="0"/>
          <w:szCs w:val="21"/>
        </w:rPr>
        <w:t>账  号：769268049923</w:t>
      </w:r>
    </w:p>
    <w:p>
      <w:pPr>
        <w:spacing w:line="360" w:lineRule="auto"/>
        <w:rPr>
          <w:rFonts w:ascii="黑体" w:hAnsi="宋体" w:eastAsia="黑体"/>
          <w:sz w:val="24"/>
        </w:rPr>
      </w:pPr>
      <w:r>
        <w:rPr>
          <w:rFonts w:hint="eastAsia" w:ascii="黑体" w:hAnsi="宋体" w:eastAsia="黑体"/>
          <w:sz w:val="24"/>
        </w:rPr>
        <w:t>22．投标人的替代方案</w:t>
      </w:r>
      <w:bookmarkEnd w:id="165"/>
      <w:bookmarkEnd w:id="166"/>
      <w:bookmarkEnd w:id="167"/>
      <w:bookmarkEnd w:id="168"/>
      <w:bookmarkEnd w:id="169"/>
      <w:bookmarkEnd w:id="170"/>
      <w:bookmarkEnd w:id="171"/>
    </w:p>
    <w:p>
      <w:pPr>
        <w:ind w:firstLine="411" w:firstLineChars="196"/>
        <w:rPr>
          <w:rFonts w:ascii="宋体" w:hAnsi="宋体"/>
          <w:szCs w:val="21"/>
        </w:rPr>
      </w:pPr>
      <w:r>
        <w:rPr>
          <w:rFonts w:hint="eastAsia" w:ascii="宋体" w:hAnsi="宋体"/>
          <w:szCs w:val="21"/>
        </w:rPr>
        <w:t>22.1投标人所提交的投标文件应完全满足招标文件（包括图纸和技术规范所示的基本技术设计）的要求。除非招标的项目明确允许投标人提交替代方案，否则投标人有关替代方案的条款将不予考虑。</w:t>
      </w:r>
    </w:p>
    <w:p>
      <w:pPr>
        <w:ind w:firstLine="411" w:firstLineChars="196"/>
        <w:rPr>
          <w:rFonts w:ascii="宋体" w:hAnsi="宋体"/>
          <w:szCs w:val="21"/>
        </w:rPr>
      </w:pPr>
      <w:r>
        <w:rPr>
          <w:rFonts w:hint="eastAsia" w:ascii="宋体" w:hAnsi="宋体"/>
          <w:szCs w:val="21"/>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p>
      <w:pPr>
        <w:spacing w:line="360" w:lineRule="auto"/>
        <w:rPr>
          <w:rFonts w:ascii="黑体" w:hAnsi="宋体" w:eastAsia="黑体"/>
          <w:sz w:val="24"/>
        </w:rPr>
      </w:pPr>
      <w:bookmarkStart w:id="172" w:name="_Toc73521569"/>
      <w:bookmarkStart w:id="173" w:name="_Toc100052386"/>
      <w:bookmarkStart w:id="174" w:name="_Toc73518139"/>
      <w:bookmarkStart w:id="175" w:name="_Toc73517661"/>
      <w:bookmarkStart w:id="176" w:name="_Toc73521657"/>
      <w:r>
        <w:rPr>
          <w:rFonts w:hint="eastAsia" w:ascii="黑体" w:hAnsi="宋体" w:eastAsia="黑体"/>
          <w:sz w:val="24"/>
        </w:rPr>
        <w:t>23．</w:t>
      </w:r>
      <w:r>
        <w:rPr>
          <w:rFonts w:ascii="黑体" w:hAnsi="宋体" w:eastAsia="黑体"/>
          <w:sz w:val="24"/>
        </w:rPr>
        <w:t>投标文件的</w:t>
      </w:r>
      <w:r>
        <w:rPr>
          <w:rFonts w:hint="eastAsia" w:ascii="黑体" w:hAnsi="宋体" w:eastAsia="黑体"/>
          <w:sz w:val="24"/>
        </w:rPr>
        <w:t>制作</w:t>
      </w:r>
      <w:r>
        <w:rPr>
          <w:rFonts w:ascii="黑体" w:hAnsi="宋体" w:eastAsia="黑体"/>
          <w:sz w:val="24"/>
        </w:rPr>
        <w:t>要求</w:t>
      </w:r>
      <w:bookmarkEnd w:id="172"/>
      <w:bookmarkEnd w:id="173"/>
      <w:bookmarkEnd w:id="174"/>
      <w:bookmarkEnd w:id="175"/>
      <w:bookmarkEnd w:id="176"/>
    </w:p>
    <w:p>
      <w:pPr>
        <w:ind w:firstLine="411" w:firstLineChars="196"/>
        <w:rPr>
          <w:rFonts w:ascii="宋体" w:hAnsi="宋体"/>
        </w:rPr>
      </w:pPr>
      <w:r>
        <w:rPr>
          <w:rFonts w:hint="eastAsia" w:ascii="宋体" w:hAnsi="宋体"/>
        </w:rPr>
        <w:t>23.1投标人应按</w:t>
      </w:r>
      <w:r>
        <w:rPr>
          <w:rFonts w:ascii="宋体" w:hAnsi="宋体"/>
        </w:rPr>
        <w:t>项目</w:t>
      </w:r>
      <w:r>
        <w:rPr>
          <w:rFonts w:hint="eastAsia" w:ascii="宋体" w:hAnsi="宋体"/>
        </w:rPr>
        <w:t>采购</w:t>
      </w:r>
      <w:r>
        <w:rPr>
          <w:rFonts w:ascii="宋体" w:hAnsi="宋体"/>
        </w:rPr>
        <w:t>文件要求</w:t>
      </w:r>
      <w:r>
        <w:rPr>
          <w:rFonts w:hint="eastAsia" w:ascii="宋体" w:hAnsi="宋体"/>
        </w:rPr>
        <w:t>准备所投项目的纸质投标文件正副本。</w:t>
      </w:r>
    </w:p>
    <w:p>
      <w:pPr>
        <w:ind w:firstLine="413" w:firstLineChars="196"/>
        <w:rPr>
          <w:rFonts w:ascii="宋体" w:hAnsi="宋体"/>
        </w:rPr>
      </w:pPr>
      <w:r>
        <w:rPr>
          <w:rFonts w:hint="eastAsia" w:ascii="宋体" w:hAnsi="宋体"/>
          <w:b/>
        </w:rPr>
        <w:tab/>
      </w:r>
      <w:r>
        <w:rPr>
          <w:rFonts w:ascii="宋体" w:hAnsi="宋体"/>
        </w:rPr>
        <w:t>23.2</w:t>
      </w:r>
      <w:r>
        <w:rPr>
          <w:rFonts w:hint="eastAsia" w:ascii="宋体" w:hAnsi="宋体"/>
          <w:b/>
        </w:rPr>
        <w:t>如果在投标文件的其它地方有与“投标关键信息”内容相冲突的，以“投标关键信息”为准。</w:t>
      </w:r>
    </w:p>
    <w:p>
      <w:pPr>
        <w:ind w:firstLine="411" w:firstLineChars="196"/>
        <w:rPr>
          <w:rFonts w:ascii="宋体" w:hAnsi="宋体"/>
        </w:rPr>
      </w:pPr>
      <w:r>
        <w:rPr>
          <w:rFonts w:ascii="宋体" w:hAnsi="宋体"/>
        </w:rPr>
        <w:t xml:space="preserve">23.3 </w:t>
      </w:r>
      <w:r>
        <w:rPr>
          <w:rFonts w:hint="eastAsia" w:ascii="宋体" w:hAnsi="宋体"/>
        </w:rPr>
        <w:t>投标人在编辑投标文件时，</w:t>
      </w:r>
      <w:r>
        <w:rPr>
          <w:rFonts w:hint="eastAsia" w:ascii="宋体" w:hAnsi="宋体"/>
          <w:b/>
        </w:rPr>
        <w:t>在投标文件目录中属于本节点内容的必须在本节点中填写；填写到其他节点或附件的，评标</w:t>
      </w:r>
      <w:r>
        <w:rPr>
          <w:rFonts w:ascii="宋体" w:hAnsi="宋体"/>
          <w:b/>
        </w:rPr>
        <w:t>委员会</w:t>
      </w:r>
      <w:r>
        <w:rPr>
          <w:rFonts w:hint="eastAsia" w:ascii="宋体" w:hAnsi="宋体"/>
          <w:b/>
        </w:rPr>
        <w:t>有权</w:t>
      </w:r>
      <w:r>
        <w:rPr>
          <w:rFonts w:ascii="宋体" w:hAnsi="宋体"/>
          <w:b/>
        </w:rPr>
        <w:t>不予接受，</w:t>
      </w:r>
      <w:r>
        <w:rPr>
          <w:rFonts w:hint="eastAsia" w:ascii="宋体" w:hAnsi="宋体"/>
        </w:rPr>
        <w:t>一切后果由供应商自行承担。</w:t>
      </w:r>
    </w:p>
    <w:p>
      <w:pPr>
        <w:ind w:firstLine="411" w:firstLineChars="196"/>
        <w:rPr>
          <w:rFonts w:ascii="宋体" w:hAnsi="宋体"/>
        </w:rPr>
      </w:pPr>
      <w:r>
        <w:rPr>
          <w:rFonts w:hint="eastAsia" w:ascii="宋体" w:hAnsi="宋体"/>
        </w:rPr>
        <w:t>23.</w:t>
      </w:r>
      <w:r>
        <w:rPr>
          <w:rFonts w:ascii="宋体" w:hAnsi="宋体"/>
        </w:rPr>
        <w:t>4</w:t>
      </w:r>
      <w:r>
        <w:rPr>
          <w:rFonts w:hint="eastAsia" w:ascii="宋体" w:hAnsi="宋体"/>
        </w:rPr>
        <w:t>电报、电话、传真形式的投标概不接受。</w:t>
      </w:r>
    </w:p>
    <w:p>
      <w:pPr>
        <w:keepNext/>
        <w:keepLines/>
        <w:numPr>
          <w:ilvl w:val="0"/>
          <w:numId w:val="5"/>
        </w:numPr>
        <w:adjustRightInd w:val="0"/>
        <w:spacing w:before="120" w:beforeLines="50" w:after="120" w:afterLines="50"/>
        <w:jc w:val="center"/>
        <w:textAlignment w:val="baseline"/>
        <w:outlineLvl w:val="1"/>
        <w:rPr>
          <w:rFonts w:ascii="Arial" w:hAnsi="Arial" w:eastAsia="黑体"/>
          <w:b/>
          <w:bCs/>
          <w:sz w:val="28"/>
          <w:szCs w:val="28"/>
        </w:rPr>
      </w:pPr>
      <w:bookmarkStart w:id="177" w:name="_Toc73521570"/>
      <w:bookmarkStart w:id="178" w:name="_Toc73521658"/>
      <w:bookmarkStart w:id="179" w:name="_Toc100052387"/>
      <w:bookmarkStart w:id="180" w:name="_Toc73518140"/>
      <w:bookmarkStart w:id="181" w:name="_Toc73517662"/>
      <w:bookmarkStart w:id="182" w:name="_Toc101074880"/>
      <w:r>
        <w:rPr>
          <w:rFonts w:hint="eastAsia" w:ascii="Arial" w:hAnsi="Arial" w:eastAsia="黑体"/>
          <w:b/>
          <w:bCs/>
          <w:sz w:val="28"/>
          <w:szCs w:val="28"/>
        </w:rPr>
        <w:t>投标文件</w:t>
      </w:r>
      <w:bookmarkEnd w:id="177"/>
      <w:bookmarkEnd w:id="178"/>
      <w:bookmarkEnd w:id="179"/>
      <w:bookmarkEnd w:id="180"/>
      <w:bookmarkEnd w:id="181"/>
      <w:bookmarkEnd w:id="182"/>
      <w:r>
        <w:rPr>
          <w:rFonts w:hint="eastAsia" w:ascii="Arial" w:hAnsi="Arial" w:eastAsia="黑体"/>
          <w:b/>
          <w:bCs/>
          <w:sz w:val="28"/>
          <w:szCs w:val="28"/>
        </w:rPr>
        <w:t>的递交</w:t>
      </w:r>
    </w:p>
    <w:p>
      <w:pPr>
        <w:spacing w:line="360" w:lineRule="auto"/>
        <w:rPr>
          <w:rFonts w:ascii="黑体" w:hAnsi="宋体" w:eastAsia="黑体"/>
          <w:sz w:val="24"/>
        </w:rPr>
      </w:pPr>
      <w:bookmarkStart w:id="183" w:name="_Toc73521659"/>
      <w:bookmarkStart w:id="184" w:name="_Toc73521571"/>
      <w:bookmarkStart w:id="185" w:name="_Toc73518141"/>
      <w:bookmarkStart w:id="186" w:name="_Toc100052388"/>
      <w:bookmarkStart w:id="187" w:name="_Toc60631644"/>
      <w:bookmarkStart w:id="188" w:name="_Toc73517663"/>
      <w:bookmarkStart w:id="189" w:name="_Toc60560649"/>
      <w:r>
        <w:rPr>
          <w:rFonts w:hint="eastAsia" w:ascii="黑体" w:hAnsi="宋体" w:eastAsia="黑体"/>
          <w:sz w:val="24"/>
        </w:rPr>
        <w:t>24．投标书的保密</w:t>
      </w:r>
    </w:p>
    <w:p>
      <w:pPr>
        <w:ind w:firstLine="411" w:firstLineChars="196"/>
        <w:rPr>
          <w:rFonts w:ascii="宋体" w:hAnsi="宋体"/>
        </w:rPr>
      </w:pPr>
      <w:r>
        <w:rPr>
          <w:rFonts w:hint="eastAsia" w:ascii="宋体" w:hAnsi="宋体"/>
        </w:rPr>
        <w:t>24.1在投标文件制作完成后，所有文件必须密封完整且加盖公章。</w:t>
      </w:r>
    </w:p>
    <w:p>
      <w:pPr>
        <w:ind w:firstLine="411" w:firstLineChars="196"/>
        <w:rPr>
          <w:rFonts w:ascii="宋体" w:hAnsi="宋体"/>
        </w:rPr>
      </w:pPr>
      <w:r>
        <w:rPr>
          <w:rFonts w:ascii="宋体" w:hAnsi="宋体"/>
        </w:rPr>
        <w:t xml:space="preserve">24.2 </w:t>
      </w:r>
      <w:r>
        <w:rPr>
          <w:rFonts w:hint="eastAsia" w:ascii="宋体" w:hAnsi="宋体"/>
        </w:rPr>
        <w:t>所有投标文件应在其密封封面上注明项目名称、项目编号、投标人名称。</w:t>
      </w:r>
    </w:p>
    <w:p>
      <w:pPr>
        <w:spacing w:line="360" w:lineRule="auto"/>
        <w:rPr>
          <w:sz w:val="24"/>
        </w:rPr>
      </w:pPr>
    </w:p>
    <w:p>
      <w:pPr>
        <w:spacing w:line="360" w:lineRule="auto"/>
        <w:rPr>
          <w:rFonts w:ascii="黑体" w:hAnsi="宋体" w:eastAsia="黑体"/>
          <w:sz w:val="24"/>
        </w:rPr>
      </w:pPr>
      <w:r>
        <w:rPr>
          <w:rFonts w:hint="eastAsia" w:ascii="黑体" w:hAnsi="宋体" w:eastAsia="黑体"/>
          <w:sz w:val="24"/>
        </w:rPr>
        <w:t>25．投标截止日期</w:t>
      </w:r>
    </w:p>
    <w:p>
      <w:pPr>
        <w:ind w:firstLine="411" w:firstLineChars="196"/>
        <w:rPr>
          <w:rFonts w:ascii="宋体" w:hAnsi="宋体"/>
        </w:rPr>
      </w:pPr>
      <w:r>
        <w:rPr>
          <w:rFonts w:hint="eastAsia" w:ascii="宋体" w:hAnsi="宋体"/>
        </w:rPr>
        <w:t>25</w:t>
      </w:r>
      <w:r>
        <w:rPr>
          <w:rFonts w:ascii="宋体" w:hAnsi="宋体"/>
        </w:rPr>
        <w:t>.</w:t>
      </w:r>
      <w:r>
        <w:rPr>
          <w:rFonts w:hint="eastAsia" w:ascii="宋体" w:hAnsi="宋体"/>
        </w:rPr>
        <w:t>1投标人</w:t>
      </w:r>
      <w:r>
        <w:rPr>
          <w:rFonts w:ascii="宋体" w:hAnsi="宋体"/>
        </w:rPr>
        <w:t>必须</w:t>
      </w:r>
      <w:r>
        <w:rPr>
          <w:rFonts w:hint="eastAsia" w:ascii="宋体" w:hAnsi="宋体"/>
        </w:rPr>
        <w:t>在</w:t>
      </w:r>
      <w:r>
        <w:rPr>
          <w:rFonts w:ascii="宋体" w:hAnsi="宋体"/>
        </w:rPr>
        <w:t>采购文件规定的投标截止时间前</w:t>
      </w:r>
      <w:r>
        <w:rPr>
          <w:rFonts w:hint="eastAsia" w:ascii="宋体" w:hAnsi="宋体"/>
        </w:rPr>
        <w:t>将</w:t>
      </w:r>
      <w:r>
        <w:rPr>
          <w:rFonts w:ascii="宋体" w:hAnsi="宋体"/>
        </w:rPr>
        <w:t>密封的投标文件递交到项目指定的地点</w:t>
      </w:r>
      <w:r>
        <w:rPr>
          <w:rFonts w:hint="eastAsia" w:ascii="宋体" w:hAnsi="宋体"/>
        </w:rPr>
        <w:t>。</w:t>
      </w:r>
    </w:p>
    <w:p>
      <w:pPr>
        <w:ind w:firstLine="411" w:firstLineChars="196"/>
        <w:rPr>
          <w:rFonts w:ascii="宋体" w:hAnsi="宋体"/>
        </w:rPr>
      </w:pPr>
      <w:r>
        <w:rPr>
          <w:rFonts w:hint="eastAsia" w:ascii="宋体" w:hAnsi="宋体"/>
        </w:rPr>
        <w:t>25.2采购机构可以按本通用条款第13条规定，通过修改招标文件自行决定酌情延长投标截止期。在此情况下，采购机构、采购单位和投标人受投标截止期制约的所有权利和义务均应延长至新的截止期。</w:t>
      </w:r>
    </w:p>
    <w:p>
      <w:pPr>
        <w:ind w:firstLine="411" w:firstLineChars="196"/>
        <w:rPr>
          <w:rFonts w:ascii="宋体" w:hAnsi="宋体"/>
        </w:rPr>
      </w:pPr>
      <w:r>
        <w:rPr>
          <w:rFonts w:hint="eastAsia" w:ascii="宋体" w:hAnsi="宋体"/>
        </w:rPr>
        <w:t>25</w:t>
      </w:r>
      <w:r>
        <w:rPr>
          <w:rFonts w:ascii="宋体" w:hAnsi="宋体"/>
        </w:rPr>
        <w:t>.</w:t>
      </w:r>
      <w:r>
        <w:rPr>
          <w:rFonts w:hint="eastAsia" w:ascii="宋体" w:hAnsi="宋体"/>
        </w:rPr>
        <w:t>3投标截止时间以后不得递交投标文件。</w:t>
      </w:r>
    </w:p>
    <w:p>
      <w:pPr>
        <w:spacing w:line="360" w:lineRule="auto"/>
        <w:rPr>
          <w:rFonts w:ascii="黑体" w:hAnsi="宋体" w:eastAsia="黑体"/>
          <w:sz w:val="24"/>
        </w:rPr>
      </w:pPr>
      <w:r>
        <w:rPr>
          <w:rFonts w:hint="eastAsia" w:ascii="黑体" w:hAnsi="宋体" w:eastAsia="黑体"/>
          <w:sz w:val="24"/>
        </w:rPr>
        <w:t>26.样品的递交</w:t>
      </w:r>
    </w:p>
    <w:p>
      <w:pPr>
        <w:ind w:firstLine="420"/>
        <w:rPr>
          <w:rFonts w:ascii="宋体" w:hAnsi="宋体"/>
          <w:szCs w:val="21"/>
        </w:rPr>
      </w:pPr>
      <w:r>
        <w:rPr>
          <w:rFonts w:hint="eastAsia" w:ascii="宋体" w:hAnsi="宋体"/>
          <w:szCs w:val="21"/>
        </w:rPr>
        <w:t>26.1 如有必要，采购单位可以要求投标人提供样品。</w:t>
      </w:r>
    </w:p>
    <w:p>
      <w:pPr>
        <w:ind w:firstLine="420"/>
        <w:rPr>
          <w:rFonts w:ascii="宋体" w:hAnsi="宋体"/>
          <w:szCs w:val="21"/>
        </w:rPr>
      </w:pPr>
      <w:r>
        <w:rPr>
          <w:rFonts w:hint="eastAsia" w:ascii="宋体" w:hAnsi="宋体"/>
          <w:szCs w:val="21"/>
        </w:rPr>
        <w:t>26.2  未中标供应商的样品将于招标结束后退还。中标供应商的样品由采购单位保留，作为验收的依据。</w:t>
      </w:r>
    </w:p>
    <w:p>
      <w:pPr>
        <w:spacing w:line="360" w:lineRule="auto"/>
        <w:rPr>
          <w:rFonts w:ascii="黑体" w:hAnsi="宋体" w:eastAsia="黑体"/>
          <w:sz w:val="24"/>
        </w:rPr>
      </w:pPr>
      <w:r>
        <w:rPr>
          <w:rFonts w:ascii="黑体" w:hAnsi="宋体" w:eastAsia="黑体"/>
          <w:sz w:val="24"/>
        </w:rPr>
        <w:t>2</w:t>
      </w:r>
      <w:r>
        <w:rPr>
          <w:rFonts w:hint="eastAsia" w:ascii="黑体" w:hAnsi="宋体" w:eastAsia="黑体"/>
          <w:sz w:val="24"/>
        </w:rPr>
        <w:t>7．</w:t>
      </w:r>
      <w:r>
        <w:rPr>
          <w:rFonts w:ascii="黑体" w:hAnsi="宋体" w:eastAsia="黑体"/>
          <w:sz w:val="24"/>
        </w:rPr>
        <w:t>投标文件的修改和撤销</w:t>
      </w:r>
    </w:p>
    <w:p>
      <w:pPr>
        <w:ind w:firstLine="411" w:firstLineChars="196"/>
        <w:rPr>
          <w:rFonts w:ascii="宋体" w:hAnsi="宋体"/>
        </w:rPr>
      </w:pPr>
      <w:r>
        <w:rPr>
          <w:rFonts w:ascii="宋体" w:hAnsi="宋体"/>
        </w:rPr>
        <w:t>2</w:t>
      </w:r>
      <w:r>
        <w:rPr>
          <w:rFonts w:hint="eastAsia" w:ascii="宋体" w:hAnsi="宋体"/>
        </w:rPr>
        <w:t>7</w:t>
      </w:r>
      <w:r>
        <w:rPr>
          <w:rFonts w:ascii="宋体" w:hAnsi="宋体"/>
        </w:rPr>
        <w:t>.</w:t>
      </w:r>
      <w:r>
        <w:rPr>
          <w:rFonts w:hint="eastAsia" w:ascii="宋体" w:hAnsi="宋体"/>
        </w:rPr>
        <w:t>1</w:t>
      </w:r>
      <w:r>
        <w:rPr>
          <w:rFonts w:ascii="宋体" w:hAnsi="宋体"/>
        </w:rPr>
        <w:t>投标方在</w:t>
      </w:r>
      <w:r>
        <w:rPr>
          <w:rFonts w:hint="eastAsia" w:ascii="宋体" w:hAnsi="宋体"/>
        </w:rPr>
        <w:t>提交投标文件后</w:t>
      </w:r>
      <w:r>
        <w:rPr>
          <w:rFonts w:ascii="宋体" w:hAnsi="宋体"/>
        </w:rPr>
        <w:t>可对其投标文件进行修改</w:t>
      </w:r>
      <w:r>
        <w:rPr>
          <w:rFonts w:hint="eastAsia" w:ascii="宋体" w:hAnsi="宋体"/>
        </w:rPr>
        <w:t>或</w:t>
      </w:r>
      <w:r>
        <w:rPr>
          <w:rFonts w:ascii="宋体" w:hAnsi="宋体"/>
        </w:rPr>
        <w:t>撤</w:t>
      </w:r>
      <w:r>
        <w:rPr>
          <w:rFonts w:hint="eastAsia" w:ascii="宋体" w:hAnsi="宋体"/>
        </w:rPr>
        <w:t>回</w:t>
      </w:r>
      <w:r>
        <w:rPr>
          <w:rFonts w:ascii="宋体" w:hAnsi="宋体"/>
        </w:rPr>
        <w:t>。</w:t>
      </w:r>
    </w:p>
    <w:p>
      <w:pPr>
        <w:ind w:firstLine="411" w:firstLineChars="196"/>
        <w:rPr>
          <w:rFonts w:ascii="宋体" w:hAnsi="宋体"/>
        </w:rPr>
      </w:pPr>
      <w:r>
        <w:rPr>
          <w:rFonts w:ascii="宋体" w:hAnsi="宋体"/>
        </w:rPr>
        <w:t>2</w:t>
      </w:r>
      <w:r>
        <w:rPr>
          <w:rFonts w:hint="eastAsia" w:ascii="宋体" w:hAnsi="宋体"/>
        </w:rPr>
        <w:t>7</w:t>
      </w:r>
      <w:r>
        <w:rPr>
          <w:rFonts w:ascii="宋体" w:hAnsi="宋体"/>
        </w:rPr>
        <w:t>.</w:t>
      </w:r>
      <w:r>
        <w:rPr>
          <w:rFonts w:hint="eastAsia" w:ascii="宋体" w:hAnsi="宋体"/>
        </w:rPr>
        <w:t>2</w:t>
      </w:r>
      <w:r>
        <w:rPr>
          <w:rFonts w:ascii="宋体" w:hAnsi="宋体"/>
        </w:rPr>
        <w:t>投标截止时间以后不得修改</w:t>
      </w:r>
      <w:r>
        <w:rPr>
          <w:rFonts w:hint="eastAsia" w:ascii="宋体" w:hAnsi="宋体"/>
        </w:rPr>
        <w:t>、</w:t>
      </w:r>
      <w:r>
        <w:rPr>
          <w:rFonts w:ascii="宋体" w:hAnsi="宋体"/>
        </w:rPr>
        <w:t>撤</w:t>
      </w:r>
      <w:r>
        <w:rPr>
          <w:rFonts w:hint="eastAsia" w:ascii="宋体" w:hAnsi="宋体"/>
        </w:rPr>
        <w:t>回</w:t>
      </w:r>
      <w:r>
        <w:rPr>
          <w:rFonts w:ascii="宋体" w:hAnsi="宋体"/>
        </w:rPr>
        <w:t>投标文件。</w:t>
      </w:r>
    </w:p>
    <w:p>
      <w:pPr>
        <w:ind w:firstLine="411" w:firstLineChars="196"/>
        <w:rPr>
          <w:rFonts w:ascii="宋体" w:hAnsi="宋体"/>
        </w:rPr>
      </w:pPr>
      <w:r>
        <w:rPr>
          <w:rFonts w:ascii="宋体" w:hAnsi="宋体"/>
        </w:rPr>
        <w:t>2</w:t>
      </w:r>
      <w:r>
        <w:rPr>
          <w:rFonts w:hint="eastAsia" w:ascii="宋体" w:hAnsi="宋体"/>
        </w:rPr>
        <w:t>7</w:t>
      </w:r>
      <w:r>
        <w:rPr>
          <w:rFonts w:ascii="宋体" w:hAnsi="宋体"/>
        </w:rPr>
        <w:t>.</w:t>
      </w:r>
      <w:r>
        <w:rPr>
          <w:rFonts w:hint="eastAsia" w:ascii="宋体" w:hAnsi="宋体"/>
        </w:rPr>
        <w:t>3从投标截止期至投标人在投标书中确定的投标有效期之间的这段时间内，投标人不得撤回其投标，否则其投标保证金将按照本通用条款第20、21条的规定被没收。</w:t>
      </w:r>
    </w:p>
    <w:bookmarkEnd w:id="183"/>
    <w:bookmarkEnd w:id="184"/>
    <w:bookmarkEnd w:id="185"/>
    <w:bookmarkEnd w:id="186"/>
    <w:bookmarkEnd w:id="187"/>
    <w:bookmarkEnd w:id="188"/>
    <w:bookmarkEnd w:id="189"/>
    <w:p>
      <w:pPr>
        <w:ind w:firstLine="411" w:firstLineChars="196"/>
        <w:rPr>
          <w:rFonts w:ascii="宋体" w:hAnsi="宋体"/>
          <w:szCs w:val="21"/>
        </w:rPr>
      </w:pPr>
      <w:r>
        <w:rPr>
          <w:rFonts w:hint="eastAsia" w:ascii="宋体" w:hAnsi="宋体"/>
          <w:szCs w:val="21"/>
        </w:rPr>
        <w:t>27.4采购机构不退还投标文件，另有规定的除外。</w:t>
      </w:r>
    </w:p>
    <w:p>
      <w:pPr>
        <w:keepNext/>
        <w:keepLines/>
        <w:numPr>
          <w:ilvl w:val="0"/>
          <w:numId w:val="5"/>
        </w:numPr>
        <w:adjustRightInd w:val="0"/>
        <w:spacing w:before="120" w:beforeLines="50" w:after="120" w:afterLines="50"/>
        <w:jc w:val="center"/>
        <w:textAlignment w:val="baseline"/>
        <w:outlineLvl w:val="1"/>
        <w:rPr>
          <w:rFonts w:ascii="Arial" w:hAnsi="Arial" w:eastAsia="黑体"/>
          <w:b/>
          <w:bCs/>
          <w:sz w:val="28"/>
          <w:szCs w:val="28"/>
        </w:rPr>
      </w:pPr>
      <w:bookmarkStart w:id="190" w:name="_Toc73517666"/>
      <w:bookmarkStart w:id="191" w:name="_Toc101074881"/>
      <w:bookmarkStart w:id="192" w:name="_Toc100052391"/>
      <w:bookmarkStart w:id="193" w:name="_Toc73521662"/>
      <w:bookmarkStart w:id="194" w:name="_Toc73521574"/>
      <w:bookmarkStart w:id="195" w:name="_Toc73518144"/>
      <w:r>
        <w:rPr>
          <w:rFonts w:hint="eastAsia" w:ascii="Arial" w:hAnsi="Arial" w:eastAsia="黑体"/>
          <w:b/>
          <w:bCs/>
          <w:sz w:val="28"/>
          <w:szCs w:val="28"/>
        </w:rPr>
        <w:t>开标</w:t>
      </w:r>
      <w:bookmarkEnd w:id="190"/>
      <w:bookmarkEnd w:id="191"/>
      <w:bookmarkEnd w:id="192"/>
      <w:bookmarkEnd w:id="193"/>
      <w:bookmarkEnd w:id="194"/>
      <w:bookmarkEnd w:id="195"/>
    </w:p>
    <w:p>
      <w:pPr>
        <w:spacing w:line="360" w:lineRule="auto"/>
        <w:rPr>
          <w:rFonts w:ascii="黑体" w:hAnsi="宋体" w:eastAsia="黑体"/>
          <w:sz w:val="24"/>
        </w:rPr>
      </w:pPr>
      <w:bookmarkStart w:id="196" w:name="_Toc73518145"/>
      <w:bookmarkStart w:id="197" w:name="_Toc73521663"/>
      <w:bookmarkStart w:id="198" w:name="_Toc60631650"/>
      <w:bookmarkStart w:id="199" w:name="_Toc73517667"/>
      <w:bookmarkStart w:id="200" w:name="_Toc60560655"/>
      <w:bookmarkStart w:id="201" w:name="_Toc73521575"/>
      <w:bookmarkStart w:id="202" w:name="_Toc100052392"/>
      <w:r>
        <w:rPr>
          <w:rFonts w:hint="eastAsia" w:ascii="黑体" w:hAnsi="宋体" w:eastAsia="黑体"/>
          <w:sz w:val="24"/>
        </w:rPr>
        <w:t>28．开标</w:t>
      </w:r>
      <w:bookmarkEnd w:id="196"/>
      <w:bookmarkEnd w:id="197"/>
      <w:bookmarkEnd w:id="198"/>
      <w:bookmarkEnd w:id="199"/>
      <w:bookmarkEnd w:id="200"/>
      <w:bookmarkEnd w:id="201"/>
      <w:bookmarkEnd w:id="202"/>
    </w:p>
    <w:p>
      <w:pPr>
        <w:ind w:firstLine="359" w:firstLineChars="171"/>
        <w:rPr>
          <w:rFonts w:ascii="宋体" w:hAnsi="宋体"/>
          <w:szCs w:val="21"/>
        </w:rPr>
      </w:pPr>
      <w:bookmarkStart w:id="203" w:name="bt评标"/>
      <w:bookmarkEnd w:id="203"/>
      <w:bookmarkStart w:id="204" w:name="_Toc73518146"/>
      <w:bookmarkStart w:id="205" w:name="_Toc73521664"/>
      <w:bookmarkStart w:id="206" w:name="_Toc73521576"/>
      <w:bookmarkStart w:id="207" w:name="_Toc73517668"/>
      <w:bookmarkStart w:id="208" w:name="_Toc100052393"/>
      <w:bookmarkStart w:id="209" w:name="_Toc101074882"/>
      <w:r>
        <w:rPr>
          <w:rFonts w:ascii="宋体" w:hAnsi="宋体"/>
          <w:szCs w:val="21"/>
        </w:rPr>
        <w:t>2</w:t>
      </w:r>
      <w:r>
        <w:rPr>
          <w:rFonts w:hint="eastAsia" w:ascii="宋体" w:hAnsi="宋体"/>
          <w:szCs w:val="21"/>
        </w:rPr>
        <w:t>8</w:t>
      </w:r>
      <w:r>
        <w:rPr>
          <w:rFonts w:ascii="宋体" w:hAnsi="宋体"/>
          <w:szCs w:val="21"/>
        </w:rPr>
        <w:t>.</w:t>
      </w:r>
      <w:r>
        <w:rPr>
          <w:rFonts w:hint="eastAsia" w:ascii="宋体" w:hAnsi="宋体"/>
          <w:szCs w:val="21"/>
        </w:rPr>
        <w:t>1采购机构将在投标截止时间后，对密封</w:t>
      </w:r>
      <w:r>
        <w:rPr>
          <w:rFonts w:ascii="宋体" w:hAnsi="宋体"/>
          <w:szCs w:val="21"/>
        </w:rPr>
        <w:t>的</w:t>
      </w:r>
      <w:r>
        <w:rPr>
          <w:rFonts w:hint="eastAsia" w:ascii="宋体" w:hAnsi="宋体"/>
          <w:szCs w:val="21"/>
        </w:rPr>
        <w:t>投标文件进行拆封，开标，</w:t>
      </w:r>
      <w:r>
        <w:rPr>
          <w:rFonts w:ascii="宋体" w:hAnsi="宋体"/>
          <w:szCs w:val="21"/>
        </w:rPr>
        <w:t>在开标现场公布开标结果</w:t>
      </w:r>
      <w:r>
        <w:rPr>
          <w:rFonts w:hint="eastAsia" w:ascii="宋体" w:hAnsi="宋体"/>
          <w:szCs w:val="21"/>
        </w:rPr>
        <w:t>。</w:t>
      </w:r>
    </w:p>
    <w:p>
      <w:pPr>
        <w:keepNext/>
        <w:keepLines/>
        <w:numPr>
          <w:ilvl w:val="0"/>
          <w:numId w:val="5"/>
        </w:numPr>
        <w:adjustRightInd w:val="0"/>
        <w:spacing w:before="120" w:beforeLines="50" w:after="120" w:afterLines="50"/>
        <w:jc w:val="center"/>
        <w:textAlignment w:val="baseline"/>
        <w:outlineLvl w:val="1"/>
        <w:rPr>
          <w:rFonts w:ascii="Arial" w:hAnsi="Arial" w:eastAsia="黑体"/>
          <w:b/>
          <w:bCs/>
          <w:sz w:val="28"/>
          <w:szCs w:val="28"/>
        </w:rPr>
      </w:pPr>
      <w:r>
        <w:rPr>
          <w:rFonts w:hint="eastAsia" w:ascii="Arial" w:hAnsi="Arial" w:eastAsia="黑体"/>
          <w:b/>
          <w:bCs/>
          <w:sz w:val="28"/>
          <w:szCs w:val="28"/>
        </w:rPr>
        <w:t>评标</w:t>
      </w:r>
      <w:bookmarkEnd w:id="204"/>
      <w:bookmarkEnd w:id="205"/>
      <w:bookmarkEnd w:id="206"/>
      <w:bookmarkEnd w:id="207"/>
      <w:r>
        <w:rPr>
          <w:rFonts w:hint="eastAsia" w:ascii="Arial" w:hAnsi="Arial" w:eastAsia="黑体"/>
          <w:b/>
          <w:bCs/>
          <w:sz w:val="28"/>
          <w:szCs w:val="28"/>
        </w:rPr>
        <w:t>要求</w:t>
      </w:r>
      <w:bookmarkEnd w:id="208"/>
      <w:bookmarkEnd w:id="209"/>
    </w:p>
    <w:p>
      <w:pPr>
        <w:spacing w:line="360" w:lineRule="auto"/>
        <w:rPr>
          <w:rFonts w:ascii="黑体" w:hAnsi="宋体" w:eastAsia="黑体"/>
          <w:sz w:val="24"/>
        </w:rPr>
      </w:pPr>
      <w:bookmarkStart w:id="210" w:name="bt评标会议"/>
      <w:bookmarkEnd w:id="210"/>
      <w:bookmarkStart w:id="211" w:name="_Toc73521665"/>
      <w:bookmarkStart w:id="212" w:name="_Toc73517669"/>
      <w:bookmarkStart w:id="213" w:name="_Toc100052394"/>
      <w:bookmarkStart w:id="214" w:name="_Toc73518147"/>
      <w:bookmarkStart w:id="215" w:name="_Toc73521577"/>
      <w:r>
        <w:rPr>
          <w:rFonts w:hint="eastAsia" w:ascii="黑体" w:hAnsi="宋体" w:eastAsia="黑体"/>
          <w:sz w:val="24"/>
        </w:rPr>
        <w:t>29．评标委员会组成</w:t>
      </w:r>
    </w:p>
    <w:p>
      <w:pPr>
        <w:ind w:firstLine="411" w:firstLineChars="196"/>
        <w:rPr>
          <w:rFonts w:ascii="宋体" w:hAnsi="宋体"/>
        </w:rPr>
      </w:pPr>
      <w:r>
        <w:rPr>
          <w:rFonts w:hint="eastAsia" w:ascii="宋体" w:hAnsi="宋体"/>
        </w:rPr>
        <w:t>29.1开标结束后召开评标会议，评标委员会由采购机构依法组建，负责评标活动。</w:t>
      </w:r>
    </w:p>
    <w:p>
      <w:pPr>
        <w:ind w:firstLine="420"/>
        <w:rPr>
          <w:rFonts w:ascii="宋体" w:hAnsi="宋体"/>
        </w:rPr>
      </w:pPr>
      <w:r>
        <w:rPr>
          <w:rFonts w:hint="eastAsia" w:ascii="宋体" w:hAnsi="宋体"/>
        </w:rPr>
        <w:t>评标委员会由采购单位代表和有关技术、经济等方面的专家组成，成员人数为</w:t>
      </w:r>
      <w:r>
        <w:rPr>
          <w:rFonts w:ascii="宋体" w:hAnsi="宋体"/>
        </w:rPr>
        <w:t>5</w:t>
      </w:r>
      <w:r>
        <w:rPr>
          <w:rFonts w:hint="eastAsia" w:ascii="宋体" w:hAnsi="宋体"/>
        </w:rPr>
        <w:t>人以上（含</w:t>
      </w:r>
      <w:r>
        <w:rPr>
          <w:rFonts w:ascii="宋体" w:hAnsi="宋体"/>
        </w:rPr>
        <w:t>5</w:t>
      </w:r>
      <w:r>
        <w:rPr>
          <w:rFonts w:hint="eastAsia" w:ascii="宋体" w:hAnsi="宋体"/>
        </w:rPr>
        <w:t>人）单数，其中技术、经济等方面的专家不少于成员总数的三分之二。</w:t>
      </w:r>
    </w:p>
    <w:p>
      <w:pPr>
        <w:ind w:firstLine="411" w:firstLineChars="196"/>
        <w:rPr>
          <w:rFonts w:ascii="宋体" w:hAnsi="宋体"/>
        </w:rPr>
      </w:pPr>
      <w:r>
        <w:rPr>
          <w:rFonts w:hint="eastAsia" w:ascii="宋体" w:hAnsi="宋体"/>
        </w:rPr>
        <w:t>为保证评委人选的专业性，以及评标中的公平公正性，评标委员会成员从深圳市深大体育文化发展有限公司评标专家库中随机抽取。</w:t>
      </w:r>
    </w:p>
    <w:p>
      <w:pPr>
        <w:ind w:firstLine="411" w:firstLineChars="196"/>
        <w:rPr>
          <w:rFonts w:ascii="宋体" w:hAnsi="宋体"/>
        </w:rPr>
      </w:pPr>
      <w:r>
        <w:rPr>
          <w:rFonts w:hint="eastAsia" w:ascii="宋体" w:hAnsi="宋体"/>
        </w:rPr>
        <w:t>29.2评标定标应当遵循公平、公正、科学、择优的原则。</w:t>
      </w:r>
    </w:p>
    <w:p>
      <w:pPr>
        <w:ind w:firstLine="411" w:firstLineChars="196"/>
        <w:rPr>
          <w:rFonts w:ascii="宋体" w:hAnsi="宋体"/>
        </w:rPr>
      </w:pPr>
      <w:r>
        <w:rPr>
          <w:rFonts w:hint="eastAsia" w:ascii="宋体" w:hAnsi="宋体"/>
        </w:rPr>
        <w:t>29.3评标活动依法进行，任何单位和个人不得非法干预评标过程和结果。</w:t>
      </w:r>
    </w:p>
    <w:p>
      <w:pPr>
        <w:ind w:firstLine="411" w:firstLineChars="196"/>
        <w:rPr>
          <w:rFonts w:ascii="宋体" w:hAnsi="宋体"/>
        </w:rPr>
      </w:pPr>
      <w:r>
        <w:rPr>
          <w:rFonts w:hint="eastAsia" w:ascii="宋体" w:hAnsi="宋体"/>
        </w:rPr>
        <w:t>29.4评标过程中不允许违背评标程序或采用招标文件未载明的评标方法或评标因素进行评标。</w:t>
      </w:r>
    </w:p>
    <w:p>
      <w:pPr>
        <w:ind w:firstLine="411" w:firstLineChars="196"/>
        <w:rPr>
          <w:rFonts w:ascii="宋体" w:hAnsi="宋体"/>
          <w:bCs/>
        </w:rPr>
      </w:pPr>
      <w:r>
        <w:rPr>
          <w:rFonts w:hint="eastAsia" w:ascii="宋体" w:hAnsi="宋体"/>
          <w:bCs/>
        </w:rPr>
        <w:t>29.5 开标后，直到授予中标人合同为止，凡属于对投标文件的审查、澄清、评价和比较的有关资料以及中标候选人的推荐情况、与评标有关的其他任何情况均严格保密。</w:t>
      </w:r>
    </w:p>
    <w:p>
      <w:pPr>
        <w:spacing w:line="360" w:lineRule="auto"/>
        <w:rPr>
          <w:rFonts w:ascii="黑体" w:hAnsi="宋体" w:eastAsia="黑体"/>
          <w:sz w:val="24"/>
        </w:rPr>
      </w:pPr>
      <w:r>
        <w:rPr>
          <w:rFonts w:hint="eastAsia" w:ascii="黑体" w:hAnsi="宋体" w:eastAsia="黑体"/>
          <w:sz w:val="24"/>
        </w:rPr>
        <w:t>30．向评标委员会提供的资料</w:t>
      </w:r>
    </w:p>
    <w:p>
      <w:pPr>
        <w:ind w:firstLine="411" w:firstLineChars="196"/>
        <w:rPr>
          <w:rFonts w:ascii="宋体" w:hAnsi="宋体"/>
        </w:rPr>
      </w:pPr>
      <w:r>
        <w:rPr>
          <w:rFonts w:hint="eastAsia" w:ascii="宋体" w:hAnsi="宋体"/>
        </w:rPr>
        <w:t>30.1公开发布的招标文件，包括图纸、服务清单、答疑文件等；</w:t>
      </w:r>
    </w:p>
    <w:p>
      <w:pPr>
        <w:ind w:firstLine="411" w:firstLineChars="196"/>
        <w:rPr>
          <w:rFonts w:ascii="宋体" w:hAnsi="宋体"/>
        </w:rPr>
      </w:pPr>
      <w:r>
        <w:rPr>
          <w:rFonts w:hint="eastAsia" w:ascii="宋体" w:hAnsi="宋体"/>
        </w:rPr>
        <w:t>30.2其他评标必须的资料。</w:t>
      </w:r>
    </w:p>
    <w:p>
      <w:pPr>
        <w:ind w:firstLine="411" w:firstLineChars="196"/>
        <w:rPr>
          <w:rFonts w:ascii="宋体" w:hAnsi="宋体"/>
        </w:rPr>
      </w:pPr>
      <w:r>
        <w:rPr>
          <w:rFonts w:hint="eastAsia" w:ascii="宋体" w:hAnsi="宋体"/>
        </w:rPr>
        <w:t>30.3评标委员会应当认真研究招标文件，至少应了解熟悉以下内容：</w:t>
      </w:r>
    </w:p>
    <w:p>
      <w:pPr>
        <w:ind w:firstLine="411" w:firstLineChars="196"/>
        <w:rPr>
          <w:rFonts w:ascii="宋体" w:hAnsi="宋体"/>
        </w:rPr>
      </w:pPr>
      <w:r>
        <w:rPr>
          <w:rFonts w:hint="eastAsia" w:ascii="宋体" w:hAnsi="宋体"/>
        </w:rPr>
        <w:t>（1）招标的目的；</w:t>
      </w:r>
    </w:p>
    <w:p>
      <w:pPr>
        <w:ind w:firstLine="411" w:firstLineChars="196"/>
        <w:rPr>
          <w:rFonts w:ascii="宋体" w:hAnsi="宋体"/>
        </w:rPr>
      </w:pPr>
      <w:r>
        <w:rPr>
          <w:rFonts w:hint="eastAsia" w:ascii="宋体" w:hAnsi="宋体"/>
        </w:rPr>
        <w:t>（2）招标项目需求的范围和性质；</w:t>
      </w:r>
    </w:p>
    <w:p>
      <w:pPr>
        <w:ind w:firstLine="411" w:firstLineChars="196"/>
        <w:rPr>
          <w:rFonts w:ascii="宋体" w:hAnsi="宋体"/>
        </w:rPr>
      </w:pPr>
      <w:r>
        <w:rPr>
          <w:rFonts w:hint="eastAsia" w:ascii="宋体" w:hAnsi="宋体"/>
        </w:rPr>
        <w:t>（3）招标文件规定的投标人的资格、财政预算限额、商务条款；</w:t>
      </w:r>
    </w:p>
    <w:p>
      <w:pPr>
        <w:ind w:firstLine="411" w:firstLineChars="196"/>
        <w:rPr>
          <w:rFonts w:ascii="宋体" w:hAnsi="宋体"/>
        </w:rPr>
      </w:pPr>
      <w:r>
        <w:rPr>
          <w:rFonts w:hint="eastAsia" w:ascii="宋体" w:hAnsi="宋体"/>
        </w:rPr>
        <w:t>（4）招标文件规定的评标程序、评标方法和评标因素；</w:t>
      </w:r>
    </w:p>
    <w:p>
      <w:pPr>
        <w:ind w:firstLine="411" w:firstLineChars="196"/>
        <w:rPr>
          <w:rFonts w:ascii="宋体" w:hAnsi="宋体"/>
        </w:rPr>
      </w:pPr>
      <w:r>
        <w:rPr>
          <w:rFonts w:hint="eastAsia" w:ascii="宋体" w:hAnsi="宋体"/>
        </w:rPr>
        <w:t>（5）招标文件所列示的废标条款一览表；</w:t>
      </w:r>
    </w:p>
    <w:p>
      <w:pPr>
        <w:spacing w:line="360" w:lineRule="auto"/>
        <w:rPr>
          <w:rFonts w:ascii="黑体" w:hAnsi="宋体" w:eastAsia="黑体"/>
          <w:sz w:val="24"/>
        </w:rPr>
      </w:pPr>
      <w:r>
        <w:rPr>
          <w:rFonts w:hint="eastAsia" w:ascii="黑体" w:hAnsi="宋体" w:eastAsia="黑体"/>
          <w:sz w:val="24"/>
        </w:rPr>
        <w:t>31．独立评标</w:t>
      </w:r>
    </w:p>
    <w:p>
      <w:pPr>
        <w:ind w:firstLine="411" w:firstLineChars="196"/>
        <w:rPr>
          <w:rFonts w:ascii="宋体" w:hAnsi="宋体"/>
          <w:bCs/>
          <w:szCs w:val="21"/>
        </w:rPr>
      </w:pPr>
      <w:r>
        <w:rPr>
          <w:rFonts w:hint="eastAsia" w:ascii="宋体" w:hAnsi="宋体"/>
          <w:bCs/>
        </w:rPr>
        <w:t>30.1评标委员会成员的评标活动应当独立进行，并应遵循投标文件初审、澄清有关问题、比较与评价、确定中标供应商、编写评标报告的工作程序。</w:t>
      </w:r>
      <w:bookmarkEnd w:id="211"/>
      <w:bookmarkEnd w:id="212"/>
      <w:bookmarkEnd w:id="213"/>
      <w:bookmarkEnd w:id="214"/>
      <w:bookmarkEnd w:id="215"/>
      <w:bookmarkStart w:id="216" w:name="bt评标过程的保密"/>
      <w:bookmarkEnd w:id="216"/>
      <w:bookmarkStart w:id="217" w:name="bt错误的修正"/>
      <w:bookmarkEnd w:id="217"/>
    </w:p>
    <w:p>
      <w:pPr>
        <w:keepNext/>
        <w:keepLines/>
        <w:numPr>
          <w:ilvl w:val="0"/>
          <w:numId w:val="5"/>
        </w:numPr>
        <w:adjustRightInd w:val="0"/>
        <w:spacing w:before="120" w:beforeLines="50" w:after="120" w:afterLines="50"/>
        <w:jc w:val="center"/>
        <w:textAlignment w:val="baseline"/>
        <w:outlineLvl w:val="1"/>
        <w:rPr>
          <w:rFonts w:ascii="Arial" w:hAnsi="Arial" w:eastAsia="黑体"/>
          <w:b/>
          <w:bCs/>
          <w:sz w:val="28"/>
          <w:szCs w:val="28"/>
        </w:rPr>
      </w:pPr>
      <w:bookmarkStart w:id="218" w:name="_Toc101074883"/>
      <w:bookmarkStart w:id="219" w:name="_Toc100052397"/>
      <w:r>
        <w:rPr>
          <w:rFonts w:hint="eastAsia" w:ascii="Arial" w:hAnsi="Arial" w:eastAsia="黑体"/>
          <w:b/>
          <w:bCs/>
          <w:sz w:val="28"/>
          <w:szCs w:val="28"/>
        </w:rPr>
        <w:t>评标程序</w:t>
      </w:r>
      <w:bookmarkStart w:id="220" w:name="bt投标文件的审查"/>
      <w:bookmarkEnd w:id="220"/>
      <w:bookmarkStart w:id="221" w:name="_Toc73521667"/>
      <w:bookmarkStart w:id="222" w:name="_Toc73518149"/>
      <w:bookmarkStart w:id="223" w:name="_Toc73521579"/>
      <w:bookmarkStart w:id="224" w:name="_Toc73517671"/>
      <w:r>
        <w:rPr>
          <w:rFonts w:hint="eastAsia" w:ascii="Arial" w:hAnsi="Arial" w:eastAsia="黑体"/>
          <w:b/>
          <w:bCs/>
          <w:sz w:val="28"/>
          <w:szCs w:val="28"/>
        </w:rPr>
        <w:t>及评标方法</w:t>
      </w:r>
      <w:bookmarkEnd w:id="218"/>
      <w:bookmarkEnd w:id="219"/>
    </w:p>
    <w:p>
      <w:pPr>
        <w:spacing w:line="360" w:lineRule="auto"/>
        <w:rPr>
          <w:rFonts w:ascii="黑体" w:hAnsi="宋体" w:eastAsia="黑体"/>
          <w:sz w:val="24"/>
        </w:rPr>
      </w:pPr>
      <w:bookmarkStart w:id="225" w:name="_Toc100052398"/>
      <w:r>
        <w:rPr>
          <w:rFonts w:hint="eastAsia" w:ascii="黑体" w:hAnsi="宋体" w:eastAsia="黑体"/>
          <w:sz w:val="24"/>
        </w:rPr>
        <w:t>32．投标文件初审</w:t>
      </w:r>
      <w:bookmarkEnd w:id="225"/>
    </w:p>
    <w:bookmarkEnd w:id="221"/>
    <w:bookmarkEnd w:id="222"/>
    <w:bookmarkEnd w:id="223"/>
    <w:bookmarkEnd w:id="224"/>
    <w:p>
      <w:pPr>
        <w:ind w:firstLine="411" w:firstLineChars="196"/>
        <w:rPr>
          <w:rFonts w:ascii="宋体" w:hAnsi="宋体"/>
        </w:rPr>
      </w:pPr>
      <w:r>
        <w:rPr>
          <w:rFonts w:hint="eastAsia" w:ascii="宋体" w:hAnsi="宋体"/>
        </w:rPr>
        <w:t>32.1投标文件初审包括资格性检查和符合性检查。资格性检查：依据法律法规和招标文件的规定，对投标文件中的资格证明、投标保证金等进行审查，以确定投标供应商是否具备投标资格。符合性检查：依据招标文件的规定，从投标文件的有效性、完整性和对招标文件的响应程度进行审查，以确定是否对招标文件的实质性要求作出响应。</w:t>
      </w:r>
    </w:p>
    <w:p>
      <w:pPr>
        <w:ind w:firstLine="411" w:firstLineChars="196"/>
        <w:rPr>
          <w:rFonts w:ascii="宋体" w:hAnsi="宋体"/>
        </w:rPr>
      </w:pPr>
      <w:r>
        <w:rPr>
          <w:rFonts w:hint="eastAsia" w:ascii="宋体" w:hAnsi="宋体"/>
        </w:rPr>
        <w:t>32.2</w:t>
      </w:r>
      <w:r>
        <w:rPr>
          <w:rFonts w:hint="eastAsia" w:ascii="宋体" w:hAnsi="宋体"/>
          <w:b/>
        </w:rPr>
        <w:t>投标文件初审内容请详见“关键项目”中的《投标文件初审表》部分。投标人若有一条审查不通过则按废标处理。评标委员会对投标单位打√为通过审查，打×为未通过审查。</w:t>
      </w:r>
    </w:p>
    <w:p>
      <w:pPr>
        <w:ind w:firstLine="413" w:firstLineChars="196"/>
        <w:rPr>
          <w:rFonts w:ascii="宋体" w:hAnsi="宋体"/>
          <w:b/>
        </w:rPr>
      </w:pPr>
      <w:r>
        <w:rPr>
          <w:rFonts w:hint="eastAsia" w:ascii="宋体" w:hAnsi="宋体"/>
          <w:b/>
        </w:rPr>
        <w:t>32.3投标文件初审中关于供应商家数的计算。单一产品采购项目，提供相同品牌产品的多家投标人按一家投标人计算。非单一产品采购项目，根据采购项目技术构成、产品价格比重等合理确定核心产品，并在招标文件中载明。如不同投标人提供的核心产品品牌相同，即认为是提供相同品牌产品，</w:t>
      </w:r>
      <w:r>
        <w:rPr>
          <w:rFonts w:ascii="宋体" w:hAnsi="宋体"/>
          <w:b/>
        </w:rPr>
        <w:t>按一家投标人计算</w:t>
      </w:r>
      <w:r>
        <w:rPr>
          <w:rFonts w:hint="eastAsia" w:ascii="宋体" w:hAnsi="宋体"/>
          <w:b/>
        </w:rPr>
        <w:t>。</w:t>
      </w:r>
    </w:p>
    <w:p>
      <w:pPr>
        <w:ind w:firstLine="413" w:firstLineChars="196"/>
        <w:rPr>
          <w:rFonts w:ascii="宋体" w:hAnsi="宋体"/>
          <w:b/>
        </w:rPr>
      </w:pPr>
      <w:r>
        <w:rPr>
          <w:rFonts w:hint="eastAsia" w:ascii="宋体" w:hAnsi="宋体"/>
          <w:b/>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ind w:firstLine="413" w:firstLineChars="196"/>
        <w:rPr>
          <w:rFonts w:ascii="宋体" w:hAnsi="宋体"/>
          <w:b/>
        </w:rPr>
      </w:pPr>
      <w:r>
        <w:rPr>
          <w:rFonts w:hint="eastAsia" w:ascii="宋体" w:hAnsi="宋体"/>
          <w:b/>
        </w:rPr>
        <w:t>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公开招标以外采购方式以及采购服务和工程涉及采购货物的项目，也按此方法计算供应商家数。</w:t>
      </w:r>
    </w:p>
    <w:p>
      <w:pPr>
        <w:ind w:firstLine="413" w:firstLineChars="196"/>
        <w:rPr>
          <w:rFonts w:ascii="宋体" w:hAnsi="宋体"/>
          <w:b/>
        </w:rPr>
      </w:pPr>
      <w:r>
        <w:rPr>
          <w:rFonts w:ascii="宋体" w:hAnsi="宋体"/>
          <w:b/>
        </w:rPr>
        <w:t>32.4</w:t>
      </w:r>
      <w:r>
        <w:rPr>
          <w:rFonts w:hint="eastAsia" w:ascii="宋体" w:hAnsi="宋体"/>
          <w:b/>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11" w:firstLineChars="196"/>
        <w:rPr>
          <w:rFonts w:ascii="宋体" w:hAnsi="宋体"/>
        </w:rPr>
      </w:pPr>
      <w:r>
        <w:rPr>
          <w:rFonts w:hint="eastAsia" w:ascii="宋体" w:hAnsi="宋体"/>
        </w:rPr>
        <w:t>32.5对不属于投标文件初审表所列的其他情形，除法律法规另有规定外，不得作为废标的理由。</w:t>
      </w:r>
    </w:p>
    <w:p>
      <w:pPr>
        <w:ind w:firstLine="413" w:firstLineChars="196"/>
        <w:rPr>
          <w:rFonts w:ascii="宋体" w:hAnsi="宋体"/>
          <w:b/>
          <w:bCs/>
          <w:szCs w:val="21"/>
        </w:rPr>
      </w:pPr>
    </w:p>
    <w:p>
      <w:pPr>
        <w:spacing w:line="360" w:lineRule="auto"/>
        <w:rPr>
          <w:rFonts w:ascii="黑体" w:hAnsi="宋体" w:eastAsia="黑体"/>
          <w:sz w:val="24"/>
        </w:rPr>
      </w:pPr>
      <w:bookmarkStart w:id="226" w:name="_Toc100052399"/>
      <w:r>
        <w:rPr>
          <w:rFonts w:hint="eastAsia" w:ascii="黑体" w:hAnsi="宋体" w:eastAsia="黑体"/>
          <w:sz w:val="24"/>
        </w:rPr>
        <w:t>33．澄清有关问题</w:t>
      </w:r>
      <w:bookmarkEnd w:id="226"/>
    </w:p>
    <w:p>
      <w:pPr>
        <w:ind w:firstLine="411" w:firstLineChars="196"/>
        <w:rPr>
          <w:rFonts w:ascii="宋体" w:hAnsi="宋体"/>
          <w:szCs w:val="21"/>
        </w:rPr>
      </w:pPr>
      <w:bookmarkStart w:id="227" w:name="bt投标文件的澄清"/>
      <w:bookmarkEnd w:id="227"/>
      <w:bookmarkStart w:id="228" w:name="bt废标"/>
      <w:bookmarkEnd w:id="228"/>
      <w:bookmarkStart w:id="229" w:name="bt投标文件的评估和比较"/>
      <w:bookmarkEnd w:id="229"/>
      <w:bookmarkStart w:id="230" w:name="_Toc73518153"/>
      <w:bookmarkStart w:id="231" w:name="_Toc73517675"/>
      <w:bookmarkStart w:id="232" w:name="_Toc73521671"/>
      <w:bookmarkStart w:id="233" w:name="_Toc73521583"/>
      <w:r>
        <w:rPr>
          <w:rFonts w:hint="eastAsia" w:ascii="宋体" w:hAnsi="宋体"/>
          <w:szCs w:val="21"/>
        </w:rPr>
        <w:t>为了有助于投标文件的审查、评价和比较，对投标文件含义不明确、同类问题表述不一致或者有明显文字和计算错误的内容，评标委员会可以用书面形式(应当由评标委员会签字)要求投标供应商作出必要的澄清、说明或者纠正。投标人的澄清、说明或者补正应当用采用书面形式（由其授权的代表签字），并不得超出投标文件的范围或者改变投标文件的实质性的内容。根据本通用条款第34条，凡属于评标委员会在评标中发现的算术错误进行核实的修改不在此列。</w:t>
      </w:r>
    </w:p>
    <w:p>
      <w:pPr>
        <w:spacing w:line="360" w:lineRule="auto"/>
        <w:rPr>
          <w:rFonts w:ascii="黑体" w:hAnsi="宋体" w:eastAsia="黑体"/>
          <w:sz w:val="24"/>
        </w:rPr>
      </w:pPr>
      <w:bookmarkStart w:id="234" w:name="_Toc73521581"/>
      <w:bookmarkStart w:id="235" w:name="_Toc73521669"/>
      <w:bookmarkStart w:id="236" w:name="_Toc100052400"/>
      <w:bookmarkStart w:id="237" w:name="_Toc73517673"/>
      <w:bookmarkStart w:id="238" w:name="_Toc73518151"/>
      <w:r>
        <w:rPr>
          <w:rFonts w:hint="eastAsia" w:ascii="黑体" w:hAnsi="宋体" w:eastAsia="黑体"/>
          <w:sz w:val="24"/>
        </w:rPr>
        <w:t>34．错误的修正</w:t>
      </w:r>
      <w:bookmarkEnd w:id="234"/>
      <w:bookmarkEnd w:id="235"/>
      <w:bookmarkEnd w:id="236"/>
      <w:bookmarkEnd w:id="237"/>
      <w:bookmarkEnd w:id="238"/>
    </w:p>
    <w:p>
      <w:pPr>
        <w:ind w:firstLine="411" w:firstLineChars="196"/>
        <w:rPr>
          <w:rFonts w:ascii="宋体" w:hAnsi="宋体"/>
          <w:szCs w:val="21"/>
        </w:rPr>
      </w:pPr>
      <w:r>
        <w:rPr>
          <w:rFonts w:hint="eastAsia" w:ascii="宋体" w:hAnsi="宋体"/>
          <w:szCs w:val="21"/>
        </w:rPr>
        <w:t>34</w:t>
      </w:r>
      <w:r>
        <w:rPr>
          <w:rFonts w:ascii="宋体" w:hAnsi="宋体"/>
          <w:szCs w:val="21"/>
        </w:rPr>
        <w:t xml:space="preserve">.1  </w:t>
      </w:r>
      <w:r>
        <w:rPr>
          <w:rFonts w:hint="eastAsia" w:ascii="宋体" w:hAnsi="宋体"/>
          <w:szCs w:val="21"/>
        </w:rPr>
        <w:t>评标委员会将审查投标文件是否完整、总体编排是否有序、文件签署是否合格、投标人是否提交了投标保证金、有无计算上的错误等。</w:t>
      </w:r>
    </w:p>
    <w:p>
      <w:pPr>
        <w:ind w:firstLine="411" w:firstLineChars="196"/>
        <w:rPr>
          <w:rFonts w:ascii="宋体" w:hAnsi="宋体"/>
          <w:szCs w:val="21"/>
        </w:rPr>
      </w:pPr>
      <w:r>
        <w:rPr>
          <w:rFonts w:hint="eastAsia" w:ascii="宋体" w:hAnsi="宋体"/>
          <w:szCs w:val="21"/>
        </w:rPr>
        <w:t>34.2  算术错误将按以下方法更正（次序排先者优先）：</w:t>
      </w:r>
    </w:p>
    <w:p>
      <w:pPr>
        <w:ind w:firstLine="411" w:firstLineChars="196"/>
        <w:rPr>
          <w:rFonts w:ascii="宋体" w:hAnsi="宋体"/>
          <w:szCs w:val="21"/>
        </w:rPr>
      </w:pPr>
      <w:r>
        <w:rPr>
          <w:rFonts w:hint="eastAsia" w:ascii="宋体" w:hAnsi="宋体"/>
          <w:szCs w:val="21"/>
        </w:rPr>
        <w:t>34.2.1 若投标一览表中投标总价与分项报价表中的总价不一致，以投标一览表投标总价为准；</w:t>
      </w:r>
    </w:p>
    <w:p>
      <w:pPr>
        <w:ind w:firstLine="411" w:firstLineChars="196"/>
        <w:rPr>
          <w:rFonts w:ascii="宋体" w:hAnsi="宋体"/>
          <w:szCs w:val="21"/>
        </w:rPr>
      </w:pPr>
      <w:r>
        <w:rPr>
          <w:rFonts w:hint="eastAsia" w:ascii="宋体" w:hAnsi="宋体"/>
          <w:szCs w:val="21"/>
        </w:rPr>
        <w:t>34.2.2 若投标文件分项报价表中的报价与总价不一致，以总价为准；</w:t>
      </w:r>
    </w:p>
    <w:p>
      <w:pPr>
        <w:ind w:firstLine="411" w:firstLineChars="196"/>
        <w:rPr>
          <w:rFonts w:ascii="宋体" w:hAnsi="宋体"/>
          <w:szCs w:val="21"/>
        </w:rPr>
      </w:pPr>
      <w:r>
        <w:rPr>
          <w:rFonts w:hint="eastAsia" w:ascii="宋体" w:hAnsi="宋体"/>
          <w:szCs w:val="21"/>
        </w:rPr>
        <w:t>34.2.3 若投标文件的大写金额和小写金额不一致的，以大写金额为准；</w:t>
      </w:r>
    </w:p>
    <w:p>
      <w:pPr>
        <w:ind w:firstLine="411" w:firstLineChars="196"/>
        <w:rPr>
          <w:rFonts w:ascii="宋体" w:hAnsi="宋体"/>
          <w:szCs w:val="21"/>
        </w:rPr>
      </w:pPr>
      <w:r>
        <w:rPr>
          <w:rFonts w:hint="eastAsia" w:ascii="宋体" w:hAnsi="宋体"/>
          <w:szCs w:val="21"/>
        </w:rPr>
        <w:t>34.2.4 单价金额小数点有明显错位的，应以总价为准，并修改单价；</w:t>
      </w:r>
    </w:p>
    <w:p>
      <w:pPr>
        <w:ind w:firstLine="411" w:firstLineChars="196"/>
        <w:rPr>
          <w:rFonts w:ascii="宋体" w:hAnsi="宋体"/>
          <w:szCs w:val="21"/>
        </w:rPr>
      </w:pPr>
      <w:r>
        <w:rPr>
          <w:rFonts w:hint="eastAsia" w:ascii="宋体" w:hAnsi="宋体"/>
          <w:szCs w:val="21"/>
        </w:rPr>
        <w:t>34.2.5 对不同文字文本投标文件的解释发生异议的，以中文文本为准。</w:t>
      </w:r>
    </w:p>
    <w:p>
      <w:pPr>
        <w:ind w:firstLine="411" w:firstLineChars="196"/>
        <w:rPr>
          <w:rFonts w:ascii="宋体" w:hAnsi="宋体"/>
          <w:szCs w:val="21"/>
        </w:rPr>
      </w:pPr>
      <w:r>
        <w:rPr>
          <w:rFonts w:hint="eastAsia" w:ascii="宋体" w:hAnsi="宋体"/>
          <w:szCs w:val="21"/>
        </w:rPr>
        <w:t>34.2.6若投标一览表中交货期与项目实施方案中的交货期不一致，以投标一览表交货期为准。</w:t>
      </w:r>
    </w:p>
    <w:p>
      <w:pPr>
        <w:ind w:firstLine="411" w:firstLineChars="196"/>
        <w:rPr>
          <w:rFonts w:ascii="宋体" w:hAnsi="宋体"/>
          <w:szCs w:val="21"/>
        </w:rPr>
      </w:pPr>
      <w:r>
        <w:rPr>
          <w:rFonts w:hint="eastAsia" w:ascii="宋体" w:hAnsi="宋体"/>
          <w:szCs w:val="21"/>
        </w:rPr>
        <w:t>34</w:t>
      </w:r>
      <w:r>
        <w:rPr>
          <w:rFonts w:ascii="宋体" w:hAnsi="宋体"/>
          <w:szCs w:val="21"/>
        </w:rPr>
        <w:t xml:space="preserve">.3  </w:t>
      </w:r>
      <w:r>
        <w:rPr>
          <w:rFonts w:hint="eastAsia" w:ascii="宋体" w:hAnsi="宋体"/>
          <w:szCs w:val="21"/>
        </w:rPr>
        <w:t>对于投标文件中不构成实质性偏差的不正规、不一致或不规则，给评审带来不便，评标委员会可以接受。</w:t>
      </w:r>
    </w:p>
    <w:p>
      <w:pPr>
        <w:ind w:firstLine="411" w:firstLineChars="196"/>
        <w:rPr>
          <w:rFonts w:ascii="宋体" w:hAnsi="宋体"/>
          <w:szCs w:val="21"/>
        </w:rPr>
      </w:pPr>
      <w:r>
        <w:rPr>
          <w:rFonts w:hint="eastAsia" w:ascii="宋体" w:hAnsi="宋体"/>
          <w:szCs w:val="21"/>
        </w:rPr>
        <w:t>34.4根据上述修正错误的原则及方法调整或修正投标文件的投标报价，投标人同意后，调整后的投标报价对投标人起约束作用。</w:t>
      </w:r>
      <w:r>
        <w:rPr>
          <w:rFonts w:hint="eastAsia" w:ascii="宋体" w:hAnsi="宋体"/>
          <w:b/>
          <w:bCs/>
          <w:szCs w:val="21"/>
        </w:rPr>
        <w:t>如果投标人不接受修正后的报价，则其投标将被拒绝并且其投标保证金也将被没收，并不影响评标工作。</w:t>
      </w:r>
    </w:p>
    <w:p>
      <w:pPr>
        <w:spacing w:line="360" w:lineRule="auto"/>
        <w:rPr>
          <w:rFonts w:ascii="黑体" w:hAnsi="宋体" w:eastAsia="黑体"/>
          <w:sz w:val="24"/>
        </w:rPr>
      </w:pPr>
      <w:bookmarkStart w:id="239" w:name="_Toc100052401"/>
      <w:r>
        <w:rPr>
          <w:rFonts w:hint="eastAsia" w:ascii="黑体" w:hAnsi="宋体" w:eastAsia="黑体"/>
          <w:sz w:val="24"/>
        </w:rPr>
        <w:t>35．投标文件的</w:t>
      </w:r>
      <w:bookmarkEnd w:id="230"/>
      <w:bookmarkEnd w:id="231"/>
      <w:bookmarkEnd w:id="232"/>
      <w:bookmarkEnd w:id="233"/>
      <w:r>
        <w:rPr>
          <w:rFonts w:hint="eastAsia" w:ascii="黑体" w:hAnsi="宋体" w:eastAsia="黑体"/>
          <w:sz w:val="24"/>
        </w:rPr>
        <w:t>比较与评价</w:t>
      </w:r>
      <w:bookmarkEnd w:id="239"/>
    </w:p>
    <w:p>
      <w:pPr>
        <w:ind w:firstLine="411" w:firstLineChars="196"/>
        <w:rPr>
          <w:rFonts w:ascii="宋体" w:hAnsi="宋体"/>
          <w:szCs w:val="21"/>
        </w:rPr>
      </w:pPr>
      <w:r>
        <w:rPr>
          <w:rFonts w:hint="eastAsia" w:ascii="宋体" w:hAnsi="宋体"/>
          <w:szCs w:val="21"/>
        </w:rPr>
        <w:t>评标委员会将按照《深圳经济特区政府采购条例》及《深圳经济特区</w:t>
      </w:r>
      <w:r>
        <w:rPr>
          <w:rFonts w:ascii="宋体" w:hAnsi="宋体"/>
          <w:szCs w:val="21"/>
        </w:rPr>
        <w:t>政府采购条例实施细则</w:t>
      </w:r>
      <w:r>
        <w:rPr>
          <w:rFonts w:hint="eastAsia" w:ascii="宋体" w:hAnsi="宋体"/>
          <w:szCs w:val="21"/>
        </w:rPr>
        <w:t>》，参照相关法律、法规、规定，仅对通过资格性审查和符合性审查的投标文件进行综合比较与评价。</w:t>
      </w:r>
    </w:p>
    <w:p>
      <w:pPr>
        <w:spacing w:line="360" w:lineRule="auto"/>
        <w:rPr>
          <w:rFonts w:ascii="黑体" w:hAnsi="宋体" w:eastAsia="黑体"/>
          <w:sz w:val="24"/>
        </w:rPr>
      </w:pPr>
      <w:r>
        <w:rPr>
          <w:rFonts w:hint="eastAsia" w:ascii="黑体" w:hAnsi="宋体" w:eastAsia="黑体"/>
          <w:sz w:val="24"/>
        </w:rPr>
        <w:t>36.实地考察、演示或设备测试</w:t>
      </w:r>
    </w:p>
    <w:p>
      <w:pPr>
        <w:ind w:firstLine="411" w:firstLineChars="196"/>
        <w:rPr>
          <w:rFonts w:ascii="宋体" w:hAnsi="宋体"/>
          <w:szCs w:val="21"/>
        </w:rPr>
      </w:pPr>
      <w:r>
        <w:rPr>
          <w:rFonts w:hint="eastAsia" w:ascii="宋体" w:hAnsi="宋体"/>
          <w:szCs w:val="21"/>
        </w:rPr>
        <w:t>36.1在招标过程中，评标委员会有权决定是否对本项目投标人进行现场勘察或实地考察或检验有关证明材料的原件。投标人应随时做好接受检查的准备。</w:t>
      </w:r>
    </w:p>
    <w:p>
      <w:pPr>
        <w:ind w:firstLine="411" w:firstLineChars="196"/>
        <w:rPr>
          <w:rFonts w:ascii="宋体" w:hAnsi="宋体"/>
          <w:szCs w:val="21"/>
        </w:rPr>
      </w:pPr>
      <w:r>
        <w:rPr>
          <w:rFonts w:hint="eastAsia" w:ascii="宋体" w:hAnsi="宋体"/>
          <w:szCs w:val="21"/>
        </w:rPr>
        <w:t>36.2若招标文件要求进行现场演示或设备测试的，投标人应做好相应准备。</w:t>
      </w:r>
    </w:p>
    <w:p>
      <w:pPr>
        <w:spacing w:line="360" w:lineRule="auto"/>
        <w:rPr>
          <w:rFonts w:ascii="黑体" w:hAnsi="宋体" w:eastAsia="黑体"/>
          <w:sz w:val="24"/>
        </w:rPr>
      </w:pPr>
      <w:bookmarkStart w:id="240" w:name="_Toc100052402"/>
      <w:r>
        <w:rPr>
          <w:rFonts w:hint="eastAsia" w:ascii="黑体" w:hAnsi="宋体" w:eastAsia="黑体"/>
          <w:sz w:val="24"/>
        </w:rPr>
        <w:t>37．评标方法</w:t>
      </w:r>
      <w:bookmarkEnd w:id="240"/>
    </w:p>
    <w:p>
      <w:pPr>
        <w:ind w:firstLine="413" w:firstLineChars="196"/>
        <w:rPr>
          <w:rFonts w:ascii="宋体" w:hAnsi="宋体"/>
          <w:b/>
          <w:bCs/>
          <w:szCs w:val="21"/>
        </w:rPr>
      </w:pPr>
      <w:r>
        <w:rPr>
          <w:rFonts w:hint="eastAsia" w:ascii="宋体" w:hAnsi="宋体"/>
          <w:b/>
          <w:bCs/>
          <w:szCs w:val="21"/>
        </w:rPr>
        <w:t>37</w:t>
      </w:r>
      <w:bookmarkStart w:id="241" w:name="评标方法2"/>
      <w:r>
        <w:rPr>
          <w:rFonts w:hint="eastAsia" w:ascii="宋体" w:hAnsi="宋体"/>
          <w:b/>
          <w:bCs/>
          <w:szCs w:val="21"/>
        </w:rPr>
        <w:t>.1最低评标价法</w:t>
      </w:r>
    </w:p>
    <w:p>
      <w:pPr>
        <w:ind w:firstLine="411" w:firstLineChars="196"/>
        <w:rPr>
          <w:rFonts w:ascii="宋体" w:hAnsi="宋体"/>
          <w:bCs/>
          <w:szCs w:val="21"/>
        </w:rPr>
      </w:pPr>
      <w:r>
        <w:rPr>
          <w:rFonts w:hint="eastAsia" w:ascii="宋体" w:hAnsi="宋体"/>
          <w:bCs/>
          <w:szCs w:val="21"/>
        </w:rPr>
        <w:t>最低评标价法，是指投标文件满足招标文件全部实质性要求，且投标报价最低的投标人为中标候选人的评标方法。</w:t>
      </w:r>
    </w:p>
    <w:p>
      <w:pPr>
        <w:ind w:firstLine="413" w:firstLineChars="196"/>
        <w:rPr>
          <w:rFonts w:ascii="宋体" w:hAnsi="宋体"/>
          <w:b/>
          <w:bCs/>
          <w:szCs w:val="21"/>
        </w:rPr>
      </w:pPr>
      <w:r>
        <w:rPr>
          <w:rFonts w:hint="eastAsia" w:ascii="宋体" w:hAnsi="宋体"/>
          <w:b/>
          <w:bCs/>
          <w:szCs w:val="21"/>
        </w:rPr>
        <w:t>37.2综合评分法</w:t>
      </w:r>
      <w:bookmarkEnd w:id="241"/>
    </w:p>
    <w:p>
      <w:pPr>
        <w:ind w:firstLine="411" w:firstLineChars="196"/>
        <w:rPr>
          <w:rFonts w:ascii="宋体" w:hAnsi="宋体"/>
          <w:bCs/>
          <w:szCs w:val="21"/>
        </w:rPr>
      </w:pPr>
      <w:bookmarkStart w:id="242" w:name="评标方法3"/>
      <w:r>
        <w:rPr>
          <w:rFonts w:hint="eastAsia" w:ascii="宋体" w:hAnsi="宋体"/>
          <w:bCs/>
          <w:szCs w:val="21"/>
        </w:rPr>
        <w:t>综合评分法，是指投标文件满足招标文件全部实质性要求，且按照评审因素的量化指标评审得分最高的投标人为中标候选人的评标方法。</w:t>
      </w:r>
    </w:p>
    <w:p>
      <w:pPr>
        <w:ind w:firstLine="413" w:firstLineChars="196"/>
        <w:rPr>
          <w:rFonts w:ascii="宋体" w:hAnsi="宋体"/>
          <w:bCs/>
          <w:color w:val="FF0000"/>
          <w:szCs w:val="21"/>
        </w:rPr>
      </w:pPr>
      <w:r>
        <w:rPr>
          <w:rFonts w:hint="eastAsia" w:ascii="宋体" w:hAnsi="宋体"/>
          <w:b/>
          <w:bCs/>
          <w:szCs w:val="21"/>
        </w:rPr>
        <w:t>37.3</w:t>
      </w:r>
      <w:r>
        <w:rPr>
          <w:rFonts w:hint="eastAsia" w:ascii="宋体" w:hAnsi="宋体"/>
          <w:bCs/>
          <w:szCs w:val="21"/>
        </w:rPr>
        <w:t>其他评标方法根据主管部门相关规定执行。</w:t>
      </w:r>
    </w:p>
    <w:p>
      <w:pPr>
        <w:ind w:firstLine="413" w:firstLineChars="196"/>
        <w:rPr>
          <w:rFonts w:ascii="宋体" w:hAnsi="宋体"/>
          <w:color w:val="FF0000"/>
          <w:szCs w:val="21"/>
        </w:rPr>
      </w:pPr>
      <w:r>
        <w:rPr>
          <w:rFonts w:hint="eastAsia" w:ascii="宋体" w:hAnsi="宋体"/>
          <w:b/>
          <w:bCs/>
          <w:szCs w:val="21"/>
        </w:rPr>
        <w:t>37.</w:t>
      </w:r>
      <w:r>
        <w:rPr>
          <w:rFonts w:ascii="宋体" w:hAnsi="宋体"/>
          <w:b/>
          <w:bCs/>
          <w:szCs w:val="21"/>
        </w:rPr>
        <w:t>4</w:t>
      </w:r>
      <w:r>
        <w:rPr>
          <w:rFonts w:hint="eastAsia" w:ascii="宋体" w:hAnsi="宋体"/>
          <w:b/>
          <w:bCs/>
          <w:szCs w:val="21"/>
        </w:rPr>
        <w:t xml:space="preserve"> 本项目采用的评标方法</w:t>
      </w:r>
      <w:bookmarkEnd w:id="242"/>
      <w:r>
        <w:rPr>
          <w:rFonts w:hint="eastAsia" w:ascii="宋体" w:hAnsi="宋体"/>
          <w:b/>
          <w:bCs/>
          <w:szCs w:val="21"/>
        </w:rPr>
        <w:t>详见本项目招标文件专用条款的相关内容。</w:t>
      </w:r>
    </w:p>
    <w:p>
      <w:pPr>
        <w:keepNext/>
        <w:keepLines/>
        <w:numPr>
          <w:ilvl w:val="0"/>
          <w:numId w:val="5"/>
        </w:numPr>
        <w:adjustRightInd w:val="0"/>
        <w:spacing w:before="120" w:beforeLines="50" w:after="120" w:afterLines="50"/>
        <w:jc w:val="center"/>
        <w:textAlignment w:val="baseline"/>
        <w:outlineLvl w:val="1"/>
        <w:rPr>
          <w:rFonts w:ascii="Arial" w:hAnsi="Arial" w:eastAsia="黑体"/>
          <w:b/>
          <w:bCs/>
          <w:sz w:val="28"/>
          <w:szCs w:val="28"/>
        </w:rPr>
      </w:pPr>
      <w:r>
        <w:rPr>
          <w:rFonts w:hint="eastAsia" w:ascii="Arial" w:hAnsi="Arial" w:eastAsia="黑体"/>
          <w:b/>
          <w:bCs/>
          <w:sz w:val="28"/>
          <w:szCs w:val="28"/>
        </w:rPr>
        <w:t>定标及公示</w:t>
      </w:r>
    </w:p>
    <w:p>
      <w:pPr>
        <w:spacing w:line="360" w:lineRule="auto"/>
        <w:rPr>
          <w:rFonts w:ascii="黑体" w:hAnsi="宋体" w:eastAsia="黑体"/>
          <w:sz w:val="24"/>
        </w:rPr>
      </w:pPr>
      <w:r>
        <w:rPr>
          <w:rFonts w:hint="eastAsia" w:ascii="黑体" w:hAnsi="宋体" w:eastAsia="黑体"/>
          <w:sz w:val="24"/>
        </w:rPr>
        <w:t>38．定标方法</w:t>
      </w:r>
    </w:p>
    <w:p>
      <w:pPr>
        <w:ind w:firstLine="411" w:firstLineChars="196"/>
        <w:rPr>
          <w:rFonts w:ascii="宋体" w:hAnsi="宋体"/>
          <w:szCs w:val="21"/>
        </w:rPr>
      </w:pPr>
      <w:r>
        <w:rPr>
          <w:rFonts w:hint="eastAsia" w:ascii="宋体" w:hAnsi="宋体"/>
          <w:szCs w:val="21"/>
        </w:rPr>
        <w:t>38</w:t>
      </w:r>
      <w:r>
        <w:rPr>
          <w:rFonts w:ascii="宋体" w:hAnsi="宋体"/>
          <w:szCs w:val="21"/>
        </w:rPr>
        <w:t>.</w:t>
      </w:r>
      <w:r>
        <w:rPr>
          <w:rFonts w:hint="eastAsia" w:ascii="宋体" w:hAnsi="宋体"/>
          <w:szCs w:val="21"/>
        </w:rPr>
        <w:t>1评标委员会依据本项目招标文件所约定的评标方法进行评审和比较，向采购机构提交书面评标报告，并根据评标方法比较评价结果从优到劣进行排序，并推荐中标候选人或确定中标供应商；</w:t>
      </w:r>
    </w:p>
    <w:p>
      <w:pPr>
        <w:ind w:firstLine="411" w:firstLineChars="196"/>
        <w:rPr>
          <w:rFonts w:ascii="宋体" w:hAnsi="宋体"/>
          <w:szCs w:val="21"/>
        </w:rPr>
      </w:pPr>
      <w:r>
        <w:rPr>
          <w:rFonts w:hint="eastAsia" w:ascii="宋体" w:hAnsi="宋体"/>
          <w:szCs w:val="21"/>
        </w:rPr>
        <w:t>38</w:t>
      </w:r>
      <w:r>
        <w:rPr>
          <w:rFonts w:ascii="宋体" w:hAnsi="宋体"/>
          <w:szCs w:val="21"/>
        </w:rPr>
        <w:t>.</w:t>
      </w:r>
      <w:r>
        <w:rPr>
          <w:rFonts w:hint="eastAsia" w:ascii="宋体" w:hAnsi="宋体"/>
          <w:szCs w:val="21"/>
        </w:rPr>
        <w:t>2采用最低评标价法的，按投标报价由低到高顺序排列，投标报价相同的，按技术指标优劣顺序排列。评标委员会认为，排在前面的供应商的最低投标报价或者某些分项报价明显不合理或者低于成本，有可能影响商品质量和不能诚信履约的，应当要求其在规定的期限内提供书面文件予以解释说明，并提交相关证明材料；否则，评标委员会可以取消该投标供应商的中标资格，按顺序由排在后面的供应商递补，以此类推。对是否满足实质性要求或报价是否合理或是否低于成本，评委会意见不一致时，按少数服从多数原则作出决定。</w:t>
      </w:r>
    </w:p>
    <w:p>
      <w:pPr>
        <w:ind w:firstLine="411" w:firstLineChars="196"/>
        <w:rPr>
          <w:rFonts w:ascii="宋体" w:hAnsi="宋体"/>
          <w:szCs w:val="21"/>
        </w:rPr>
      </w:pPr>
      <w:r>
        <w:rPr>
          <w:rFonts w:hint="eastAsia" w:ascii="宋体" w:hAnsi="宋体"/>
          <w:szCs w:val="21"/>
        </w:rPr>
        <w:t>38</w:t>
      </w:r>
      <w:r>
        <w:rPr>
          <w:rFonts w:ascii="宋体" w:hAnsi="宋体"/>
          <w:szCs w:val="21"/>
        </w:rPr>
        <w:t>.</w:t>
      </w:r>
      <w:r>
        <w:rPr>
          <w:rFonts w:hint="eastAsia" w:ascii="宋体" w:hAnsi="宋体"/>
          <w:szCs w:val="21"/>
        </w:rPr>
        <w:t>3</w:t>
      </w:r>
      <w:r>
        <w:rPr>
          <w:rFonts w:ascii="宋体" w:hAnsi="宋体"/>
          <w:szCs w:val="21"/>
        </w:rPr>
        <w:t>采用综合评</w:t>
      </w:r>
      <w:r>
        <w:rPr>
          <w:rFonts w:hint="eastAsia" w:ascii="宋体" w:hAnsi="宋体"/>
          <w:szCs w:val="21"/>
        </w:rPr>
        <w:t>分</w:t>
      </w:r>
      <w:r>
        <w:rPr>
          <w:rFonts w:ascii="宋体" w:hAnsi="宋体"/>
          <w:szCs w:val="21"/>
        </w:rPr>
        <w:t>法的，按评审后得分由高到低顺序排列。得分相同的，按投标报价由低到高顺序排列。得分且投标报价相同的，按技术指标优劣顺序排列。</w:t>
      </w:r>
    </w:p>
    <w:p>
      <w:pPr>
        <w:ind w:firstLine="411" w:firstLineChars="196"/>
        <w:rPr>
          <w:rFonts w:ascii="宋体" w:hAnsi="宋体"/>
          <w:szCs w:val="21"/>
        </w:rPr>
      </w:pPr>
      <w:r>
        <w:rPr>
          <w:rFonts w:hint="eastAsia" w:ascii="宋体" w:hAnsi="宋体"/>
          <w:szCs w:val="21"/>
        </w:rPr>
        <w:t>38</w:t>
      </w:r>
      <w:r>
        <w:rPr>
          <w:rFonts w:ascii="宋体" w:hAnsi="宋体"/>
          <w:szCs w:val="21"/>
        </w:rPr>
        <w:t>.</w:t>
      </w:r>
      <w:r>
        <w:rPr>
          <w:rFonts w:hint="eastAsia" w:ascii="宋体" w:hAnsi="宋体"/>
          <w:szCs w:val="21"/>
        </w:rPr>
        <w:t>4</w:t>
      </w:r>
      <w:r>
        <w:rPr>
          <w:rFonts w:ascii="宋体" w:hAnsi="宋体"/>
          <w:szCs w:val="21"/>
        </w:rPr>
        <w:t>采用</w:t>
      </w:r>
      <w:r>
        <w:rPr>
          <w:rFonts w:hint="eastAsia" w:ascii="宋体" w:hAnsi="宋体"/>
          <w:szCs w:val="21"/>
        </w:rPr>
        <w:t>性价比</w:t>
      </w:r>
      <w:r>
        <w:rPr>
          <w:rFonts w:ascii="宋体" w:hAnsi="宋体"/>
          <w:szCs w:val="21"/>
        </w:rPr>
        <w:t>法的</w:t>
      </w:r>
      <w:r>
        <w:rPr>
          <w:rFonts w:hint="eastAsia" w:ascii="宋体" w:hAnsi="宋体"/>
          <w:szCs w:val="21"/>
        </w:rPr>
        <w:t>，按商数得分由高到低顺序排列。商数得分相同的，按投标报价由低到高顺序排列。商数得分且投标报价相同的，按技术指标优劣顺序排列。</w:t>
      </w:r>
    </w:p>
    <w:p>
      <w:pPr>
        <w:spacing w:line="360" w:lineRule="auto"/>
        <w:rPr>
          <w:rFonts w:ascii="黑体" w:hAnsi="宋体" w:eastAsia="黑体"/>
          <w:sz w:val="24"/>
        </w:rPr>
      </w:pPr>
      <w:bookmarkStart w:id="243" w:name="_Toc100052404"/>
      <w:r>
        <w:rPr>
          <w:rFonts w:hint="eastAsia" w:ascii="黑体" w:hAnsi="宋体" w:eastAsia="黑体"/>
          <w:sz w:val="24"/>
        </w:rPr>
        <w:t>39．编写评标报告</w:t>
      </w:r>
      <w:bookmarkEnd w:id="243"/>
    </w:p>
    <w:p>
      <w:pPr>
        <w:ind w:firstLine="411" w:firstLineChars="196"/>
        <w:rPr>
          <w:rFonts w:ascii="宋体" w:hAnsi="宋体"/>
          <w:szCs w:val="21"/>
        </w:rPr>
      </w:pPr>
      <w:r>
        <w:rPr>
          <w:rFonts w:hint="eastAsia" w:ascii="宋体" w:hAnsi="宋体"/>
          <w:szCs w:val="21"/>
        </w:rPr>
        <w:t>评标报告是评标委员会根据全体评标成员签字的原始评标记录和评标结果编写的报告，评标报告由评标委员会全体成员签字。对评标结论持有异议的评标委员会成员可以书面方式阐述其不同意见和理由。评标委员会成员拒绝在评标报告上签字且不陈述其不同意见和理由的，视为同意评标结论。评标委员会应当对此作出书面说明并记录在案。</w:t>
      </w:r>
    </w:p>
    <w:p>
      <w:pPr>
        <w:spacing w:line="360" w:lineRule="auto"/>
        <w:rPr>
          <w:rFonts w:ascii="黑体" w:hAnsi="宋体" w:eastAsia="黑体"/>
          <w:sz w:val="24"/>
        </w:rPr>
      </w:pPr>
      <w:bookmarkStart w:id="244" w:name="_Toc100052405"/>
      <w:bookmarkStart w:id="245" w:name="_Toc73518159"/>
      <w:bookmarkStart w:id="246" w:name="_Toc73521676"/>
      <w:bookmarkStart w:id="247" w:name="_Toc73521588"/>
      <w:bookmarkStart w:id="248" w:name="_Toc73517681"/>
      <w:r>
        <w:rPr>
          <w:rFonts w:hint="eastAsia" w:ascii="黑体" w:hAnsi="宋体" w:eastAsia="黑体"/>
          <w:sz w:val="24"/>
        </w:rPr>
        <w:t>40．中标公告</w:t>
      </w:r>
      <w:bookmarkEnd w:id="244"/>
    </w:p>
    <w:p>
      <w:pPr>
        <w:ind w:firstLine="411" w:firstLineChars="196"/>
        <w:rPr>
          <w:rFonts w:ascii="宋体" w:hAnsi="宋体"/>
          <w:szCs w:val="21"/>
        </w:rPr>
      </w:pPr>
      <w:r>
        <w:rPr>
          <w:rFonts w:hint="eastAsia" w:ascii="宋体" w:hAnsi="宋体"/>
          <w:szCs w:val="21"/>
        </w:rPr>
        <w:t>40.1为体现“公开、公平、公正”的原则，评标结束后，采购机构将在“网站”（</w:t>
      </w:r>
      <w:r>
        <w:fldChar w:fldCharType="begin"/>
      </w:r>
      <w:r>
        <w:instrText xml:space="preserve"> HYPERLINK "http://bidding.szu.edu.cn/" </w:instrText>
      </w:r>
      <w:r>
        <w:fldChar w:fldCharType="separate"/>
      </w:r>
      <w:r>
        <w:rPr>
          <w:rFonts w:ascii="宋体" w:hAnsi="宋体"/>
          <w:color w:val="0000FF"/>
          <w:szCs w:val="21"/>
          <w:u w:val="single"/>
        </w:rPr>
        <w:t>http://bidding.szu.edu.cn/</w:t>
      </w:r>
      <w:r>
        <w:rPr>
          <w:rFonts w:ascii="宋体" w:hAnsi="宋体"/>
          <w:color w:val="0000FF"/>
          <w:szCs w:val="21"/>
          <w:u w:val="single"/>
        </w:rPr>
        <w:fldChar w:fldCharType="end"/>
      </w:r>
      <w:r>
        <w:rPr>
          <w:rFonts w:hint="eastAsia" w:ascii="宋体" w:hAnsi="宋体"/>
          <w:szCs w:val="21"/>
        </w:rPr>
        <w:t>）上发布中标结果公告，公示期为72小时。供应商如对评标结果有异议，请于公示期内，以书面向深圳市深大体育文化发展有限公司反映。若在公示期内未提出异议，则视为认同该评标结果。</w:t>
      </w:r>
    </w:p>
    <w:p>
      <w:pPr>
        <w:ind w:firstLine="411" w:firstLineChars="196"/>
        <w:rPr>
          <w:rFonts w:ascii="宋体" w:hAnsi="宋体"/>
          <w:szCs w:val="21"/>
        </w:rPr>
      </w:pPr>
      <w:r>
        <w:rPr>
          <w:rFonts w:hint="eastAsia" w:ascii="宋体" w:hAnsi="宋体"/>
          <w:szCs w:val="21"/>
        </w:rPr>
        <w:t>40.2质疑投诉人应保证质疑投诉内容的真实性和可靠性，并承担相应的法律责任。</w:t>
      </w:r>
    </w:p>
    <w:p>
      <w:pPr>
        <w:spacing w:line="360" w:lineRule="auto"/>
        <w:rPr>
          <w:rFonts w:ascii="黑体" w:hAnsi="宋体" w:eastAsia="黑体"/>
          <w:sz w:val="24"/>
        </w:rPr>
      </w:pPr>
      <w:bookmarkStart w:id="249" w:name="_Toc100052406"/>
      <w:r>
        <w:rPr>
          <w:rFonts w:hint="eastAsia" w:ascii="黑体" w:hAnsi="宋体" w:eastAsia="黑体"/>
          <w:sz w:val="24"/>
        </w:rPr>
        <w:t>41．中标通知书</w:t>
      </w:r>
      <w:bookmarkEnd w:id="249"/>
    </w:p>
    <w:bookmarkEnd w:id="245"/>
    <w:bookmarkEnd w:id="246"/>
    <w:bookmarkEnd w:id="247"/>
    <w:bookmarkEnd w:id="248"/>
    <w:p>
      <w:pPr>
        <w:ind w:firstLine="411" w:firstLineChars="196"/>
        <w:rPr>
          <w:rFonts w:ascii="宋体" w:hAnsi="宋体"/>
          <w:szCs w:val="21"/>
        </w:rPr>
      </w:pPr>
      <w:r>
        <w:rPr>
          <w:rFonts w:hint="eastAsia" w:ascii="宋体" w:hAnsi="宋体"/>
          <w:szCs w:val="21"/>
        </w:rPr>
        <w:t>41</w:t>
      </w:r>
      <w:r>
        <w:rPr>
          <w:rFonts w:ascii="宋体" w:hAnsi="宋体"/>
          <w:szCs w:val="21"/>
        </w:rPr>
        <w:t>.</w:t>
      </w:r>
      <w:r>
        <w:rPr>
          <w:rFonts w:hint="eastAsia" w:ascii="宋体" w:hAnsi="宋体"/>
          <w:szCs w:val="21"/>
        </w:rPr>
        <w:t>1中标公告公布以后,公示期内无人质疑投诉,请中标供应商和采购单位到深圳市深大体育文化发展有限公司</w:t>
      </w:r>
      <w:r>
        <w:rPr>
          <w:rFonts w:hint="eastAsia" w:ascii="宋体" w:hAnsi="宋体"/>
          <w:b/>
          <w:szCs w:val="21"/>
        </w:rPr>
        <w:t>领取《中标通知书》（</w:t>
      </w:r>
      <w:r>
        <w:rPr>
          <w:rFonts w:hint="eastAsia" w:ascii="宋体" w:hAnsi="宋体"/>
          <w:szCs w:val="21"/>
        </w:rPr>
        <w:t>咨询电话：0755—26531025）。</w:t>
      </w:r>
    </w:p>
    <w:p>
      <w:pPr>
        <w:ind w:firstLine="411" w:firstLineChars="196"/>
        <w:rPr>
          <w:rFonts w:ascii="宋体" w:hAnsi="宋体"/>
          <w:szCs w:val="21"/>
        </w:rPr>
      </w:pPr>
      <w:r>
        <w:rPr>
          <w:rFonts w:hint="eastAsia" w:ascii="宋体" w:hAnsi="宋体"/>
          <w:szCs w:val="21"/>
        </w:rPr>
        <w:t>41</w:t>
      </w:r>
      <w:r>
        <w:rPr>
          <w:rFonts w:ascii="宋体" w:hAnsi="宋体"/>
          <w:szCs w:val="21"/>
        </w:rPr>
        <w:t>.2</w:t>
      </w:r>
      <w:r>
        <w:rPr>
          <w:rFonts w:hint="eastAsia" w:ascii="宋体" w:hAnsi="宋体"/>
          <w:szCs w:val="21"/>
        </w:rPr>
        <w:t>中标通知书是合同的重要组成部分。</w:t>
      </w:r>
    </w:p>
    <w:p>
      <w:pPr>
        <w:ind w:firstLine="411" w:firstLineChars="196"/>
        <w:rPr>
          <w:rFonts w:ascii="宋体" w:hAnsi="宋体"/>
          <w:szCs w:val="21"/>
        </w:rPr>
      </w:pPr>
      <w:r>
        <w:rPr>
          <w:rFonts w:hint="eastAsia" w:ascii="宋体" w:hAnsi="宋体"/>
          <w:szCs w:val="21"/>
        </w:rPr>
        <w:t>41.3因质疑投诉或其它原因导致项目结果变更或采购终止的，深圳市深大体育文化发展有限公司有权收回中标通知书或终止采购合同。</w:t>
      </w:r>
    </w:p>
    <w:p>
      <w:pPr>
        <w:keepNext/>
        <w:keepLines/>
        <w:numPr>
          <w:ilvl w:val="0"/>
          <w:numId w:val="5"/>
        </w:numPr>
        <w:adjustRightInd w:val="0"/>
        <w:spacing w:before="120" w:beforeLines="50" w:after="120" w:afterLines="50"/>
        <w:jc w:val="center"/>
        <w:textAlignment w:val="baseline"/>
        <w:outlineLvl w:val="1"/>
        <w:rPr>
          <w:rFonts w:ascii="Arial" w:hAnsi="Arial" w:eastAsia="黑体"/>
          <w:b/>
          <w:bCs/>
          <w:sz w:val="28"/>
          <w:szCs w:val="28"/>
        </w:rPr>
      </w:pPr>
      <w:bookmarkStart w:id="250" w:name="bt合同的授予"/>
      <w:bookmarkEnd w:id="250"/>
      <w:bookmarkStart w:id="251" w:name="_Toc101074884"/>
      <w:bookmarkStart w:id="252" w:name="_Toc73517678"/>
      <w:bookmarkStart w:id="253" w:name="_Toc73518156"/>
      <w:bookmarkStart w:id="254" w:name="_Toc100052407"/>
      <w:r>
        <w:rPr>
          <w:rFonts w:hint="eastAsia" w:ascii="Arial" w:hAnsi="Arial" w:eastAsia="黑体"/>
          <w:b/>
          <w:bCs/>
          <w:sz w:val="28"/>
          <w:szCs w:val="28"/>
        </w:rPr>
        <w:t>公开招标失败的后续处理</w:t>
      </w:r>
    </w:p>
    <w:p>
      <w:pPr>
        <w:spacing w:line="360" w:lineRule="auto"/>
        <w:rPr>
          <w:rFonts w:ascii="黑体" w:hAnsi="宋体" w:eastAsia="黑体"/>
          <w:sz w:val="24"/>
        </w:rPr>
      </w:pPr>
      <w:r>
        <w:rPr>
          <w:rFonts w:hint="eastAsia" w:ascii="黑体" w:hAnsi="宋体" w:eastAsia="黑体"/>
          <w:sz w:val="24"/>
        </w:rPr>
        <w:t>42．公开招标失败的处理</w:t>
      </w:r>
    </w:p>
    <w:p>
      <w:pPr>
        <w:ind w:firstLine="411" w:firstLineChars="196"/>
        <w:rPr>
          <w:rFonts w:ascii="宋体" w:hAnsi="宋体"/>
        </w:rPr>
      </w:pPr>
      <w:r>
        <w:rPr>
          <w:rFonts w:hint="eastAsia" w:ascii="宋体" w:hAnsi="宋体"/>
          <w:szCs w:val="21"/>
        </w:rPr>
        <w:t>42.1本项目公开招标过程中若由于投标截止后</w:t>
      </w:r>
      <w:r>
        <w:rPr>
          <w:rFonts w:hint="eastAsia" w:ascii="宋体" w:hAnsi="宋体"/>
        </w:rPr>
        <w:t>实际递交</w:t>
      </w:r>
      <w:r>
        <w:rPr>
          <w:rFonts w:ascii="宋体" w:hAnsi="宋体"/>
        </w:rPr>
        <w:t>投标</w:t>
      </w:r>
      <w:r>
        <w:rPr>
          <w:rFonts w:hint="eastAsia" w:ascii="宋体" w:hAnsi="宋体"/>
        </w:rPr>
        <w:t>文件的供应商数量不足、经评标委员会评审对招标文件作实质响应的供应商不足等原因造成公开招标失败，可由采购机构重新组织采购。</w:t>
      </w:r>
    </w:p>
    <w:p>
      <w:pPr>
        <w:ind w:firstLine="411" w:firstLineChars="196"/>
        <w:rPr>
          <w:rFonts w:ascii="宋体" w:hAnsi="宋体"/>
          <w:szCs w:val="21"/>
        </w:rPr>
      </w:pPr>
      <w:r>
        <w:rPr>
          <w:rFonts w:hint="eastAsia" w:ascii="宋体" w:hAnsi="宋体"/>
          <w:szCs w:val="21"/>
        </w:rPr>
        <w:t>42.2对公开招标失败的项目，评标委员会在出具该项目招标失败结论的同时，提出重新采购组织形式的建议，以及进一步完善招标文件的资格、技术、商务要求的修改建议。</w:t>
      </w:r>
    </w:p>
    <w:p>
      <w:pPr>
        <w:ind w:firstLine="411" w:firstLineChars="196"/>
        <w:rPr>
          <w:rFonts w:ascii="宋体" w:hAnsi="宋体"/>
          <w:szCs w:val="21"/>
        </w:rPr>
      </w:pPr>
      <w:r>
        <w:rPr>
          <w:rFonts w:hint="eastAsia" w:ascii="宋体" w:hAnsi="宋体"/>
          <w:szCs w:val="21"/>
        </w:rPr>
        <w:t>42.3重新组织采购有以下两种组织形式：</w:t>
      </w:r>
    </w:p>
    <w:p>
      <w:pPr>
        <w:ind w:firstLine="411" w:firstLineChars="196"/>
        <w:rPr>
          <w:rFonts w:ascii="宋体" w:hAnsi="宋体"/>
        </w:rPr>
      </w:pPr>
      <w:r>
        <w:rPr>
          <w:rFonts w:hint="eastAsia" w:ascii="宋体" w:hAnsi="宋体"/>
        </w:rPr>
        <w:t>（1）由采购机构重新组织公开招标；</w:t>
      </w:r>
    </w:p>
    <w:p>
      <w:pPr>
        <w:ind w:firstLine="411" w:firstLineChars="196"/>
        <w:rPr>
          <w:rFonts w:ascii="宋体" w:hAnsi="宋体"/>
          <w:color w:val="auto"/>
        </w:rPr>
      </w:pPr>
      <w:r>
        <w:rPr>
          <w:rFonts w:hint="eastAsia" w:ascii="宋体" w:hAnsi="宋体"/>
        </w:rPr>
        <w:t>（2）根据实际情况需要向</w:t>
      </w:r>
      <w:r>
        <w:rPr>
          <w:rFonts w:hint="eastAsia" w:ascii="宋体" w:hAnsi="宋体"/>
          <w:lang w:eastAsia="zh-CN"/>
        </w:rPr>
        <w:t>公司</w:t>
      </w:r>
      <w:r>
        <w:rPr>
          <w:rFonts w:hint="eastAsia" w:ascii="宋体" w:hAnsi="宋体"/>
          <w:color w:val="auto"/>
        </w:rPr>
        <w:t>采购监督管理部门提出非公开招标方式申请，经</w:t>
      </w:r>
      <w:r>
        <w:rPr>
          <w:rFonts w:hint="eastAsia" w:ascii="宋体" w:hAnsi="宋体"/>
          <w:color w:val="auto"/>
          <w:lang w:eastAsia="zh-CN"/>
        </w:rPr>
        <w:t>公司</w:t>
      </w:r>
      <w:r>
        <w:rPr>
          <w:rFonts w:hint="eastAsia" w:ascii="宋体" w:hAnsi="宋体"/>
          <w:color w:val="auto"/>
        </w:rPr>
        <w:t>采购监督管理部门批准公开招标失败的采购项目可转为竞争性谈判或单一来源谈判方式采购。</w:t>
      </w:r>
    </w:p>
    <w:p>
      <w:pPr>
        <w:ind w:firstLine="411" w:firstLineChars="196"/>
        <w:rPr>
          <w:rFonts w:ascii="宋体" w:hAnsi="宋体"/>
          <w:color w:val="auto"/>
        </w:rPr>
      </w:pPr>
      <w:r>
        <w:rPr>
          <w:rFonts w:hint="eastAsia" w:ascii="宋体" w:hAnsi="宋体"/>
          <w:color w:val="auto"/>
        </w:rPr>
        <w:t>42.4公开招标失败的采购项目重新组织公开招标，采购机构要重新按公开招标流程发布招标公告和招标文件、组成评标委员会等组织采购活动。</w:t>
      </w:r>
    </w:p>
    <w:p>
      <w:pPr>
        <w:ind w:firstLine="411" w:firstLineChars="196"/>
        <w:rPr>
          <w:rFonts w:ascii="宋体" w:hAnsi="宋体"/>
        </w:rPr>
      </w:pPr>
      <w:r>
        <w:rPr>
          <w:rFonts w:hint="eastAsia" w:ascii="宋体" w:hAnsi="宋体"/>
          <w:color w:val="auto"/>
        </w:rPr>
        <w:t>42.5公开招标失败的采购项目经</w:t>
      </w:r>
      <w:r>
        <w:rPr>
          <w:rFonts w:hint="eastAsia" w:ascii="宋体" w:hAnsi="宋体"/>
          <w:color w:val="auto"/>
          <w:lang w:eastAsia="zh-CN"/>
        </w:rPr>
        <w:t>公司</w:t>
      </w:r>
      <w:r>
        <w:rPr>
          <w:rFonts w:hint="eastAsia" w:ascii="宋体" w:hAnsi="宋体"/>
          <w:color w:val="auto"/>
        </w:rPr>
        <w:t>采购监督管理部门批准转为竞争性谈判或单一来源谈判方式采购的，可不另行制作谈判文件，采购机构可就原招标文件中资格、技术及评标方法等变动情况向拟谈判对象发出谈判邀请。谈判邀请文件与原招标文</w:t>
      </w:r>
      <w:r>
        <w:rPr>
          <w:rFonts w:hint="eastAsia" w:ascii="宋体" w:hAnsi="宋体"/>
        </w:rPr>
        <w:t>件具同等效力，变动部分以谈判邀请文件为准。转为竞争性谈判或单一来源谈判方式采购的，供应商的原投标文件转为谈判应答文件。</w:t>
      </w:r>
    </w:p>
    <w:p>
      <w:pPr>
        <w:spacing w:line="360" w:lineRule="auto"/>
        <w:rPr>
          <w:rFonts w:ascii="黑体" w:hAnsi="宋体" w:eastAsia="黑体"/>
          <w:sz w:val="24"/>
        </w:rPr>
      </w:pPr>
      <w:r>
        <w:rPr>
          <w:rFonts w:hint="eastAsia" w:ascii="黑体" w:hAnsi="宋体" w:eastAsia="黑体"/>
          <w:sz w:val="24"/>
        </w:rPr>
        <w:t>43．公开招标失败项目转为竞争性谈判方式采购的</w:t>
      </w:r>
    </w:p>
    <w:p>
      <w:pPr>
        <w:ind w:firstLine="413" w:firstLineChars="196"/>
        <w:rPr>
          <w:rFonts w:ascii="宋体" w:hAnsi="宋体"/>
          <w:b/>
          <w:szCs w:val="21"/>
        </w:rPr>
      </w:pPr>
      <w:r>
        <w:rPr>
          <w:rFonts w:hint="eastAsia" w:ascii="宋体" w:hAnsi="宋体"/>
          <w:b/>
          <w:szCs w:val="21"/>
        </w:rPr>
        <w:t>43.1谈判文件</w:t>
      </w:r>
    </w:p>
    <w:p>
      <w:pPr>
        <w:ind w:firstLine="411" w:firstLineChars="196"/>
        <w:rPr>
          <w:rFonts w:ascii="宋体" w:hAnsi="宋体"/>
          <w:szCs w:val="21"/>
        </w:rPr>
      </w:pPr>
      <w:r>
        <w:rPr>
          <w:rFonts w:hint="eastAsia" w:ascii="宋体" w:hAnsi="宋体"/>
          <w:szCs w:val="21"/>
        </w:rPr>
        <w:t>43.1.1公开招标失败项目转为竞争性谈判方式采购的，原招标文件转为谈判文件。</w:t>
      </w:r>
    </w:p>
    <w:p>
      <w:pPr>
        <w:ind w:firstLine="413" w:firstLineChars="196"/>
        <w:rPr>
          <w:rFonts w:ascii="宋体" w:hAnsi="宋体"/>
          <w:b/>
          <w:szCs w:val="21"/>
        </w:rPr>
      </w:pPr>
      <w:r>
        <w:rPr>
          <w:rFonts w:hint="eastAsia" w:ascii="宋体" w:hAnsi="宋体"/>
          <w:b/>
          <w:szCs w:val="21"/>
        </w:rPr>
        <w:t>43.2谈判小组</w:t>
      </w:r>
    </w:p>
    <w:p>
      <w:pPr>
        <w:ind w:firstLine="411" w:firstLineChars="196"/>
        <w:rPr>
          <w:rFonts w:ascii="宋体" w:hAnsi="宋体"/>
          <w:szCs w:val="21"/>
        </w:rPr>
      </w:pPr>
      <w:r>
        <w:rPr>
          <w:rFonts w:hint="eastAsia" w:ascii="宋体" w:hAnsi="宋体"/>
          <w:szCs w:val="21"/>
        </w:rPr>
        <w:t>43.2.1公开招标失败项目转为竞争性谈判方式采购后，评标委员会转为谈判小组</w:t>
      </w:r>
      <w:r>
        <w:rPr>
          <w:rFonts w:hint="eastAsia" w:ascii="宋体" w:hAnsi="宋体"/>
        </w:rPr>
        <w:t>；专家可重新抽取也可继续采用评标委员会内专家。</w:t>
      </w:r>
    </w:p>
    <w:p>
      <w:pPr>
        <w:tabs>
          <w:tab w:val="left" w:pos="-1080"/>
        </w:tabs>
        <w:ind w:firstLine="420" w:firstLineChars="200"/>
        <w:rPr>
          <w:rFonts w:ascii="宋体" w:hAnsi="宋体"/>
        </w:rPr>
      </w:pPr>
      <w:r>
        <w:rPr>
          <w:rFonts w:hint="eastAsia" w:ascii="宋体" w:hAnsi="宋体"/>
          <w:szCs w:val="21"/>
        </w:rPr>
        <w:t>43.2.2</w:t>
      </w:r>
      <w:r>
        <w:rPr>
          <w:rFonts w:hint="eastAsia" w:ascii="宋体" w:hAnsi="宋体"/>
        </w:rPr>
        <w:t>谈判前，谈判小组将对各供应商的谈判应答文件进行审查，</w:t>
      </w:r>
      <w:r>
        <w:rPr>
          <w:rFonts w:hint="eastAsia" w:ascii="宋体" w:hAnsi="宋体"/>
          <w:bCs/>
        </w:rPr>
        <w:t>当谈判应答文件出现资格</w:t>
      </w:r>
      <w:r>
        <w:rPr>
          <w:rFonts w:ascii="宋体" w:hAnsi="宋体"/>
          <w:bCs/>
        </w:rPr>
        <w:t>性审查不符合项</w:t>
      </w:r>
      <w:r>
        <w:rPr>
          <w:rFonts w:hint="eastAsia" w:ascii="宋体" w:hAnsi="宋体"/>
          <w:bCs/>
        </w:rPr>
        <w:t>时将视为无效，按废标处理，不得进入谈判，</w:t>
      </w:r>
      <w:r>
        <w:rPr>
          <w:rFonts w:hint="eastAsia" w:ascii="宋体" w:hAnsi="宋体"/>
          <w:b/>
        </w:rPr>
        <w:t>具体内容见原招标文件中投标文件初审表的《资格性检查表》部分以及谈判邀请中相应的变动部分。</w:t>
      </w:r>
    </w:p>
    <w:p>
      <w:pPr>
        <w:ind w:firstLine="413" w:firstLineChars="196"/>
        <w:rPr>
          <w:rFonts w:ascii="宋体" w:hAnsi="宋体"/>
          <w:b/>
          <w:szCs w:val="21"/>
        </w:rPr>
      </w:pPr>
      <w:r>
        <w:rPr>
          <w:rFonts w:hint="eastAsia" w:ascii="宋体" w:hAnsi="宋体"/>
          <w:b/>
          <w:szCs w:val="21"/>
        </w:rPr>
        <w:t>43.3谈判程序</w:t>
      </w:r>
    </w:p>
    <w:p>
      <w:pPr>
        <w:ind w:firstLine="411" w:firstLineChars="196"/>
        <w:rPr>
          <w:rFonts w:ascii="宋体" w:hAnsi="宋体"/>
          <w:szCs w:val="21"/>
        </w:rPr>
      </w:pPr>
      <w:r>
        <w:rPr>
          <w:rFonts w:hint="eastAsia" w:ascii="宋体" w:hAnsi="宋体"/>
          <w:szCs w:val="21"/>
        </w:rPr>
        <w:t>43.3.1参加谈判的供应商和谈判小组成员填写谈判登记表，并交验证明文件（法定代表人证明书、法人授权委托书、被授权的谈判代表身份证原件）。</w:t>
      </w:r>
    </w:p>
    <w:p>
      <w:pPr>
        <w:ind w:firstLine="411" w:firstLineChars="196"/>
        <w:rPr>
          <w:rFonts w:ascii="宋体" w:hAnsi="宋体"/>
          <w:szCs w:val="21"/>
        </w:rPr>
      </w:pPr>
      <w:r>
        <w:rPr>
          <w:rFonts w:hint="eastAsia" w:ascii="宋体" w:hAnsi="宋体"/>
          <w:szCs w:val="21"/>
        </w:rPr>
        <w:t>43.3</w:t>
      </w:r>
      <w:r>
        <w:rPr>
          <w:rFonts w:ascii="宋体" w:hAnsi="宋体"/>
          <w:szCs w:val="21"/>
        </w:rPr>
        <w:t>.2</w:t>
      </w:r>
      <w:r>
        <w:rPr>
          <w:rFonts w:hint="eastAsia" w:ascii="宋体" w:hAnsi="宋体"/>
          <w:szCs w:val="21"/>
        </w:rPr>
        <w:t>谈判小组主持人宣布谈判规则和谈判纪律。</w:t>
      </w:r>
    </w:p>
    <w:p>
      <w:pPr>
        <w:ind w:firstLine="411" w:firstLineChars="196"/>
        <w:rPr>
          <w:rFonts w:ascii="宋体" w:hAnsi="宋体"/>
          <w:szCs w:val="21"/>
        </w:rPr>
      </w:pPr>
      <w:r>
        <w:rPr>
          <w:rFonts w:hint="eastAsia" w:ascii="宋体" w:hAnsi="宋体"/>
          <w:szCs w:val="21"/>
        </w:rPr>
        <w:t>43.3</w:t>
      </w:r>
      <w:r>
        <w:rPr>
          <w:rFonts w:ascii="宋体" w:hAnsi="宋体"/>
          <w:szCs w:val="21"/>
        </w:rPr>
        <w:t>.3</w:t>
      </w:r>
      <w:r>
        <w:rPr>
          <w:rFonts w:hint="eastAsia" w:ascii="宋体" w:hAnsi="宋体"/>
          <w:szCs w:val="21"/>
        </w:rPr>
        <w:t>在谈判中，谈判小组将就以下谈判内容跟供应商进行谈判：</w:t>
      </w:r>
    </w:p>
    <w:p>
      <w:pPr>
        <w:ind w:firstLine="411" w:firstLineChars="196"/>
        <w:rPr>
          <w:rFonts w:ascii="宋体" w:hAnsi="宋体"/>
          <w:szCs w:val="21"/>
        </w:rPr>
      </w:pPr>
      <w:r>
        <w:rPr>
          <w:rFonts w:hint="eastAsia" w:ascii="宋体" w:hAnsi="宋体"/>
          <w:szCs w:val="21"/>
        </w:rPr>
        <w:t>（</w:t>
      </w:r>
      <w:r>
        <w:rPr>
          <w:rFonts w:ascii="宋体" w:hAnsi="宋体"/>
          <w:szCs w:val="21"/>
        </w:rPr>
        <w:t>1</w:t>
      </w:r>
      <w:r>
        <w:rPr>
          <w:rFonts w:hint="eastAsia" w:ascii="宋体" w:hAnsi="宋体"/>
          <w:szCs w:val="21"/>
        </w:rPr>
        <w:t>）项目方案；</w:t>
      </w:r>
    </w:p>
    <w:p>
      <w:pPr>
        <w:ind w:firstLine="411" w:firstLineChars="196"/>
        <w:rPr>
          <w:rFonts w:ascii="宋体" w:hAnsi="宋体"/>
          <w:szCs w:val="21"/>
        </w:rPr>
      </w:pPr>
      <w:r>
        <w:rPr>
          <w:rFonts w:hint="eastAsia" w:ascii="宋体" w:hAnsi="宋体"/>
          <w:szCs w:val="21"/>
        </w:rPr>
        <w:t>（2）报价；</w:t>
      </w:r>
    </w:p>
    <w:p>
      <w:pPr>
        <w:ind w:firstLine="411" w:firstLineChars="196"/>
        <w:rPr>
          <w:rFonts w:ascii="宋体" w:hAnsi="宋体"/>
          <w:szCs w:val="21"/>
        </w:rPr>
      </w:pPr>
      <w:r>
        <w:rPr>
          <w:rFonts w:hint="eastAsia" w:ascii="宋体" w:hAnsi="宋体"/>
          <w:szCs w:val="21"/>
        </w:rPr>
        <w:t>（3）其它相关事项。</w:t>
      </w:r>
    </w:p>
    <w:p>
      <w:pPr>
        <w:ind w:firstLine="411" w:firstLineChars="196"/>
        <w:rPr>
          <w:rFonts w:ascii="宋体" w:hAnsi="宋体"/>
          <w:szCs w:val="21"/>
        </w:rPr>
      </w:pPr>
      <w:r>
        <w:rPr>
          <w:rFonts w:hint="eastAsia" w:ascii="宋体" w:hAnsi="宋体"/>
          <w:szCs w:val="21"/>
        </w:rPr>
        <w:t>原招标文件或谈判邀请文件有实质性变动的，谈判小组应当通过采购机构通知所有参加谈判的供应商。</w:t>
      </w:r>
    </w:p>
    <w:p>
      <w:pPr>
        <w:ind w:firstLine="411" w:firstLineChars="196"/>
        <w:rPr>
          <w:rFonts w:ascii="宋体" w:hAnsi="宋体"/>
          <w:szCs w:val="21"/>
        </w:rPr>
      </w:pPr>
      <w:r>
        <w:rPr>
          <w:rFonts w:hint="eastAsia" w:ascii="宋体" w:hAnsi="宋体"/>
          <w:szCs w:val="21"/>
        </w:rPr>
        <w:t>43.3.4谈判小组可以用书面形式要求各供应商对其谈判应答文件含义不明确的内容作必要的澄清或者说明，重要问题供应商应以书面形式进行澄清、说明。</w:t>
      </w:r>
    </w:p>
    <w:p>
      <w:pPr>
        <w:ind w:firstLine="411" w:firstLineChars="196"/>
        <w:rPr>
          <w:rFonts w:ascii="宋体" w:hAnsi="宋体"/>
          <w:szCs w:val="21"/>
        </w:rPr>
      </w:pPr>
      <w:r>
        <w:rPr>
          <w:rFonts w:hint="eastAsia" w:ascii="宋体" w:hAnsi="宋体"/>
          <w:szCs w:val="21"/>
        </w:rPr>
        <w:t>43.3</w:t>
      </w:r>
      <w:r>
        <w:rPr>
          <w:rFonts w:ascii="宋体" w:hAnsi="宋体"/>
          <w:szCs w:val="21"/>
        </w:rPr>
        <w:t>.</w:t>
      </w:r>
      <w:r>
        <w:rPr>
          <w:rFonts w:hint="eastAsia" w:ascii="宋体" w:hAnsi="宋体"/>
          <w:szCs w:val="21"/>
        </w:rPr>
        <w:t>5 允许供应商在谈判结束之前根据谈判小组提出的内容进行澄清、修改或完善，或对项目方案进行相应的调整。</w:t>
      </w:r>
    </w:p>
    <w:p>
      <w:pPr>
        <w:ind w:firstLine="411" w:firstLineChars="196"/>
        <w:rPr>
          <w:rFonts w:ascii="宋体" w:hAnsi="宋体"/>
          <w:szCs w:val="21"/>
        </w:rPr>
      </w:pPr>
      <w:r>
        <w:rPr>
          <w:rFonts w:hint="eastAsia" w:ascii="宋体" w:hAnsi="宋体"/>
          <w:szCs w:val="21"/>
        </w:rPr>
        <w:t>43.3</w:t>
      </w:r>
      <w:r>
        <w:rPr>
          <w:rFonts w:ascii="宋体" w:hAnsi="宋体"/>
          <w:szCs w:val="21"/>
        </w:rPr>
        <w:t>.</w:t>
      </w:r>
      <w:r>
        <w:rPr>
          <w:rFonts w:hint="eastAsia" w:ascii="宋体" w:hAnsi="宋体"/>
          <w:szCs w:val="21"/>
        </w:rPr>
        <w:t>6供应商对谈判应答文件进行修改，都应形成文字材料，并经供应商谈判授权人签字认可。</w:t>
      </w:r>
    </w:p>
    <w:p>
      <w:pPr>
        <w:ind w:firstLine="411" w:firstLineChars="196"/>
        <w:rPr>
          <w:rFonts w:ascii="宋体" w:hAnsi="宋体"/>
          <w:szCs w:val="21"/>
        </w:rPr>
      </w:pPr>
      <w:r>
        <w:rPr>
          <w:rFonts w:hint="eastAsia" w:ascii="宋体" w:hAnsi="宋体"/>
          <w:szCs w:val="21"/>
        </w:rPr>
        <w:t>43.3.7谈判小组所有成员集中与单一供应商分别进行谈判。在谈判中，谈判的任何一方不得透露与谈判有关的其它供应商的技术资料、价格或者其他信息；参加谈判的供应商有两次更改机会；供应商应在规定的时间内提出最后更改及书面承诺。</w:t>
      </w:r>
    </w:p>
    <w:p>
      <w:pPr>
        <w:ind w:firstLine="411" w:firstLineChars="196"/>
        <w:rPr>
          <w:rFonts w:ascii="宋体" w:hAnsi="宋体"/>
          <w:szCs w:val="21"/>
        </w:rPr>
      </w:pPr>
      <w:r>
        <w:rPr>
          <w:rFonts w:hint="eastAsia" w:ascii="宋体" w:hAnsi="宋体"/>
          <w:szCs w:val="21"/>
        </w:rPr>
        <w:t>43.3.8</w:t>
      </w:r>
      <w:r>
        <w:rPr>
          <w:rFonts w:hint="eastAsia" w:ascii="宋体" w:hAnsi="宋体"/>
          <w:bCs/>
        </w:rPr>
        <w:t>当谈判应答文件出现符合</w:t>
      </w:r>
      <w:r>
        <w:rPr>
          <w:rFonts w:ascii="宋体" w:hAnsi="宋体"/>
          <w:bCs/>
        </w:rPr>
        <w:t>性审查不符合项</w:t>
      </w:r>
      <w:r>
        <w:rPr>
          <w:rFonts w:hint="eastAsia" w:ascii="宋体" w:hAnsi="宋体"/>
          <w:bCs/>
        </w:rPr>
        <w:t>时</w:t>
      </w:r>
      <w:r>
        <w:rPr>
          <w:rFonts w:hint="eastAsia" w:ascii="宋体" w:hAnsi="宋体"/>
          <w:szCs w:val="21"/>
        </w:rPr>
        <w:t>，该供应商的谈判结果作废标处理，</w:t>
      </w:r>
      <w:r>
        <w:rPr>
          <w:rFonts w:hint="eastAsia" w:ascii="宋体" w:hAnsi="宋体"/>
          <w:b/>
          <w:szCs w:val="21"/>
        </w:rPr>
        <w:t>具体内容见原招标文件中投标文件初审表的《符合性检查表》部分以及谈判邀请中相应的变动部分。</w:t>
      </w:r>
    </w:p>
    <w:p>
      <w:pPr>
        <w:ind w:firstLine="411" w:firstLineChars="196"/>
        <w:rPr>
          <w:rFonts w:ascii="宋体" w:hAnsi="宋体"/>
          <w:szCs w:val="21"/>
        </w:rPr>
      </w:pPr>
      <w:r>
        <w:rPr>
          <w:rFonts w:hint="eastAsia" w:ascii="宋体" w:hAnsi="宋体"/>
          <w:szCs w:val="21"/>
        </w:rPr>
        <w:t>43.3</w:t>
      </w:r>
      <w:r>
        <w:rPr>
          <w:rFonts w:ascii="宋体" w:hAnsi="宋体"/>
          <w:szCs w:val="21"/>
        </w:rPr>
        <w:t>.</w:t>
      </w:r>
      <w:r>
        <w:rPr>
          <w:rFonts w:hint="eastAsia" w:ascii="宋体" w:hAnsi="宋体"/>
          <w:szCs w:val="21"/>
        </w:rPr>
        <w:t>9谈判结束后，谈判小组根据供应商提供的谈判应答文件、谈判过程中产生的相关资料，对供应商谈判应答文件进行评估与比较，提出书面评审意见。</w:t>
      </w:r>
    </w:p>
    <w:p>
      <w:pPr>
        <w:ind w:firstLine="411" w:firstLineChars="196"/>
        <w:rPr>
          <w:rFonts w:ascii="宋体" w:hAnsi="宋体"/>
          <w:szCs w:val="21"/>
        </w:rPr>
      </w:pPr>
      <w:r>
        <w:rPr>
          <w:rFonts w:hint="eastAsia" w:ascii="宋体" w:hAnsi="宋体"/>
          <w:szCs w:val="21"/>
        </w:rPr>
        <w:t>43.3.10谈判小组将对谈判过程进行记录，以存档备查。</w:t>
      </w:r>
    </w:p>
    <w:p>
      <w:pPr>
        <w:ind w:firstLine="413" w:firstLineChars="196"/>
        <w:rPr>
          <w:rFonts w:ascii="宋体" w:hAnsi="宋体"/>
          <w:b/>
          <w:szCs w:val="21"/>
        </w:rPr>
      </w:pPr>
      <w:r>
        <w:rPr>
          <w:rFonts w:hint="eastAsia" w:ascii="宋体" w:hAnsi="宋体"/>
          <w:b/>
          <w:szCs w:val="21"/>
        </w:rPr>
        <w:t>43.4评标方法和定标原则</w:t>
      </w:r>
    </w:p>
    <w:p>
      <w:pPr>
        <w:tabs>
          <w:tab w:val="left" w:pos="-1080"/>
        </w:tabs>
        <w:ind w:firstLine="420" w:firstLineChars="200"/>
        <w:rPr>
          <w:rFonts w:ascii="宋体" w:hAnsi="宋体"/>
          <w:b/>
          <w:szCs w:val="21"/>
        </w:rPr>
      </w:pPr>
      <w:r>
        <w:rPr>
          <w:rFonts w:hint="eastAsia" w:ascii="宋体" w:hAnsi="宋体"/>
          <w:szCs w:val="21"/>
        </w:rPr>
        <w:t>43.4.1根据《深圳市政府采购评标委员会和评标方法暂行规定》（深财购[2005]5号），竞争性谈判采购项目的评标方法要比照</w:t>
      </w:r>
      <w:r>
        <w:rPr>
          <w:rFonts w:hint="eastAsia" w:ascii="宋体" w:hAnsi="宋体"/>
          <w:b/>
          <w:szCs w:val="21"/>
        </w:rPr>
        <w:t>最低评标价法规定执行</w:t>
      </w:r>
      <w:r>
        <w:rPr>
          <w:rFonts w:hint="eastAsia" w:ascii="宋体" w:hAnsi="宋体"/>
          <w:szCs w:val="21"/>
        </w:rPr>
        <w:t>。如确因实际情况需要采用其他评标方法的，应报经采购管理部门批准。</w:t>
      </w:r>
      <w:r>
        <w:rPr>
          <w:rFonts w:hint="eastAsia" w:ascii="宋体" w:hAnsi="宋体"/>
          <w:b/>
        </w:rPr>
        <w:t>原招标文件若采用</w:t>
      </w:r>
      <w:r>
        <w:rPr>
          <w:rFonts w:hint="eastAsia" w:ascii="宋体" w:hAnsi="宋体"/>
          <w:b/>
          <w:bCs/>
        </w:rPr>
        <w:t>最低评标价法以外的评标方法，转为竞争性谈判后，评标方法应采用</w:t>
      </w:r>
      <w:r>
        <w:rPr>
          <w:rFonts w:hint="eastAsia" w:ascii="宋体" w:hAnsi="宋体"/>
          <w:b/>
          <w:szCs w:val="21"/>
        </w:rPr>
        <w:t>最低评标价法。</w:t>
      </w:r>
    </w:p>
    <w:p>
      <w:pPr>
        <w:tabs>
          <w:tab w:val="left" w:pos="-1080"/>
        </w:tabs>
        <w:ind w:firstLine="420" w:firstLineChars="200"/>
        <w:rPr>
          <w:rFonts w:ascii="宋体" w:hAnsi="宋体"/>
        </w:rPr>
      </w:pPr>
      <w:r>
        <w:rPr>
          <w:rFonts w:hint="eastAsia" w:ascii="宋体" w:hAnsi="宋体"/>
          <w:szCs w:val="21"/>
        </w:rPr>
        <w:t>43.4.2对公开招标失败转为竞争性谈判方式采购的项目，谈判小组</w:t>
      </w:r>
      <w:r>
        <w:rPr>
          <w:rFonts w:hint="eastAsia" w:ascii="宋体" w:hAnsi="宋体"/>
        </w:rPr>
        <w:t>对谈判应答文件进行评审和比较，综合各家供应商最终的方案、服务和投资等谈判结果并按本通用条款第</w:t>
      </w:r>
      <w:r>
        <w:rPr>
          <w:rFonts w:hint="eastAsia" w:ascii="宋体" w:hAnsi="宋体"/>
          <w:bCs/>
          <w:szCs w:val="21"/>
        </w:rPr>
        <w:t>37.1.1款</w:t>
      </w:r>
      <w:r>
        <w:rPr>
          <w:rFonts w:hint="eastAsia" w:ascii="宋体" w:hAnsi="宋体"/>
        </w:rPr>
        <w:t>的</w:t>
      </w:r>
      <w:r>
        <w:rPr>
          <w:rFonts w:hint="eastAsia" w:ascii="宋体" w:hAnsi="宋体"/>
          <w:b/>
          <w:bCs/>
        </w:rPr>
        <w:t>最低评标价法</w:t>
      </w:r>
      <w:r>
        <w:rPr>
          <w:rFonts w:hint="eastAsia" w:ascii="宋体" w:hAnsi="宋体"/>
        </w:rPr>
        <w:t>进行评审。</w:t>
      </w:r>
    </w:p>
    <w:p>
      <w:pPr>
        <w:tabs>
          <w:tab w:val="left" w:pos="-1080"/>
        </w:tabs>
        <w:ind w:firstLine="420" w:firstLineChars="200"/>
        <w:rPr>
          <w:rFonts w:ascii="宋体" w:hAnsi="宋体"/>
        </w:rPr>
      </w:pPr>
      <w:r>
        <w:rPr>
          <w:rFonts w:hint="eastAsia" w:ascii="宋体" w:hAnsi="宋体"/>
        </w:rPr>
        <w:t>43.4.3若要采用其他评标方法的，必须</w:t>
      </w:r>
      <w:r>
        <w:rPr>
          <w:rFonts w:hint="eastAsia" w:ascii="宋体" w:hAnsi="宋体"/>
          <w:szCs w:val="21"/>
        </w:rPr>
        <w:t>报经深圳市深大体育文化发展有限公司采购监督管理部门批准，谈判小组按批准的评标方法进行评审。谈判邀请文件中应注明批准的评标方法。</w:t>
      </w:r>
    </w:p>
    <w:p>
      <w:pPr>
        <w:tabs>
          <w:tab w:val="left" w:pos="-1080"/>
        </w:tabs>
        <w:ind w:firstLine="420" w:firstLineChars="200"/>
        <w:rPr>
          <w:rFonts w:ascii="宋体" w:hAnsi="宋体"/>
        </w:rPr>
      </w:pPr>
      <w:r>
        <w:rPr>
          <w:rFonts w:hint="eastAsia" w:ascii="宋体" w:hAnsi="宋体"/>
        </w:rPr>
        <w:t>43.4.4谈判小组向采购机构提交书面评标报告，并推荐中标候选人或确定中标供应商。</w:t>
      </w:r>
    </w:p>
    <w:p>
      <w:pPr>
        <w:spacing w:line="360" w:lineRule="auto"/>
        <w:rPr>
          <w:rFonts w:ascii="黑体" w:hAnsi="宋体" w:eastAsia="黑体"/>
          <w:sz w:val="24"/>
        </w:rPr>
      </w:pPr>
      <w:r>
        <w:rPr>
          <w:rFonts w:hint="eastAsia" w:ascii="黑体" w:hAnsi="宋体" w:eastAsia="黑体"/>
          <w:sz w:val="24"/>
        </w:rPr>
        <w:t>44．公开招标失败项目转为单一来源谈判方式采购的</w:t>
      </w:r>
    </w:p>
    <w:p>
      <w:pPr>
        <w:ind w:firstLine="413" w:firstLineChars="196"/>
        <w:rPr>
          <w:rFonts w:ascii="宋体" w:hAnsi="宋体"/>
          <w:b/>
          <w:szCs w:val="21"/>
        </w:rPr>
      </w:pPr>
      <w:r>
        <w:rPr>
          <w:rFonts w:hint="eastAsia" w:ascii="宋体" w:hAnsi="宋体"/>
          <w:b/>
          <w:szCs w:val="21"/>
        </w:rPr>
        <w:t>44.1谈判文件</w:t>
      </w:r>
    </w:p>
    <w:p>
      <w:pPr>
        <w:ind w:firstLine="411" w:firstLineChars="196"/>
        <w:rPr>
          <w:rFonts w:ascii="宋体" w:hAnsi="宋体"/>
          <w:szCs w:val="21"/>
        </w:rPr>
      </w:pPr>
      <w:r>
        <w:rPr>
          <w:rFonts w:hint="eastAsia" w:ascii="宋体" w:hAnsi="宋体"/>
          <w:szCs w:val="21"/>
        </w:rPr>
        <w:t>44.1.1公开招标失败项目转为单一来源谈判方式采购的，原招标文件转为谈判文件。</w:t>
      </w:r>
    </w:p>
    <w:p>
      <w:pPr>
        <w:ind w:firstLine="413" w:firstLineChars="196"/>
        <w:rPr>
          <w:rFonts w:ascii="宋体" w:hAnsi="宋体"/>
          <w:b/>
          <w:szCs w:val="21"/>
        </w:rPr>
      </w:pPr>
      <w:r>
        <w:rPr>
          <w:rFonts w:hint="eastAsia" w:ascii="宋体" w:hAnsi="宋体"/>
          <w:b/>
          <w:szCs w:val="21"/>
        </w:rPr>
        <w:t>44.2谈判小组</w:t>
      </w:r>
    </w:p>
    <w:p>
      <w:pPr>
        <w:ind w:firstLine="411" w:firstLineChars="196"/>
        <w:rPr>
          <w:rFonts w:ascii="宋体" w:hAnsi="宋体"/>
          <w:szCs w:val="21"/>
        </w:rPr>
      </w:pPr>
      <w:r>
        <w:rPr>
          <w:rFonts w:hint="eastAsia" w:ascii="宋体" w:hAnsi="宋体"/>
          <w:szCs w:val="21"/>
        </w:rPr>
        <w:t>44.2.1公开招标失败项目转为单一来源谈判方式采购后，评标委员会转为谈判小组，</w:t>
      </w:r>
      <w:r>
        <w:rPr>
          <w:rFonts w:hint="eastAsia" w:ascii="宋体" w:hAnsi="宋体"/>
        </w:rPr>
        <w:t>专家可重新抽取也可继续采用评标委员会内专家。</w:t>
      </w:r>
    </w:p>
    <w:p>
      <w:pPr>
        <w:tabs>
          <w:tab w:val="left" w:pos="-1080"/>
        </w:tabs>
        <w:ind w:firstLine="420" w:firstLineChars="200"/>
        <w:rPr>
          <w:rFonts w:ascii="宋体" w:hAnsi="宋体"/>
        </w:rPr>
      </w:pPr>
      <w:r>
        <w:rPr>
          <w:rFonts w:hint="eastAsia" w:ascii="宋体" w:hAnsi="宋体"/>
          <w:szCs w:val="21"/>
        </w:rPr>
        <w:t>44.2.2</w:t>
      </w:r>
      <w:r>
        <w:rPr>
          <w:rFonts w:hint="eastAsia" w:ascii="宋体" w:hAnsi="宋体"/>
        </w:rPr>
        <w:t>谈判前，谈判小组将对单一来源供应商的谈判应答文件进行审查，</w:t>
      </w:r>
      <w:r>
        <w:rPr>
          <w:rFonts w:hint="eastAsia" w:ascii="宋体" w:hAnsi="宋体"/>
          <w:bCs/>
        </w:rPr>
        <w:t>当谈判应答文件出现资格</w:t>
      </w:r>
      <w:r>
        <w:rPr>
          <w:rFonts w:ascii="宋体" w:hAnsi="宋体"/>
          <w:bCs/>
        </w:rPr>
        <w:t>性审查不符合项</w:t>
      </w:r>
      <w:r>
        <w:rPr>
          <w:rFonts w:hint="eastAsia" w:ascii="宋体" w:hAnsi="宋体"/>
          <w:bCs/>
        </w:rPr>
        <w:t>时将视为无效，按废标处理，不得进入谈判，</w:t>
      </w:r>
      <w:r>
        <w:rPr>
          <w:rFonts w:hint="eastAsia" w:ascii="宋体" w:hAnsi="宋体"/>
          <w:b/>
        </w:rPr>
        <w:t>具体内容见原招标文件中投标文件初审表的《资格性检查表》部分以及谈判邀请中相应的变动部分。</w:t>
      </w:r>
    </w:p>
    <w:p>
      <w:pPr>
        <w:ind w:firstLine="413" w:firstLineChars="196"/>
        <w:rPr>
          <w:rFonts w:ascii="宋体" w:hAnsi="宋体"/>
          <w:b/>
          <w:szCs w:val="21"/>
        </w:rPr>
      </w:pPr>
      <w:r>
        <w:rPr>
          <w:rFonts w:hint="eastAsia" w:ascii="宋体" w:hAnsi="宋体"/>
          <w:b/>
          <w:szCs w:val="21"/>
        </w:rPr>
        <w:t>44.3谈判程序</w:t>
      </w:r>
    </w:p>
    <w:p>
      <w:pPr>
        <w:ind w:firstLine="411" w:firstLineChars="196"/>
        <w:rPr>
          <w:rFonts w:ascii="宋体" w:hAnsi="宋体"/>
          <w:szCs w:val="21"/>
        </w:rPr>
      </w:pPr>
      <w:r>
        <w:rPr>
          <w:rFonts w:hint="eastAsia" w:ascii="宋体" w:hAnsi="宋体"/>
          <w:szCs w:val="21"/>
        </w:rPr>
        <w:t>44.3.1参加谈判的供应商和谈判小组成员填写谈判登记表，并交验证明文件（法定代表人证明书、法人授权委托书、被授权的谈判代表身份证原件）。</w:t>
      </w:r>
    </w:p>
    <w:p>
      <w:pPr>
        <w:ind w:firstLine="411" w:firstLineChars="196"/>
        <w:rPr>
          <w:rFonts w:ascii="宋体" w:hAnsi="宋体"/>
          <w:szCs w:val="21"/>
        </w:rPr>
      </w:pPr>
      <w:r>
        <w:rPr>
          <w:rFonts w:hint="eastAsia" w:ascii="宋体" w:hAnsi="宋体"/>
          <w:szCs w:val="21"/>
        </w:rPr>
        <w:t>44.3</w:t>
      </w:r>
      <w:r>
        <w:rPr>
          <w:rFonts w:ascii="宋体" w:hAnsi="宋体"/>
          <w:szCs w:val="21"/>
        </w:rPr>
        <w:t>.2</w:t>
      </w:r>
      <w:r>
        <w:rPr>
          <w:rFonts w:hint="eastAsia" w:ascii="宋体" w:hAnsi="宋体"/>
          <w:szCs w:val="21"/>
        </w:rPr>
        <w:t>谈判小组主持人宣布谈判规则和谈判纪律。</w:t>
      </w:r>
    </w:p>
    <w:p>
      <w:pPr>
        <w:ind w:firstLine="411" w:firstLineChars="196"/>
        <w:rPr>
          <w:rFonts w:ascii="宋体" w:hAnsi="宋体"/>
          <w:szCs w:val="21"/>
        </w:rPr>
      </w:pPr>
      <w:r>
        <w:rPr>
          <w:rFonts w:hint="eastAsia" w:ascii="宋体" w:hAnsi="宋体"/>
          <w:szCs w:val="21"/>
        </w:rPr>
        <w:t>44.3</w:t>
      </w:r>
      <w:r>
        <w:rPr>
          <w:rFonts w:ascii="宋体" w:hAnsi="宋体"/>
          <w:szCs w:val="21"/>
        </w:rPr>
        <w:t>.3</w:t>
      </w:r>
      <w:r>
        <w:rPr>
          <w:rFonts w:hint="eastAsia" w:ascii="宋体" w:hAnsi="宋体"/>
          <w:szCs w:val="21"/>
        </w:rPr>
        <w:t>在谈判中，谈判小组将就以下谈判内容跟供应商进行谈判：</w:t>
      </w:r>
    </w:p>
    <w:p>
      <w:pPr>
        <w:ind w:firstLine="411" w:firstLineChars="196"/>
        <w:rPr>
          <w:rFonts w:ascii="宋体" w:hAnsi="宋体"/>
          <w:szCs w:val="21"/>
        </w:rPr>
      </w:pPr>
      <w:r>
        <w:rPr>
          <w:rFonts w:hint="eastAsia" w:ascii="宋体" w:hAnsi="宋体"/>
          <w:szCs w:val="21"/>
        </w:rPr>
        <w:t>（</w:t>
      </w:r>
      <w:r>
        <w:rPr>
          <w:rFonts w:ascii="宋体" w:hAnsi="宋体"/>
          <w:szCs w:val="21"/>
        </w:rPr>
        <w:t>1</w:t>
      </w:r>
      <w:r>
        <w:rPr>
          <w:rFonts w:hint="eastAsia" w:ascii="宋体" w:hAnsi="宋体"/>
          <w:szCs w:val="21"/>
        </w:rPr>
        <w:t>）项目方案；</w:t>
      </w:r>
    </w:p>
    <w:p>
      <w:pPr>
        <w:ind w:firstLine="411" w:firstLineChars="196"/>
        <w:rPr>
          <w:rFonts w:ascii="宋体" w:hAnsi="宋体"/>
          <w:szCs w:val="21"/>
        </w:rPr>
      </w:pPr>
      <w:r>
        <w:rPr>
          <w:rFonts w:hint="eastAsia" w:ascii="宋体" w:hAnsi="宋体"/>
          <w:szCs w:val="21"/>
        </w:rPr>
        <w:t>（2）报价；</w:t>
      </w:r>
    </w:p>
    <w:p>
      <w:pPr>
        <w:ind w:firstLine="411" w:firstLineChars="196"/>
        <w:rPr>
          <w:rFonts w:ascii="宋体" w:hAnsi="宋体"/>
          <w:szCs w:val="21"/>
        </w:rPr>
      </w:pPr>
      <w:r>
        <w:rPr>
          <w:rFonts w:hint="eastAsia" w:ascii="宋体" w:hAnsi="宋体"/>
          <w:szCs w:val="21"/>
        </w:rPr>
        <w:t>（3）其它相关事项。</w:t>
      </w:r>
    </w:p>
    <w:p>
      <w:pPr>
        <w:ind w:firstLine="411" w:firstLineChars="196"/>
        <w:rPr>
          <w:rFonts w:ascii="宋体" w:hAnsi="宋体"/>
          <w:szCs w:val="21"/>
        </w:rPr>
      </w:pPr>
      <w:r>
        <w:rPr>
          <w:rFonts w:hint="eastAsia" w:ascii="宋体" w:hAnsi="宋体"/>
          <w:szCs w:val="21"/>
        </w:rPr>
        <w:t>原招标文件或谈判邀请文件有实质性变动的，谈判小组应当通过采购机构通知供应商。</w:t>
      </w:r>
    </w:p>
    <w:p>
      <w:pPr>
        <w:ind w:firstLine="411" w:firstLineChars="196"/>
        <w:rPr>
          <w:rFonts w:ascii="宋体" w:hAnsi="宋体"/>
          <w:szCs w:val="21"/>
        </w:rPr>
      </w:pPr>
      <w:r>
        <w:rPr>
          <w:rFonts w:hint="eastAsia" w:ascii="宋体" w:hAnsi="宋体"/>
          <w:szCs w:val="21"/>
        </w:rPr>
        <w:t>44.3.4谈判小组可以用书面形式要求供应商对其谈判应答文件含义不明确的内容作必要的澄清或者说明，重要问题供应商应以书面形式进行澄清、说明。</w:t>
      </w:r>
    </w:p>
    <w:p>
      <w:pPr>
        <w:ind w:firstLine="411" w:firstLineChars="196"/>
        <w:rPr>
          <w:rFonts w:ascii="宋体" w:hAnsi="宋体"/>
          <w:szCs w:val="21"/>
        </w:rPr>
      </w:pPr>
      <w:r>
        <w:rPr>
          <w:rFonts w:hint="eastAsia" w:ascii="宋体" w:hAnsi="宋体"/>
          <w:szCs w:val="21"/>
        </w:rPr>
        <w:t>44.3</w:t>
      </w:r>
      <w:r>
        <w:rPr>
          <w:rFonts w:ascii="宋体" w:hAnsi="宋体"/>
          <w:szCs w:val="21"/>
        </w:rPr>
        <w:t>.</w:t>
      </w:r>
      <w:r>
        <w:rPr>
          <w:rFonts w:hint="eastAsia" w:ascii="宋体" w:hAnsi="宋体"/>
          <w:szCs w:val="21"/>
        </w:rPr>
        <w:t>5 允许供应商在谈判结束之前根据谈判小组提出的内容进行澄清、修改或完善，或对项目方案进行相应的调整。</w:t>
      </w:r>
    </w:p>
    <w:p>
      <w:pPr>
        <w:ind w:firstLine="411" w:firstLineChars="196"/>
        <w:rPr>
          <w:rFonts w:ascii="宋体" w:hAnsi="宋体"/>
          <w:szCs w:val="21"/>
        </w:rPr>
      </w:pPr>
      <w:r>
        <w:rPr>
          <w:rFonts w:hint="eastAsia" w:ascii="宋体" w:hAnsi="宋体"/>
          <w:szCs w:val="21"/>
        </w:rPr>
        <w:t>44.3</w:t>
      </w:r>
      <w:r>
        <w:rPr>
          <w:rFonts w:ascii="宋体" w:hAnsi="宋体"/>
          <w:szCs w:val="21"/>
        </w:rPr>
        <w:t>.</w:t>
      </w:r>
      <w:r>
        <w:rPr>
          <w:rFonts w:hint="eastAsia" w:ascii="宋体" w:hAnsi="宋体"/>
          <w:szCs w:val="21"/>
        </w:rPr>
        <w:t>6供应商对谈判应答文件进行修改，都应形成文字材料，并经供应商谈判授权人签字认可。</w:t>
      </w:r>
    </w:p>
    <w:p>
      <w:pPr>
        <w:ind w:firstLine="411" w:firstLineChars="196"/>
        <w:rPr>
          <w:rFonts w:ascii="宋体" w:hAnsi="宋体"/>
          <w:szCs w:val="21"/>
        </w:rPr>
      </w:pPr>
      <w:r>
        <w:rPr>
          <w:rFonts w:hint="eastAsia" w:ascii="宋体" w:hAnsi="宋体"/>
          <w:szCs w:val="21"/>
        </w:rPr>
        <w:t>44.3.7谈判小组与单一来源供应商进行谈判。供应商有两次更改机会；供应商应在规定的时间内提出最后更改及书面承诺。</w:t>
      </w:r>
    </w:p>
    <w:p>
      <w:pPr>
        <w:ind w:firstLine="411" w:firstLineChars="196"/>
        <w:rPr>
          <w:rFonts w:ascii="宋体" w:hAnsi="宋体"/>
          <w:szCs w:val="21"/>
        </w:rPr>
      </w:pPr>
      <w:r>
        <w:rPr>
          <w:rFonts w:hint="eastAsia" w:ascii="宋体" w:hAnsi="宋体"/>
          <w:szCs w:val="21"/>
        </w:rPr>
        <w:t>44.3.8</w:t>
      </w:r>
      <w:r>
        <w:rPr>
          <w:rFonts w:hint="eastAsia" w:ascii="宋体" w:hAnsi="宋体"/>
          <w:bCs/>
        </w:rPr>
        <w:t>当谈判应答文件出现符合</w:t>
      </w:r>
      <w:r>
        <w:rPr>
          <w:rFonts w:ascii="宋体" w:hAnsi="宋体"/>
          <w:bCs/>
        </w:rPr>
        <w:t>性审查不符合项</w:t>
      </w:r>
      <w:r>
        <w:rPr>
          <w:rFonts w:hint="eastAsia" w:ascii="宋体" w:hAnsi="宋体"/>
          <w:bCs/>
        </w:rPr>
        <w:t>时</w:t>
      </w:r>
      <w:r>
        <w:rPr>
          <w:rFonts w:hint="eastAsia" w:ascii="宋体" w:hAnsi="宋体"/>
          <w:szCs w:val="21"/>
        </w:rPr>
        <w:t>，供应商的谈判结果作废标处理，</w:t>
      </w:r>
      <w:r>
        <w:rPr>
          <w:rFonts w:hint="eastAsia" w:ascii="宋体" w:hAnsi="宋体"/>
          <w:b/>
          <w:szCs w:val="21"/>
        </w:rPr>
        <w:t>具体内容见原招标文件中投标文件初审表的《符合性检查表》部分以及谈判邀请中相应的变动部分。</w:t>
      </w:r>
    </w:p>
    <w:p>
      <w:pPr>
        <w:ind w:firstLine="411" w:firstLineChars="196"/>
        <w:rPr>
          <w:rFonts w:ascii="宋体" w:hAnsi="宋体"/>
          <w:szCs w:val="21"/>
        </w:rPr>
      </w:pPr>
      <w:r>
        <w:rPr>
          <w:rFonts w:hint="eastAsia" w:ascii="宋体" w:hAnsi="宋体"/>
          <w:szCs w:val="21"/>
        </w:rPr>
        <w:t>44.3</w:t>
      </w:r>
      <w:r>
        <w:rPr>
          <w:rFonts w:ascii="宋体" w:hAnsi="宋体"/>
          <w:szCs w:val="21"/>
        </w:rPr>
        <w:t>.</w:t>
      </w:r>
      <w:r>
        <w:rPr>
          <w:rFonts w:hint="eastAsia" w:ascii="宋体" w:hAnsi="宋体"/>
          <w:szCs w:val="21"/>
        </w:rPr>
        <w:t>9谈判结束后，谈判小组根据供应商提供的谈判应答文件、谈判过程中产生的相关资料，对供应商谈判应答文件进行评估与比较，提出书面评审意见。</w:t>
      </w:r>
    </w:p>
    <w:p>
      <w:pPr>
        <w:ind w:firstLine="411" w:firstLineChars="196"/>
        <w:rPr>
          <w:rFonts w:ascii="宋体" w:hAnsi="宋体"/>
          <w:szCs w:val="21"/>
        </w:rPr>
      </w:pPr>
      <w:r>
        <w:rPr>
          <w:rFonts w:hint="eastAsia" w:ascii="宋体" w:hAnsi="宋体"/>
          <w:szCs w:val="21"/>
        </w:rPr>
        <w:t>44.3.10谈判小组将对谈判过程进行记录，以存档备查。</w:t>
      </w:r>
    </w:p>
    <w:p>
      <w:pPr>
        <w:ind w:firstLine="413" w:firstLineChars="196"/>
        <w:rPr>
          <w:rFonts w:ascii="宋体" w:hAnsi="宋体"/>
          <w:b/>
          <w:szCs w:val="21"/>
        </w:rPr>
      </w:pPr>
      <w:r>
        <w:rPr>
          <w:rFonts w:hint="eastAsia" w:ascii="宋体" w:hAnsi="宋体"/>
          <w:b/>
          <w:szCs w:val="21"/>
        </w:rPr>
        <w:t>44.4评标方法和定标原则</w:t>
      </w:r>
    </w:p>
    <w:p>
      <w:pPr>
        <w:tabs>
          <w:tab w:val="left" w:pos="-1080"/>
        </w:tabs>
        <w:ind w:firstLine="420" w:firstLineChars="200"/>
        <w:rPr>
          <w:rFonts w:ascii="宋体" w:hAnsi="宋体"/>
        </w:rPr>
      </w:pPr>
      <w:r>
        <w:rPr>
          <w:rFonts w:hint="eastAsia" w:ascii="宋体" w:hAnsi="宋体"/>
          <w:szCs w:val="21"/>
        </w:rPr>
        <w:t>44.4.1</w:t>
      </w:r>
      <w:r>
        <w:rPr>
          <w:rFonts w:hint="eastAsia" w:ascii="宋体" w:hAnsi="宋体"/>
          <w:b/>
          <w:szCs w:val="21"/>
        </w:rPr>
        <w:t>单一来源谈判采用最低评标价法。</w:t>
      </w:r>
      <w:r>
        <w:rPr>
          <w:rFonts w:hint="eastAsia" w:ascii="宋体" w:hAnsi="宋体"/>
        </w:rPr>
        <w:t>原招标文件若采用</w:t>
      </w:r>
      <w:r>
        <w:rPr>
          <w:rFonts w:hint="eastAsia" w:ascii="宋体" w:hAnsi="宋体"/>
          <w:bCs/>
        </w:rPr>
        <w:t>最低评标价法以外的评标方法，转为单一来源谈判后，评标方法改为</w:t>
      </w:r>
      <w:r>
        <w:rPr>
          <w:rFonts w:hint="eastAsia" w:ascii="宋体" w:hAnsi="宋体"/>
          <w:szCs w:val="21"/>
        </w:rPr>
        <w:t>最低评标价法。谈判小组</w:t>
      </w:r>
      <w:r>
        <w:rPr>
          <w:rFonts w:hint="eastAsia" w:ascii="宋体" w:hAnsi="宋体"/>
        </w:rPr>
        <w:t>对谈判应答文件进行评审和比较，对供应商最终的方案、服务和投资等谈判结果按本通用条款第37.1.1的</w:t>
      </w:r>
      <w:r>
        <w:rPr>
          <w:rFonts w:hint="eastAsia" w:ascii="宋体" w:hAnsi="宋体"/>
          <w:b/>
          <w:bCs/>
        </w:rPr>
        <w:t>最低评标价法</w:t>
      </w:r>
      <w:r>
        <w:rPr>
          <w:rFonts w:hint="eastAsia" w:ascii="宋体" w:hAnsi="宋体"/>
        </w:rPr>
        <w:t>进行评审。</w:t>
      </w:r>
    </w:p>
    <w:p>
      <w:pPr>
        <w:tabs>
          <w:tab w:val="left" w:pos="-1080"/>
        </w:tabs>
        <w:ind w:firstLine="420" w:firstLineChars="200"/>
        <w:rPr>
          <w:rFonts w:ascii="宋体" w:hAnsi="宋体"/>
          <w:szCs w:val="21"/>
        </w:rPr>
      </w:pPr>
      <w:r>
        <w:rPr>
          <w:rFonts w:hint="eastAsia" w:ascii="宋体" w:hAnsi="宋体"/>
        </w:rPr>
        <w:t>44.4.2谈判小组向采购机构提交书面评标报告，并推荐中标候选人或确定中标供应商。</w:t>
      </w:r>
    </w:p>
    <w:bookmarkEnd w:id="251"/>
    <w:bookmarkEnd w:id="252"/>
    <w:bookmarkEnd w:id="253"/>
    <w:bookmarkEnd w:id="254"/>
    <w:p>
      <w:pPr>
        <w:keepNext/>
        <w:keepLines/>
        <w:numPr>
          <w:ilvl w:val="0"/>
          <w:numId w:val="5"/>
        </w:numPr>
        <w:adjustRightInd w:val="0"/>
        <w:spacing w:before="120" w:beforeLines="50" w:after="120" w:afterLines="50"/>
        <w:jc w:val="center"/>
        <w:textAlignment w:val="baseline"/>
        <w:outlineLvl w:val="1"/>
        <w:rPr>
          <w:rFonts w:ascii="Arial" w:hAnsi="Arial" w:eastAsia="黑体"/>
          <w:b/>
          <w:bCs/>
          <w:sz w:val="28"/>
          <w:szCs w:val="28"/>
        </w:rPr>
      </w:pPr>
      <w:r>
        <w:rPr>
          <w:rFonts w:hint="eastAsia" w:ascii="Arial" w:hAnsi="Arial" w:eastAsia="黑体"/>
          <w:b/>
          <w:bCs/>
          <w:sz w:val="32"/>
          <w:szCs w:val="32"/>
        </w:rPr>
        <w:t>合同的授予与备案</w:t>
      </w:r>
    </w:p>
    <w:p>
      <w:pPr>
        <w:spacing w:line="360" w:lineRule="auto"/>
        <w:rPr>
          <w:rFonts w:ascii="黑体" w:hAnsi="宋体" w:eastAsia="黑体"/>
          <w:sz w:val="24"/>
        </w:rPr>
      </w:pPr>
      <w:bookmarkStart w:id="255" w:name="_33._合同授予标准"/>
      <w:bookmarkEnd w:id="255"/>
      <w:bookmarkStart w:id="256" w:name="_Toc73521586"/>
      <w:bookmarkStart w:id="257" w:name="_Toc73521674"/>
      <w:bookmarkStart w:id="258" w:name="_Toc73517679"/>
      <w:bookmarkStart w:id="259" w:name="_Toc73518157"/>
      <w:bookmarkStart w:id="260" w:name="_Toc100052408"/>
      <w:r>
        <w:rPr>
          <w:rFonts w:hint="eastAsia" w:ascii="黑体" w:hAnsi="宋体" w:eastAsia="黑体"/>
          <w:sz w:val="24"/>
        </w:rPr>
        <w:t>45．合同授予标准</w:t>
      </w:r>
      <w:bookmarkEnd w:id="256"/>
      <w:bookmarkEnd w:id="257"/>
      <w:bookmarkEnd w:id="258"/>
      <w:bookmarkEnd w:id="259"/>
      <w:bookmarkEnd w:id="260"/>
    </w:p>
    <w:p>
      <w:pPr>
        <w:ind w:firstLine="411" w:firstLineChars="196"/>
        <w:rPr>
          <w:rFonts w:ascii="宋体" w:hAnsi="宋体"/>
          <w:szCs w:val="21"/>
        </w:rPr>
      </w:pPr>
      <w:r>
        <w:rPr>
          <w:rFonts w:hint="eastAsia" w:ascii="宋体" w:hAnsi="宋体"/>
          <w:szCs w:val="21"/>
        </w:rPr>
        <w:t>本项目的合同将授予按本招标文件规定评审确定的中标人。</w:t>
      </w:r>
    </w:p>
    <w:p>
      <w:pPr>
        <w:spacing w:line="360" w:lineRule="auto"/>
        <w:rPr>
          <w:rFonts w:ascii="黑体" w:hAnsi="宋体" w:eastAsia="黑体"/>
          <w:sz w:val="24"/>
        </w:rPr>
      </w:pPr>
      <w:bookmarkStart w:id="261" w:name="_Toc73521587"/>
      <w:bookmarkStart w:id="262" w:name="_Toc100052409"/>
      <w:bookmarkStart w:id="263" w:name="_Toc73517680"/>
      <w:bookmarkStart w:id="264" w:name="_Toc73518158"/>
      <w:bookmarkStart w:id="265" w:name="_Toc73521675"/>
      <w:r>
        <w:rPr>
          <w:rFonts w:hint="eastAsia" w:ascii="黑体" w:hAnsi="宋体" w:eastAsia="黑体"/>
          <w:sz w:val="24"/>
        </w:rPr>
        <w:t>46．</w:t>
      </w:r>
      <w:bookmarkEnd w:id="261"/>
      <w:bookmarkEnd w:id="262"/>
      <w:bookmarkEnd w:id="263"/>
      <w:bookmarkEnd w:id="264"/>
      <w:bookmarkEnd w:id="265"/>
      <w:r>
        <w:rPr>
          <w:rFonts w:hint="eastAsia" w:ascii="黑体" w:hAnsi="宋体" w:eastAsia="黑体"/>
          <w:sz w:val="24"/>
        </w:rPr>
        <w:t>接受和拒绝任何或所有投标的权力</w:t>
      </w:r>
    </w:p>
    <w:p>
      <w:pPr>
        <w:ind w:firstLine="411" w:firstLineChars="196"/>
        <w:rPr>
          <w:rFonts w:ascii="宋体" w:hAnsi="宋体"/>
          <w:szCs w:val="21"/>
        </w:rPr>
      </w:pPr>
      <w:r>
        <w:rPr>
          <w:rFonts w:hint="eastAsia" w:ascii="宋体" w:hAnsi="宋体"/>
          <w:szCs w:val="21"/>
        </w:rPr>
        <w:t>深圳市深大体育文化发展有限公司和采购单位保留在投标之前任何时候接受或拒绝任何投标或所有投标，以及宣布招标无效的权力，对受影响的投标人不承担任何责任，也无义务向受影响的投标人解释采取这一行动的理由。</w:t>
      </w:r>
    </w:p>
    <w:p>
      <w:pPr>
        <w:spacing w:line="360" w:lineRule="auto"/>
        <w:rPr>
          <w:rFonts w:ascii="黑体" w:hAnsi="宋体" w:eastAsia="黑体"/>
          <w:sz w:val="24"/>
        </w:rPr>
      </w:pPr>
      <w:bookmarkStart w:id="266" w:name="_Toc73517682"/>
      <w:bookmarkStart w:id="267" w:name="_Toc73518160"/>
      <w:bookmarkStart w:id="268" w:name="_Toc100052410"/>
      <w:bookmarkStart w:id="269" w:name="_Toc73521589"/>
      <w:bookmarkStart w:id="270" w:name="_Toc73521677"/>
      <w:r>
        <w:rPr>
          <w:rFonts w:hint="eastAsia" w:ascii="黑体" w:hAnsi="宋体" w:eastAsia="黑体"/>
          <w:sz w:val="24"/>
        </w:rPr>
        <w:t>47．合同协议书的签订</w:t>
      </w:r>
      <w:bookmarkEnd w:id="266"/>
      <w:bookmarkEnd w:id="267"/>
      <w:bookmarkEnd w:id="268"/>
      <w:bookmarkEnd w:id="269"/>
      <w:bookmarkEnd w:id="270"/>
    </w:p>
    <w:p>
      <w:pPr>
        <w:ind w:firstLine="411" w:firstLineChars="196"/>
        <w:rPr>
          <w:rFonts w:ascii="宋体" w:hAnsi="宋体"/>
          <w:szCs w:val="21"/>
        </w:rPr>
      </w:pPr>
      <w:r>
        <w:rPr>
          <w:rFonts w:hint="eastAsia" w:ascii="宋体" w:hAnsi="宋体"/>
          <w:szCs w:val="21"/>
        </w:rPr>
        <w:t>47.1中标人将于中标通知书发出之日起1</w:t>
      </w:r>
      <w:r>
        <w:rPr>
          <w:rFonts w:ascii="宋体" w:hAnsi="宋体"/>
          <w:szCs w:val="21"/>
        </w:rPr>
        <w:t>0个工作日</w:t>
      </w:r>
      <w:r>
        <w:rPr>
          <w:rFonts w:hint="eastAsia" w:ascii="宋体" w:hAnsi="宋体"/>
          <w:szCs w:val="21"/>
        </w:rPr>
        <w:t>内，按照招标文件和投标文件内容与采购单位签订书面合同，合同书应采用本招标文件规定的合同样本；</w:t>
      </w:r>
    </w:p>
    <w:p>
      <w:pPr>
        <w:spacing w:line="0" w:lineRule="atLeast"/>
        <w:ind w:firstLine="411" w:firstLineChars="196"/>
        <w:rPr>
          <w:rFonts w:ascii="宋体" w:hAnsi="宋体"/>
          <w:szCs w:val="21"/>
        </w:rPr>
      </w:pPr>
      <w:r>
        <w:rPr>
          <w:rFonts w:hint="eastAsia" w:ascii="宋体" w:hAnsi="宋体"/>
          <w:szCs w:val="21"/>
        </w:rPr>
        <w:t>47.2中标人如不按本通用条款第47</w:t>
      </w:r>
      <w:r>
        <w:rPr>
          <w:rFonts w:ascii="宋体" w:hAnsi="宋体"/>
          <w:szCs w:val="21"/>
        </w:rPr>
        <w:t>.1</w:t>
      </w:r>
      <w:r>
        <w:rPr>
          <w:rFonts w:hint="eastAsia" w:ascii="宋体" w:hAnsi="宋体"/>
          <w:szCs w:val="21"/>
        </w:rPr>
        <w:t>款的规定与采购单位签订合同，则采购机构将有充分的理由废除中标，并没收其投标保证金，给采购机构造成的损失超过投标担保数额的，还应当对超过部分予以赔偿，同时承担相应法律责任；</w:t>
      </w:r>
    </w:p>
    <w:p>
      <w:pPr>
        <w:spacing w:line="0" w:lineRule="atLeast"/>
        <w:ind w:firstLine="411" w:firstLineChars="196"/>
        <w:rPr>
          <w:rFonts w:ascii="宋体" w:hAnsi="宋体"/>
          <w:szCs w:val="21"/>
        </w:rPr>
      </w:pPr>
      <w:r>
        <w:rPr>
          <w:rFonts w:hint="eastAsia" w:ascii="宋体" w:hAnsi="宋体"/>
          <w:szCs w:val="21"/>
        </w:rPr>
        <w:t>47.3中标人应当按照合同约定履行义务，完成中标项目，不得将中标项目转让（转包）给他人；</w:t>
      </w:r>
    </w:p>
    <w:p>
      <w:pPr>
        <w:spacing w:line="0" w:lineRule="atLeast"/>
        <w:ind w:firstLine="411" w:firstLineChars="196"/>
        <w:rPr>
          <w:rFonts w:ascii="宋体" w:hAnsi="宋体"/>
          <w:szCs w:val="21"/>
        </w:rPr>
      </w:pPr>
      <w:r>
        <w:rPr>
          <w:rFonts w:hint="eastAsia" w:ascii="宋体" w:hAnsi="宋体"/>
          <w:szCs w:val="21"/>
        </w:rPr>
        <w:t>47.4采购人与中标人签订的合同必须遵守本招标文件的合同条件，并且不得更改合同条件。</w:t>
      </w:r>
    </w:p>
    <w:p>
      <w:pPr>
        <w:spacing w:line="360" w:lineRule="auto"/>
        <w:rPr>
          <w:rFonts w:ascii="黑体" w:hAnsi="宋体" w:eastAsia="黑体"/>
          <w:sz w:val="24"/>
        </w:rPr>
      </w:pPr>
      <w:bookmarkStart w:id="271" w:name="_Toc73517683"/>
      <w:bookmarkStart w:id="272" w:name="_Toc73521678"/>
      <w:bookmarkStart w:id="273" w:name="_Toc73521590"/>
      <w:bookmarkStart w:id="274" w:name="_Toc73518161"/>
      <w:bookmarkStart w:id="275" w:name="_Toc100052411"/>
      <w:r>
        <w:rPr>
          <w:rFonts w:hint="eastAsia" w:ascii="黑体" w:hAnsi="宋体" w:eastAsia="黑体"/>
          <w:sz w:val="24"/>
        </w:rPr>
        <w:t>48．履约担保</w:t>
      </w:r>
      <w:bookmarkEnd w:id="271"/>
      <w:bookmarkEnd w:id="272"/>
      <w:bookmarkEnd w:id="273"/>
      <w:bookmarkEnd w:id="274"/>
      <w:bookmarkEnd w:id="275"/>
    </w:p>
    <w:p>
      <w:pPr>
        <w:spacing w:line="0" w:lineRule="atLeast"/>
        <w:ind w:firstLine="411" w:firstLineChars="196"/>
        <w:rPr>
          <w:rFonts w:ascii="宋体" w:hAnsi="宋体"/>
          <w:szCs w:val="21"/>
        </w:rPr>
      </w:pPr>
      <w:r>
        <w:rPr>
          <w:rFonts w:hint="eastAsia" w:ascii="宋体" w:hAnsi="宋体"/>
          <w:szCs w:val="21"/>
        </w:rPr>
        <w:t>48.1在签订项目合同的同时，中标人应按“对通用条款的补充内容”中规定的金额向采购单位提交履约保证金；</w:t>
      </w:r>
    </w:p>
    <w:p>
      <w:pPr>
        <w:spacing w:line="0" w:lineRule="atLeast"/>
        <w:ind w:firstLine="411" w:firstLineChars="196"/>
        <w:rPr>
          <w:rFonts w:ascii="宋体" w:hAnsi="宋体"/>
          <w:szCs w:val="21"/>
        </w:rPr>
      </w:pPr>
      <w:r>
        <w:rPr>
          <w:rFonts w:hint="eastAsia" w:ascii="宋体" w:hAnsi="宋体"/>
          <w:szCs w:val="21"/>
        </w:rPr>
        <w:t>48.2如果中标人不能按本通用条款第48</w:t>
      </w:r>
      <w:r>
        <w:rPr>
          <w:rFonts w:ascii="宋体" w:hAnsi="宋体"/>
          <w:szCs w:val="21"/>
        </w:rPr>
        <w:t>.1</w:t>
      </w:r>
      <w:r>
        <w:rPr>
          <w:rFonts w:hint="eastAsia" w:ascii="宋体" w:hAnsi="宋体"/>
          <w:szCs w:val="21"/>
        </w:rPr>
        <w:t>款的规</w:t>
      </w:r>
      <w:r>
        <w:rPr>
          <w:rFonts w:hint="eastAsia"/>
        </w:rPr>
        <w:t>定执行，采购单位将有充分的理由通过</w:t>
      </w:r>
      <w:r>
        <w:rPr>
          <w:rFonts w:hint="eastAsia"/>
          <w:lang w:eastAsia="zh-CN"/>
        </w:rPr>
        <w:t>公司</w:t>
      </w:r>
      <w:r>
        <w:rPr>
          <w:rFonts w:hint="eastAsia"/>
        </w:rPr>
        <w:t>采购监督管理部门废除中标，并没收投标保证金，给采购单位造成</w:t>
      </w:r>
      <w:r>
        <w:rPr>
          <w:rFonts w:hint="eastAsia" w:ascii="宋体" w:hAnsi="宋体"/>
          <w:szCs w:val="21"/>
        </w:rPr>
        <w:t>的损失超过投标保证金数额的，还应当对超过部分予以赔偿；</w:t>
      </w:r>
    </w:p>
    <w:p>
      <w:pPr>
        <w:spacing w:line="0" w:lineRule="atLeast"/>
        <w:ind w:firstLine="411" w:firstLineChars="196"/>
        <w:rPr>
          <w:rFonts w:ascii="宋体" w:hAnsi="宋体"/>
          <w:szCs w:val="21"/>
        </w:rPr>
      </w:pPr>
      <w:r>
        <w:rPr>
          <w:rFonts w:hint="eastAsia" w:ascii="宋体" w:hAnsi="宋体"/>
          <w:szCs w:val="21"/>
        </w:rPr>
        <w:t>48</w:t>
      </w:r>
      <w:r>
        <w:rPr>
          <w:rFonts w:ascii="宋体" w:hAnsi="宋体"/>
          <w:szCs w:val="21"/>
        </w:rPr>
        <w:t>.</w:t>
      </w:r>
      <w:r>
        <w:rPr>
          <w:rFonts w:hint="eastAsia" w:ascii="宋体" w:hAnsi="宋体"/>
          <w:szCs w:val="21"/>
        </w:rPr>
        <w:t>3项目服务期满之后,经验收合格后，采购单位在七日内办理解除履约担保手续。</w:t>
      </w:r>
    </w:p>
    <w:p>
      <w:pPr>
        <w:spacing w:line="360" w:lineRule="auto"/>
        <w:rPr>
          <w:rFonts w:ascii="黑体" w:hAnsi="宋体" w:eastAsia="黑体"/>
          <w:sz w:val="24"/>
        </w:rPr>
      </w:pPr>
      <w:r>
        <w:rPr>
          <w:rFonts w:hint="eastAsia" w:ascii="黑体" w:hAnsi="宋体" w:eastAsia="黑体"/>
          <w:sz w:val="24"/>
        </w:rPr>
        <w:t>49.合同的备案</w:t>
      </w:r>
    </w:p>
    <w:p>
      <w:pPr>
        <w:spacing w:line="0" w:lineRule="atLeast"/>
        <w:ind w:firstLine="411" w:firstLineChars="196"/>
        <w:rPr>
          <w:rFonts w:ascii="宋体" w:hAnsi="宋体"/>
          <w:szCs w:val="21"/>
        </w:rPr>
      </w:pPr>
      <w:r>
        <w:rPr>
          <w:rFonts w:hint="eastAsia" w:ascii="宋体" w:hAnsi="宋体"/>
          <w:szCs w:val="21"/>
        </w:rPr>
        <w:t>采购人与中标人应于合同签订之日起10日内，由采购人或委托中标人将采购合同副本抄送采购机构备案。</w:t>
      </w:r>
    </w:p>
    <w:p>
      <w:pPr>
        <w:spacing w:line="360" w:lineRule="auto"/>
        <w:rPr>
          <w:rFonts w:ascii="黑体" w:hAnsi="宋体" w:eastAsia="黑体"/>
          <w:sz w:val="24"/>
        </w:rPr>
      </w:pPr>
      <w:r>
        <w:rPr>
          <w:rFonts w:hint="eastAsia" w:ascii="黑体" w:hAnsi="宋体" w:eastAsia="黑体"/>
          <w:sz w:val="24"/>
        </w:rPr>
        <w:t>50.履约情况的反馈</w:t>
      </w:r>
    </w:p>
    <w:p>
      <w:pPr>
        <w:spacing w:line="0" w:lineRule="atLeast"/>
        <w:ind w:firstLine="411" w:firstLineChars="196"/>
        <w:rPr>
          <w:rFonts w:ascii="宋体" w:hAnsi="宋体"/>
          <w:szCs w:val="21"/>
        </w:rPr>
      </w:pPr>
      <w:r>
        <w:rPr>
          <w:rFonts w:hint="eastAsia" w:ascii="宋体" w:hAnsi="宋体"/>
          <w:szCs w:val="21"/>
        </w:rPr>
        <w:t>采购人应及时向采购机构反馈中标人的履约情况（填写《深圳市深大体育文化发展有限公司</w:t>
      </w:r>
      <w:r>
        <w:rPr>
          <w:rFonts w:hint="eastAsia"/>
        </w:rPr>
        <w:t>采购履约情况反馈表》</w:t>
      </w:r>
      <w:r>
        <w:rPr>
          <w:rFonts w:hint="eastAsia" w:ascii="宋体" w:hAnsi="宋体"/>
          <w:szCs w:val="21"/>
        </w:rPr>
        <w:t>），中标人的履约情况将作为供应商考核的重要依据，并将成为日后深圳市深大体育文化发展有限公司采购活动中的项目评标依据。</w:t>
      </w:r>
    </w:p>
    <w:p>
      <w:pPr>
        <w:spacing w:line="360" w:lineRule="auto"/>
        <w:rPr>
          <w:rFonts w:ascii="黑体" w:hAnsi="宋体" w:eastAsia="黑体"/>
          <w:sz w:val="24"/>
        </w:rPr>
      </w:pPr>
      <w:r>
        <w:rPr>
          <w:rFonts w:hint="eastAsia" w:ascii="黑体" w:hAnsi="宋体" w:eastAsia="黑体"/>
          <w:sz w:val="24"/>
        </w:rPr>
        <w:t>51．腐败和欺诈行为</w:t>
      </w:r>
    </w:p>
    <w:p>
      <w:pPr>
        <w:spacing w:line="0" w:lineRule="atLeast"/>
        <w:ind w:firstLine="411" w:firstLineChars="196"/>
        <w:rPr>
          <w:rFonts w:ascii="宋体" w:hAnsi="宋体"/>
          <w:szCs w:val="21"/>
        </w:rPr>
      </w:pPr>
      <w:r>
        <w:rPr>
          <w:rFonts w:hint="eastAsia" w:ascii="宋体" w:hAnsi="宋体"/>
          <w:szCs w:val="21"/>
        </w:rPr>
        <w:t>51.1 “腐败行为”是指提供、给予、接受或索取任何有价值的东西来影响招标方或采购人在采购过程或合同实施过程中的行为；</w:t>
      </w:r>
    </w:p>
    <w:p>
      <w:pPr>
        <w:spacing w:line="0" w:lineRule="atLeast"/>
        <w:ind w:firstLine="411" w:firstLineChars="196"/>
        <w:rPr>
          <w:rFonts w:ascii="宋体" w:hAnsi="宋体"/>
          <w:szCs w:val="21"/>
        </w:rPr>
      </w:pPr>
      <w:r>
        <w:rPr>
          <w:rFonts w:ascii="宋体" w:hAnsi="宋体"/>
          <w:szCs w:val="21"/>
        </w:rPr>
        <w:t xml:space="preserve">51.2 </w:t>
      </w:r>
      <w:r>
        <w:rPr>
          <w:rFonts w:hint="eastAsia" w:ascii="宋体" w:hAnsi="宋体"/>
          <w:szCs w:val="21"/>
        </w:rPr>
        <w:t>“欺诈行为”是指为了影响采购过程或合同实施过程而谎报事实，损害招标方或采购人的利益，包括投标人之间串通投标（递交投标书之前和之后），人为地使投标丧失竞争性，剥夺招标方或采购人从自由公开竞争所能获得的权益。</w:t>
      </w:r>
    </w:p>
    <w:p>
      <w:pPr>
        <w:spacing w:line="0" w:lineRule="atLeast"/>
        <w:ind w:firstLine="411" w:firstLineChars="196"/>
        <w:rPr>
          <w:rFonts w:ascii="宋体" w:hAnsi="宋体"/>
          <w:szCs w:val="21"/>
        </w:rPr>
      </w:pPr>
      <w:r>
        <w:rPr>
          <w:rFonts w:ascii="宋体" w:hAnsi="宋体"/>
          <w:szCs w:val="21"/>
        </w:rPr>
        <w:t>51.3</w:t>
      </w:r>
      <w:r>
        <w:rPr>
          <w:rFonts w:hint="eastAsia" w:ascii="宋体" w:hAnsi="宋体"/>
          <w:szCs w:val="21"/>
        </w:rPr>
        <w:t>如果评标委员会认为投标人在本合同的竞争中有腐败和欺诈行为，则拒绝接受该投标。</w:t>
      </w:r>
    </w:p>
    <w:p>
      <w:pPr>
        <w:spacing w:line="0" w:lineRule="atLeast"/>
        <w:ind w:firstLine="411" w:firstLineChars="196"/>
        <w:rPr>
          <w:rFonts w:ascii="宋体" w:hAnsi="宋体"/>
          <w:szCs w:val="21"/>
        </w:rPr>
      </w:pPr>
      <w:r>
        <w:rPr>
          <w:rFonts w:ascii="宋体" w:hAnsi="宋体"/>
          <w:szCs w:val="21"/>
        </w:rPr>
        <w:t>51.4</w:t>
      </w:r>
      <w:r>
        <w:rPr>
          <w:rFonts w:hint="eastAsia" w:ascii="宋体" w:hAnsi="宋体"/>
          <w:szCs w:val="21"/>
        </w:rPr>
        <w:t>如果投标人或中标人在采购合同的竞争和实施过程中有腐败和欺诈行为，深圳市深大体育文化发展有限公司将依据《中华人民共和国合同法》、《深圳经济特区政府采购条例》有关法律法规追究</w:t>
      </w:r>
      <w:r>
        <w:rPr>
          <w:rFonts w:ascii="宋体" w:hAnsi="宋体"/>
          <w:szCs w:val="21"/>
        </w:rPr>
        <w:t>其责任</w:t>
      </w:r>
      <w:r>
        <w:rPr>
          <w:rFonts w:hint="eastAsia" w:ascii="宋体" w:hAnsi="宋体"/>
          <w:szCs w:val="21"/>
        </w:rPr>
        <w:t>。</w:t>
      </w:r>
    </w:p>
    <w:p>
      <w:pPr>
        <w:keepNext/>
        <w:keepLines/>
        <w:numPr>
          <w:ilvl w:val="0"/>
          <w:numId w:val="5"/>
        </w:numPr>
        <w:adjustRightInd w:val="0"/>
        <w:spacing w:before="120" w:beforeLines="50" w:after="120" w:afterLines="50"/>
        <w:jc w:val="center"/>
        <w:textAlignment w:val="baseline"/>
        <w:outlineLvl w:val="1"/>
        <w:rPr>
          <w:rFonts w:ascii="Arial" w:hAnsi="Arial" w:eastAsia="黑体"/>
          <w:b/>
          <w:bCs/>
          <w:sz w:val="32"/>
          <w:szCs w:val="32"/>
        </w:rPr>
      </w:pPr>
      <w:r>
        <w:rPr>
          <w:rFonts w:hint="eastAsia" w:ascii="Arial" w:hAnsi="Arial" w:eastAsia="黑体"/>
          <w:b/>
          <w:bCs/>
          <w:sz w:val="32"/>
          <w:szCs w:val="32"/>
        </w:rPr>
        <w:t>质疑处理</w:t>
      </w:r>
    </w:p>
    <w:p>
      <w:pPr>
        <w:spacing w:line="360" w:lineRule="auto"/>
        <w:rPr>
          <w:rFonts w:ascii="黑体" w:hAnsi="宋体" w:eastAsia="黑体"/>
          <w:sz w:val="24"/>
        </w:rPr>
      </w:pPr>
      <w:r>
        <w:rPr>
          <w:rFonts w:hint="eastAsia" w:ascii="黑体" w:hAnsi="宋体" w:eastAsia="黑体"/>
          <w:sz w:val="24"/>
        </w:rPr>
        <w:t>53.质疑受理机构</w:t>
      </w:r>
    </w:p>
    <w:p>
      <w:pPr>
        <w:ind w:firstLine="411" w:firstLineChars="196"/>
        <w:rPr>
          <w:rFonts w:ascii="宋体" w:hAnsi="宋体"/>
          <w:szCs w:val="21"/>
        </w:rPr>
      </w:pPr>
      <w:r>
        <w:rPr>
          <w:rFonts w:hint="eastAsia" w:ascii="宋体" w:hAnsi="宋体"/>
          <w:szCs w:val="21"/>
        </w:rPr>
        <w:t>深圳市深大体育文化发展有限公司</w:t>
      </w:r>
      <w:r>
        <w:rPr>
          <w:rFonts w:ascii="宋体" w:hAnsi="宋体"/>
          <w:szCs w:val="21"/>
        </w:rPr>
        <w:t>负责受理和答复质疑。</w:t>
      </w:r>
    </w:p>
    <w:p>
      <w:pPr>
        <w:spacing w:line="360" w:lineRule="auto"/>
        <w:rPr>
          <w:rFonts w:ascii="黑体" w:hAnsi="宋体" w:eastAsia="黑体"/>
          <w:sz w:val="24"/>
        </w:rPr>
      </w:pPr>
      <w:r>
        <w:rPr>
          <w:rFonts w:hint="eastAsia" w:ascii="黑体" w:hAnsi="宋体" w:eastAsia="黑体"/>
          <w:sz w:val="24"/>
        </w:rPr>
        <w:t>54.质疑处理原则</w:t>
      </w:r>
    </w:p>
    <w:p>
      <w:pPr>
        <w:ind w:firstLine="411" w:firstLineChars="196"/>
        <w:rPr>
          <w:rFonts w:ascii="宋体" w:hAnsi="宋体"/>
          <w:szCs w:val="21"/>
        </w:rPr>
      </w:pPr>
      <w:r>
        <w:rPr>
          <w:rFonts w:hint="eastAsia" w:ascii="宋体" w:hAnsi="宋体"/>
          <w:szCs w:val="21"/>
        </w:rPr>
        <w:t>54.1</w:t>
      </w:r>
      <w:r>
        <w:rPr>
          <w:rFonts w:ascii="宋体" w:hAnsi="宋体"/>
          <w:szCs w:val="21"/>
        </w:rPr>
        <w:t>质疑处理遵循公平、公正、规范、高效的原则。</w:t>
      </w:r>
    </w:p>
    <w:p>
      <w:pPr>
        <w:ind w:firstLine="411" w:firstLineChars="196"/>
        <w:rPr>
          <w:rFonts w:ascii="宋体" w:hAnsi="宋体"/>
          <w:szCs w:val="21"/>
        </w:rPr>
      </w:pPr>
      <w:r>
        <w:rPr>
          <w:rFonts w:hint="eastAsia" w:ascii="宋体" w:hAnsi="宋体"/>
          <w:szCs w:val="21"/>
        </w:rPr>
        <w:t>54.2</w:t>
      </w:r>
      <w:r>
        <w:rPr>
          <w:rFonts w:ascii="宋体" w:hAnsi="宋体"/>
          <w:szCs w:val="21"/>
        </w:rPr>
        <w:t>供应商质疑实行实名制和“谁质疑，谁举证”的原则，质疑应有具体的事项及事实根据。</w:t>
      </w:r>
    </w:p>
    <w:p>
      <w:pPr>
        <w:spacing w:line="360" w:lineRule="auto"/>
        <w:rPr>
          <w:rFonts w:ascii="黑体" w:hAnsi="宋体" w:eastAsia="黑体"/>
          <w:sz w:val="24"/>
        </w:rPr>
      </w:pPr>
      <w:r>
        <w:rPr>
          <w:rFonts w:hint="eastAsia" w:ascii="黑体" w:hAnsi="宋体" w:eastAsia="黑体"/>
          <w:sz w:val="24"/>
        </w:rPr>
        <w:t>55.质疑受理的时效和范围</w:t>
      </w:r>
    </w:p>
    <w:p>
      <w:pPr>
        <w:ind w:firstLine="411" w:firstLineChars="196"/>
        <w:rPr>
          <w:rFonts w:ascii="宋体" w:hAnsi="宋体"/>
          <w:szCs w:val="21"/>
        </w:rPr>
      </w:pPr>
      <w:r>
        <w:rPr>
          <w:rFonts w:hint="eastAsia" w:ascii="宋体" w:hAnsi="宋体"/>
          <w:szCs w:val="21"/>
        </w:rPr>
        <w:t>55.1供应商认为采购文件、采购过程和中标、成交结果使自己权益受到损害的，应当自知道或者应知其权益受到损害之日起五个工作日内，以书面形式向深圳市深大体育文化发展有限公司提出质疑。</w:t>
      </w:r>
    </w:p>
    <w:p>
      <w:pPr>
        <w:ind w:firstLine="411" w:firstLineChars="196"/>
        <w:rPr>
          <w:rFonts w:ascii="宋体" w:hAnsi="宋体"/>
          <w:szCs w:val="21"/>
        </w:rPr>
      </w:pPr>
      <w:r>
        <w:rPr>
          <w:rFonts w:hint="eastAsia" w:ascii="宋体" w:hAnsi="宋体"/>
          <w:szCs w:val="21"/>
        </w:rPr>
        <w:t>55.2供应商对采购文件有疑问的，深圳市深大体育文化发展有限公司按答疑程序处理；供应商对采购文件有异议的，按质疑程序处理。</w:t>
      </w:r>
    </w:p>
    <w:p>
      <w:pPr>
        <w:ind w:firstLine="411" w:firstLineChars="196"/>
        <w:rPr>
          <w:rFonts w:ascii="宋体" w:hAnsi="宋体"/>
          <w:szCs w:val="21"/>
        </w:rPr>
      </w:pPr>
      <w:r>
        <w:rPr>
          <w:rFonts w:hint="eastAsia" w:ascii="宋体" w:hAnsi="宋体"/>
          <w:szCs w:val="21"/>
        </w:rPr>
        <w:t>5</w:t>
      </w:r>
      <w:r>
        <w:rPr>
          <w:rFonts w:ascii="宋体" w:hAnsi="宋体"/>
          <w:szCs w:val="21"/>
        </w:rPr>
        <w:t>5.3</w:t>
      </w:r>
      <w:r>
        <w:rPr>
          <w:rFonts w:hint="eastAsia" w:ascii="宋体" w:hAnsi="宋体"/>
          <w:szCs w:val="21"/>
        </w:rPr>
        <w:t>供应商有质疑的</w:t>
      </w:r>
      <w:r>
        <w:rPr>
          <w:rFonts w:ascii="宋体" w:hAnsi="宋体"/>
          <w:szCs w:val="21"/>
        </w:rPr>
        <w:t>，必须</w:t>
      </w:r>
      <w:r>
        <w:rPr>
          <w:rFonts w:hint="eastAsia" w:ascii="宋体" w:hAnsi="宋体"/>
          <w:szCs w:val="21"/>
        </w:rPr>
        <w:t>在法定质疑期内一次性提出针对同一采购程序环节的质疑。深圳市深大体育文化发展有限公司不接受</w:t>
      </w:r>
      <w:r>
        <w:rPr>
          <w:rFonts w:ascii="宋体" w:hAnsi="宋体"/>
          <w:szCs w:val="21"/>
        </w:rPr>
        <w:t>同一供应商</w:t>
      </w:r>
      <w:r>
        <w:rPr>
          <w:rFonts w:hint="eastAsia" w:ascii="宋体" w:hAnsi="宋体"/>
          <w:szCs w:val="21"/>
        </w:rPr>
        <w:t>针对</w:t>
      </w:r>
      <w:r>
        <w:rPr>
          <w:rFonts w:ascii="宋体" w:hAnsi="宋体"/>
          <w:szCs w:val="21"/>
        </w:rPr>
        <w:t>同一采购程序环节的多次质疑。</w:t>
      </w:r>
    </w:p>
    <w:p>
      <w:pPr>
        <w:spacing w:line="360" w:lineRule="auto"/>
        <w:rPr>
          <w:rFonts w:ascii="黑体" w:hAnsi="宋体" w:eastAsia="黑体"/>
          <w:sz w:val="24"/>
        </w:rPr>
      </w:pPr>
      <w:r>
        <w:rPr>
          <w:rFonts w:hint="eastAsia" w:ascii="黑体" w:hAnsi="宋体" w:eastAsia="黑体"/>
          <w:sz w:val="24"/>
        </w:rPr>
        <w:t>56.质疑条件</w:t>
      </w:r>
    </w:p>
    <w:p>
      <w:pPr>
        <w:ind w:firstLine="411" w:firstLineChars="196"/>
        <w:rPr>
          <w:rFonts w:ascii="宋体" w:hAnsi="宋体"/>
          <w:szCs w:val="21"/>
        </w:rPr>
      </w:pPr>
      <w:r>
        <w:rPr>
          <w:rFonts w:hint="eastAsia" w:ascii="宋体" w:hAnsi="宋体"/>
          <w:szCs w:val="21"/>
        </w:rPr>
        <w:t>56.1提出质疑的应是直接参与相应采购项目的供应商。以联合体形式参与的，由联合体共同提出；</w:t>
      </w:r>
    </w:p>
    <w:p>
      <w:pPr>
        <w:ind w:firstLine="411" w:firstLineChars="196"/>
        <w:rPr>
          <w:rFonts w:ascii="宋体" w:hAnsi="宋体"/>
          <w:szCs w:val="21"/>
        </w:rPr>
      </w:pPr>
      <w:r>
        <w:rPr>
          <w:rFonts w:hint="eastAsia" w:ascii="宋体" w:hAnsi="宋体"/>
          <w:szCs w:val="21"/>
        </w:rPr>
        <w:t>5</w:t>
      </w:r>
      <w:r>
        <w:rPr>
          <w:rFonts w:ascii="宋体" w:hAnsi="宋体"/>
          <w:szCs w:val="21"/>
        </w:rPr>
        <w:t>6.2</w:t>
      </w:r>
      <w:r>
        <w:rPr>
          <w:rFonts w:hint="eastAsia" w:ascii="宋体" w:hAnsi="宋体"/>
          <w:szCs w:val="21"/>
        </w:rPr>
        <w:t>供应商有质疑的，必须在法定质疑期内一次性提出针对同一采购程序环节的所有质疑。深圳市深大体育文化发展有限公司不接受同一供应商对同一采购程序环节的多次质疑。</w:t>
      </w:r>
    </w:p>
    <w:p>
      <w:pPr>
        <w:ind w:firstLine="411" w:firstLineChars="196"/>
        <w:rPr>
          <w:rFonts w:ascii="宋体" w:hAnsi="宋体"/>
          <w:szCs w:val="21"/>
        </w:rPr>
      </w:pPr>
      <w:r>
        <w:rPr>
          <w:rFonts w:hint="eastAsia" w:ascii="宋体" w:hAnsi="宋体"/>
          <w:szCs w:val="21"/>
        </w:rPr>
        <w:t>56.</w:t>
      </w:r>
      <w:r>
        <w:rPr>
          <w:rFonts w:ascii="宋体" w:hAnsi="宋体"/>
          <w:szCs w:val="21"/>
        </w:rPr>
        <w:t>3</w:t>
      </w:r>
      <w:r>
        <w:rPr>
          <w:rFonts w:hint="eastAsia" w:ascii="宋体" w:hAnsi="宋体"/>
          <w:szCs w:val="21"/>
        </w:rPr>
        <w:t>供应商提出质疑应当提交质疑函和必要的证明材料。质疑函应当包括下列内容：</w:t>
      </w:r>
    </w:p>
    <w:p>
      <w:pPr>
        <w:ind w:firstLine="411" w:firstLineChars="196"/>
        <w:rPr>
          <w:rFonts w:ascii="宋体" w:hAnsi="宋体"/>
          <w:szCs w:val="21"/>
        </w:rPr>
      </w:pPr>
      <w:r>
        <w:rPr>
          <w:rFonts w:hint="eastAsia" w:ascii="宋体" w:hAnsi="宋体"/>
          <w:szCs w:val="21"/>
        </w:rPr>
        <w:t>　　（1）供应商的姓名或者名称、地址、邮编、联系人及联系电话；</w:t>
      </w:r>
    </w:p>
    <w:p>
      <w:pPr>
        <w:ind w:firstLine="411" w:firstLineChars="196"/>
        <w:rPr>
          <w:rFonts w:ascii="宋体" w:hAnsi="宋体"/>
          <w:szCs w:val="21"/>
        </w:rPr>
      </w:pPr>
      <w:r>
        <w:rPr>
          <w:rFonts w:hint="eastAsia" w:ascii="宋体" w:hAnsi="宋体"/>
          <w:szCs w:val="21"/>
        </w:rPr>
        <w:t>　　（2）质疑项目的名称、编号；</w:t>
      </w:r>
    </w:p>
    <w:p>
      <w:pPr>
        <w:ind w:firstLine="411" w:firstLineChars="196"/>
        <w:rPr>
          <w:rFonts w:ascii="宋体" w:hAnsi="宋体"/>
          <w:szCs w:val="21"/>
        </w:rPr>
      </w:pPr>
      <w:r>
        <w:rPr>
          <w:rFonts w:hint="eastAsia" w:ascii="宋体" w:hAnsi="宋体"/>
          <w:szCs w:val="21"/>
        </w:rPr>
        <w:t>　　（3）具体、明确的质疑事项和与质疑事项相关的请求；</w:t>
      </w:r>
    </w:p>
    <w:p>
      <w:pPr>
        <w:ind w:firstLine="411" w:firstLineChars="196"/>
        <w:rPr>
          <w:rFonts w:ascii="宋体" w:hAnsi="宋体"/>
          <w:szCs w:val="21"/>
        </w:rPr>
      </w:pPr>
      <w:r>
        <w:rPr>
          <w:rFonts w:hint="eastAsia" w:ascii="宋体" w:hAnsi="宋体"/>
          <w:szCs w:val="21"/>
        </w:rPr>
        <w:t>　　（4）事实依据；</w:t>
      </w:r>
    </w:p>
    <w:p>
      <w:pPr>
        <w:ind w:firstLine="411" w:firstLineChars="196"/>
        <w:rPr>
          <w:rFonts w:ascii="宋体" w:hAnsi="宋体"/>
          <w:szCs w:val="21"/>
        </w:rPr>
      </w:pPr>
      <w:r>
        <w:rPr>
          <w:rFonts w:hint="eastAsia" w:ascii="宋体" w:hAnsi="宋体"/>
          <w:szCs w:val="21"/>
        </w:rPr>
        <w:t>　　（5）必要的法律依据；</w:t>
      </w:r>
    </w:p>
    <w:p>
      <w:pPr>
        <w:ind w:firstLine="411" w:firstLineChars="196"/>
        <w:rPr>
          <w:rFonts w:ascii="宋体" w:hAnsi="宋体"/>
          <w:szCs w:val="21"/>
        </w:rPr>
      </w:pPr>
      <w:r>
        <w:rPr>
          <w:rFonts w:hint="eastAsia" w:ascii="宋体" w:hAnsi="宋体"/>
          <w:szCs w:val="21"/>
        </w:rPr>
        <w:t>　　（6）提出质疑的日期。</w:t>
      </w:r>
    </w:p>
    <w:p>
      <w:pPr>
        <w:ind w:firstLine="411" w:firstLineChars="196"/>
        <w:rPr>
          <w:rFonts w:ascii="宋体" w:hAnsi="宋体"/>
          <w:szCs w:val="21"/>
        </w:rPr>
      </w:pPr>
      <w:r>
        <w:rPr>
          <w:rFonts w:hint="eastAsia" w:ascii="宋体" w:hAnsi="宋体"/>
          <w:szCs w:val="21"/>
        </w:rPr>
        <w:t>　　供应商为自然人的，应当由本人签字；供应商为法人或者其他组织的，应当由法定代表人、主要负责人，或者其授权代表签字或者盖章，并加盖公章。</w:t>
      </w:r>
    </w:p>
    <w:p>
      <w:pPr>
        <w:ind w:firstLine="411" w:firstLineChars="196"/>
        <w:rPr>
          <w:rFonts w:ascii="宋体" w:hAnsi="宋体"/>
          <w:szCs w:val="21"/>
        </w:rPr>
      </w:pPr>
      <w:r>
        <w:rPr>
          <w:rFonts w:hint="eastAsia" w:ascii="宋体" w:hAnsi="宋体"/>
          <w:szCs w:val="21"/>
        </w:rPr>
        <w:t>56.</w:t>
      </w:r>
      <w:r>
        <w:rPr>
          <w:rFonts w:ascii="宋体" w:hAnsi="宋体"/>
          <w:szCs w:val="21"/>
        </w:rPr>
        <w:t xml:space="preserve">4 </w:t>
      </w:r>
      <w:r>
        <w:rPr>
          <w:rFonts w:hint="eastAsia" w:ascii="宋体" w:hAnsi="宋体"/>
          <w:szCs w:val="21"/>
        </w:rPr>
        <w:t>质疑材料中有外文资料的，应一并附上中文译本，并以中文译本为准。</w:t>
      </w:r>
    </w:p>
    <w:p>
      <w:pPr>
        <w:ind w:firstLine="411" w:firstLineChars="196"/>
        <w:rPr>
          <w:rFonts w:ascii="宋体" w:hAnsi="宋体"/>
          <w:szCs w:val="21"/>
        </w:rPr>
      </w:pPr>
      <w:r>
        <w:rPr>
          <w:rFonts w:hint="eastAsia" w:ascii="宋体" w:hAnsi="宋体"/>
          <w:szCs w:val="21"/>
        </w:rPr>
        <w:t>不符合上述条件的，深圳市深大体育文化发展有限公司不予受理。</w:t>
      </w:r>
    </w:p>
    <w:p>
      <w:pPr>
        <w:spacing w:line="360" w:lineRule="auto"/>
        <w:rPr>
          <w:rFonts w:ascii="黑体" w:hAnsi="宋体" w:eastAsia="黑体"/>
          <w:sz w:val="24"/>
        </w:rPr>
      </w:pPr>
      <w:r>
        <w:rPr>
          <w:rFonts w:hint="eastAsia" w:ascii="黑体" w:hAnsi="宋体" w:eastAsia="黑体"/>
          <w:sz w:val="24"/>
        </w:rPr>
        <w:t>57.受理质疑办理程序</w:t>
      </w:r>
    </w:p>
    <w:p>
      <w:pPr>
        <w:ind w:firstLine="411" w:firstLineChars="196"/>
        <w:rPr>
          <w:rFonts w:ascii="宋体" w:hAnsi="宋体"/>
          <w:szCs w:val="21"/>
        </w:rPr>
      </w:pPr>
      <w:r>
        <w:rPr>
          <w:rFonts w:hint="eastAsia" w:ascii="宋体" w:hAnsi="宋体"/>
          <w:szCs w:val="21"/>
        </w:rPr>
        <w:t>57.1先与质疑供应商进行沟通，以消除因误解或对采购规则和程序的不了解而引起的质疑。对沟通情况满意的，供应商撤回质疑，质疑处理程序终止。</w:t>
      </w:r>
    </w:p>
    <w:p>
      <w:pPr>
        <w:ind w:firstLine="411" w:firstLineChars="196"/>
        <w:rPr>
          <w:rFonts w:ascii="宋体" w:hAnsi="宋体"/>
          <w:szCs w:val="21"/>
        </w:rPr>
      </w:pPr>
      <w:r>
        <w:rPr>
          <w:rFonts w:hint="eastAsia" w:ascii="宋体" w:hAnsi="宋体"/>
          <w:szCs w:val="21"/>
        </w:rPr>
        <w:t>57.2处理质疑一般进行书面审查；必要时听取各方当事人的陈述和申辩、进行相关调查；组织原评标委员会或谈判小组进行复议。</w:t>
      </w:r>
    </w:p>
    <w:p>
      <w:pPr>
        <w:ind w:firstLine="411" w:firstLineChars="196"/>
        <w:rPr>
          <w:rFonts w:ascii="宋体" w:hAnsi="宋体"/>
          <w:szCs w:val="21"/>
        </w:rPr>
      </w:pPr>
      <w:r>
        <w:rPr>
          <w:rFonts w:hint="eastAsia" w:ascii="宋体" w:hAnsi="宋体"/>
          <w:szCs w:val="21"/>
        </w:rPr>
        <w:t>57.3在质疑处理期间，深圳市深大体育文化发展有限公司视情形决定暂停采购活动。</w:t>
      </w:r>
    </w:p>
    <w:p>
      <w:pPr>
        <w:ind w:firstLine="411" w:firstLineChars="196"/>
        <w:rPr>
          <w:rFonts w:ascii="宋体" w:hAnsi="宋体"/>
          <w:szCs w:val="21"/>
        </w:rPr>
      </w:pPr>
      <w:r>
        <w:rPr>
          <w:rFonts w:hint="eastAsia" w:ascii="宋体" w:hAnsi="宋体"/>
          <w:szCs w:val="21"/>
        </w:rPr>
        <w:t>57.4深圳市深大体育文化发展有限公司原则上在质疑受理之日起十个工作日内书面答复质疑供应商。答复函以直接领取、传真或邮寄方式送达。</w:t>
      </w:r>
    </w:p>
    <w:p>
      <w:pPr>
        <w:ind w:firstLine="411" w:firstLineChars="196"/>
        <w:rPr>
          <w:rFonts w:ascii="宋体" w:hAnsi="宋体"/>
          <w:color w:val="FF0000"/>
          <w:szCs w:val="21"/>
        </w:rPr>
      </w:pPr>
      <w:r>
        <w:rPr>
          <w:rFonts w:hint="eastAsia" w:ascii="宋体" w:hAnsi="宋体"/>
          <w:szCs w:val="21"/>
        </w:rPr>
        <w:t>57.5供应商向深圳市深大体育文化发展有限公司提出质疑后，在质疑处理期限内，不得同时向其他方面提起同一质疑。质疑供应商如已就同一事项提起投诉、提请行政复议或诉讼的，质疑程序终止。</w:t>
      </w:r>
    </w:p>
    <w:p>
      <w:pPr>
        <w:spacing w:line="360" w:lineRule="auto"/>
        <w:rPr>
          <w:rFonts w:ascii="黑体" w:hAnsi="宋体" w:eastAsia="黑体"/>
          <w:sz w:val="24"/>
        </w:rPr>
      </w:pPr>
      <w:r>
        <w:rPr>
          <w:rFonts w:hint="eastAsia" w:ascii="黑体" w:hAnsi="宋体" w:eastAsia="黑体"/>
          <w:sz w:val="24"/>
        </w:rPr>
        <w:t>58.相关责任与义务</w:t>
      </w:r>
    </w:p>
    <w:p>
      <w:pPr>
        <w:ind w:firstLine="411" w:firstLineChars="196"/>
        <w:rPr>
          <w:rFonts w:ascii="宋体" w:hAnsi="宋体"/>
          <w:szCs w:val="21"/>
        </w:rPr>
      </w:pPr>
      <w:r>
        <w:rPr>
          <w:rFonts w:hint="eastAsia" w:ascii="宋体" w:hAnsi="宋体"/>
          <w:szCs w:val="21"/>
        </w:rPr>
        <w:t>58.1采购单位、评标专家和相关供应商等当事人应积极配合深圳市深大体育文化发展有限公司进行质疑调查，如实反映情况，及时提供证明材料。</w:t>
      </w:r>
    </w:p>
    <w:p>
      <w:pPr>
        <w:ind w:firstLine="411" w:firstLineChars="196"/>
        <w:rPr>
          <w:rFonts w:ascii="宋体" w:hAnsi="宋体"/>
          <w:szCs w:val="21"/>
        </w:rPr>
      </w:pPr>
      <w:r>
        <w:rPr>
          <w:rFonts w:hint="eastAsia" w:ascii="宋体" w:hAnsi="宋体"/>
          <w:szCs w:val="21"/>
        </w:rPr>
        <w:t>58.2质疑供应商有下列情形之一的，属于虚假、恶意质疑，深圳市深大体育文化发展有限公司将该供应商列入不良行为名单并在网上公布，并视情节提请深圳市深大体育文化发展有限公司采购监督管理部门给予一定年限内禁止参与深圳市深大体育文化发展有限公司采购活动资格或其他处罚：</w:t>
      </w:r>
    </w:p>
    <w:p>
      <w:pPr>
        <w:ind w:firstLine="411" w:firstLineChars="196"/>
        <w:rPr>
          <w:rFonts w:ascii="宋体" w:hAnsi="宋体"/>
          <w:szCs w:val="21"/>
        </w:rPr>
      </w:pPr>
      <w:r>
        <w:rPr>
          <w:rFonts w:hint="eastAsia" w:ascii="宋体" w:hAnsi="宋体"/>
          <w:szCs w:val="21"/>
        </w:rPr>
        <w:t>58.2.1捏造事实或提供虚假证明材料的；</w:t>
      </w:r>
    </w:p>
    <w:p>
      <w:pPr>
        <w:ind w:firstLine="411" w:firstLineChars="196"/>
        <w:rPr>
          <w:rFonts w:ascii="宋体" w:hAnsi="宋体"/>
          <w:szCs w:val="21"/>
        </w:rPr>
      </w:pPr>
      <w:r>
        <w:rPr>
          <w:rFonts w:hint="eastAsia" w:ascii="宋体" w:hAnsi="宋体"/>
          <w:szCs w:val="21"/>
        </w:rPr>
        <w:t>58.2.2假冒他人名义进行质疑的；</w:t>
      </w:r>
    </w:p>
    <w:p>
      <w:pPr>
        <w:ind w:firstLine="411" w:firstLineChars="196"/>
        <w:rPr>
          <w:rFonts w:ascii="宋体" w:hAnsi="宋体"/>
          <w:szCs w:val="21"/>
        </w:rPr>
      </w:pPr>
      <w:r>
        <w:rPr>
          <w:rFonts w:hint="eastAsia" w:ascii="宋体" w:hAnsi="宋体"/>
          <w:szCs w:val="21"/>
        </w:rPr>
        <w:t>58.2.3拒不配合进行有关调查、情节严重的。</w:t>
      </w:r>
    </w:p>
    <w:p>
      <w:pPr>
        <w:spacing w:line="240" w:lineRule="atLeast"/>
        <w:rPr>
          <w:sz w:val="44"/>
          <w:szCs w:val="44"/>
        </w:rPr>
      </w:pPr>
    </w:p>
    <w:p>
      <w:pPr>
        <w:spacing w:line="240" w:lineRule="atLeast"/>
        <w:rPr>
          <w:rFonts w:ascii="宋体" w:hAnsi="宋体"/>
          <w:szCs w:val="21"/>
        </w:rPr>
      </w:pPr>
    </w:p>
    <w:p>
      <w:pPr>
        <w:ind w:firstLine="411" w:firstLineChars="196"/>
        <w:rPr>
          <w:rFonts w:ascii="宋体" w:hAnsi="宋体"/>
          <w:szCs w:val="21"/>
        </w:rPr>
      </w:pPr>
    </w:p>
    <w:sectPr>
      <w:headerReference r:id="rId3" w:type="default"/>
      <w:footerReference r:id="rId4" w:type="default"/>
      <w:footerReference r:id="rId5" w:type="even"/>
      <w:pgSz w:w="11907" w:h="16840"/>
      <w:pgMar w:top="1440" w:right="1797" w:bottom="1440" w:left="1797" w:header="851" w:footer="992" w:gutter="0"/>
      <w:cols w:space="425" w:num="1"/>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roman"/>
    <w:pitch w:val="default"/>
    <w:sig w:usb0="FFFFFFFF" w:usb1="E9FFFFFF" w:usb2="0000003F" w:usb3="00000000" w:csb0="603F01FF" w:csb1="FFFF0000"/>
  </w:font>
  <w:font w:name="隶书">
    <w:panose1 w:val="02010509060101010101"/>
    <w:charset w:val="86"/>
    <w:family w:val="modern"/>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长城仿宋">
    <w:altName w:val="仿宋"/>
    <w:panose1 w:val="00000000000000000000"/>
    <w:charset w:val="00"/>
    <w:family w:val="auto"/>
    <w:pitch w:val="default"/>
    <w:sig w:usb0="00000000" w:usb1="00000000" w:usb2="00000000" w:usb3="00000000" w:csb0="FFFFFFFF" w:csb1="00000000"/>
  </w:font>
  <w:font w:name="Helvetica">
    <w:altName w:val="Arial"/>
    <w:panose1 w:val="020B0504020202020204"/>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文鼎粗黑">
    <w:altName w:val="黑体"/>
    <w:panose1 w:val="00000000000000000000"/>
    <w:charset w:val="00"/>
    <w:family w:val="auto"/>
    <w:pitch w:val="default"/>
    <w:sig w:usb0="00000000" w:usb1="00000000" w:usb2="00000000" w:usb3="00000000" w:csb0="FFFFFFFF" w:csb1="00000000"/>
  </w:font>
  <w:font w:name="文鼎CS书宋二">
    <w:altName w:val="宋体"/>
    <w:panose1 w:val="00000000000000000000"/>
    <w:charset w:val="00"/>
    <w:family w:val="auto"/>
    <w:pitch w:val="default"/>
    <w:sig w:usb0="00000000" w:usb1="00000000" w:usb2="00000000" w:usb3="00000000" w:csb0="FFFFFFFF" w:csb1="00000000"/>
  </w:font>
  <w:font w:name="创艺简黑体">
    <w:altName w:val="黑体"/>
    <w:panose1 w:val="00000000000000000000"/>
    <w:charset w:val="00"/>
    <w:family w:val="auto"/>
    <w:pitch w:val="default"/>
    <w:sig w:usb0="00000000" w:usb1="00000000" w:usb2="00000000" w:usb3="00000000" w:csb0="FFFFFFFF" w:csb1="00000000"/>
  </w:font>
  <w:font w:name="文鼎CS大宋">
    <w:altName w:val="宋体"/>
    <w:panose1 w:val="02010609010101010101"/>
    <w:charset w:val="00"/>
    <w:family w:val="auto"/>
    <w:pitch w:val="default"/>
    <w:sig w:usb0="00000000" w:usb1="00000000" w:usb2="00000000" w:usb3="00000000" w:csb0="00000000" w:csb1="00000000"/>
  </w:font>
  <w:font w:name="文鼎CS长美黑">
    <w:altName w:val="黑体"/>
    <w:panose1 w:val="02010609010101010101"/>
    <w:charset w:val="00"/>
    <w:family w:val="auto"/>
    <w:pitch w:val="default"/>
    <w:sig w:usb0="00000000" w:usb1="00000000" w:usb2="00000000" w:usb3="00000000" w:csb0="00000000" w:csb1="00000000"/>
  </w:font>
  <w:font w:name="文鼎中楷">
    <w:altName w:val="仿宋"/>
    <w:panose1 w:val="00000000000000000000"/>
    <w:charset w:val="00"/>
    <w:family w:val="auto"/>
    <w:pitch w:val="default"/>
    <w:sig w:usb0="00000000" w:usb1="00000000" w:usb2="00000000" w:usb3="00000000" w:csb0="FFFFFFFF" w:csb1="00000000"/>
  </w:font>
  <w:font w:name="Tunga">
    <w:panose1 w:val="020B0502040204020203"/>
    <w:charset w:val="00"/>
    <w:family w:val="swiss"/>
    <w:pitch w:val="default"/>
    <w:sig w:usb0="00400003" w:usb1="00000000" w:usb2="00000000" w:usb3="00000000" w:csb0="00000001" w:csb1="00000000"/>
  </w:font>
  <w:font w:name="Cambria">
    <w:panose1 w:val="02040503050406030204"/>
    <w:charset w:val="00"/>
    <w:family w:val="roman"/>
    <w:pitch w:val="default"/>
    <w:sig w:usb0="E00002FF" w:usb1="400004FF" w:usb2="00000000" w:usb3="00000000" w:csb0="2000019F" w:csb1="00000000"/>
  </w:font>
  <w:font w:name="华文新魏">
    <w:panose1 w:val="02010800040101010101"/>
    <w:charset w:val="86"/>
    <w:family w:val="auto"/>
    <w:pitch w:val="default"/>
    <w:sig w:usb0="00000001" w:usb1="080F0000" w:usb2="00000000" w:usb3="00000000" w:csb0="00040000" w:csb1="00000000"/>
  </w:font>
  <w:font w:name="等线">
    <w:altName w:val="Arial Unicode MS"/>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MS Sans Serif">
    <w:altName w:val="Arial"/>
    <w:panose1 w:val="00000000000000000000"/>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jc w:val="center"/>
    </w:pPr>
    <w:r>
      <w:fldChar w:fldCharType="begin"/>
    </w:r>
    <w:r>
      <w:instrText xml:space="preserve">PAGE   \* MERGEFORMAT</w:instrText>
    </w:r>
    <w:r>
      <w:fldChar w:fldCharType="separate"/>
    </w:r>
    <w:r>
      <w:rPr>
        <w:lang w:val="zh-CN"/>
      </w:rPr>
      <w:t>35</w:t>
    </w:r>
    <w:r>
      <w:rPr>
        <w:lang w:val="zh-CN"/>
      </w:rPr>
      <w:fldChar w:fldCharType="end"/>
    </w:r>
  </w:p>
  <w:p>
    <w:pPr>
      <w:pStyle w:val="3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6"/>
      <w:framePr w:wrap="around" w:vAnchor="text" w:hAnchor="margin" w:xAlign="center" w:y="1"/>
      <w:rPr>
        <w:rStyle w:val="60"/>
      </w:rPr>
    </w:pPr>
    <w:r>
      <w:rPr>
        <w:rStyle w:val="60"/>
      </w:rPr>
      <w:fldChar w:fldCharType="begin"/>
    </w:r>
    <w:r>
      <w:rPr>
        <w:rStyle w:val="60"/>
      </w:rPr>
      <w:instrText xml:space="preserve">PAGE  </w:instrText>
    </w:r>
    <w:r>
      <w:rPr>
        <w:rStyle w:val="60"/>
      </w:rPr>
      <w:fldChar w:fldCharType="end"/>
    </w:r>
  </w:p>
  <w:p>
    <w:pPr>
      <w:pStyle w:val="3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jc w:val="both"/>
      <w:rPr>
        <w:rFonts w:hint="eastAsia" w:eastAsia="宋体"/>
        <w:lang w:eastAsia="zh-CN"/>
      </w:rPr>
    </w:pPr>
    <w:r>
      <w:rPr>
        <w:rFonts w:hint="eastAsia"/>
      </w:rPr>
      <w:t xml:space="preserve">深圳市深大体育文化发展有限公司招标文件                   </w:t>
    </w:r>
    <w:r>
      <w:rPr>
        <w:rFonts w:hint="eastAsia"/>
        <w:lang w:val="en-US" w:eastAsia="zh-CN"/>
      </w:rPr>
      <w:t xml:space="preserve">     </w:t>
    </w:r>
    <w:r>
      <w:rPr>
        <w:rFonts w:hint="eastAsia"/>
      </w:rPr>
      <w:t xml:space="preserve">    招标编号：</w:t>
    </w:r>
    <w:r>
      <w:rPr>
        <w:rFonts w:hint="eastAsia"/>
        <w:lang w:eastAsia="zh-CN"/>
      </w:rPr>
      <w:t>SZUTT2021001GC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FFFFF7C"/>
    <w:lvl w:ilvl="0" w:tentative="0">
      <w:start w:val="1"/>
      <w:numFmt w:val="decimal"/>
      <w:pStyle w:val="71"/>
      <w:lvlText w:val="%1."/>
      <w:lvlJc w:val="left"/>
      <w:pPr>
        <w:tabs>
          <w:tab w:val="left" w:pos="2040"/>
        </w:tabs>
        <w:ind w:left="2040" w:leftChars="800" w:hanging="360" w:hangingChars="200"/>
      </w:pPr>
    </w:lvl>
  </w:abstractNum>
  <w:abstractNum w:abstractNumId="1">
    <w:nsid w:val="FFFFFF89"/>
    <w:multiLevelType w:val="singleLevel"/>
    <w:tmpl w:val="FFFFFF89"/>
    <w:lvl w:ilvl="0" w:tentative="0">
      <w:start w:val="1"/>
      <w:numFmt w:val="bullet"/>
      <w:pStyle w:val="16"/>
      <w:lvlText w:val=""/>
      <w:lvlJc w:val="left"/>
      <w:pPr>
        <w:tabs>
          <w:tab w:val="left" w:pos="360"/>
        </w:tabs>
        <w:ind w:left="360" w:hanging="360" w:hangingChars="200"/>
      </w:pPr>
      <w:rPr>
        <w:rFonts w:hint="default" w:ascii="Wingdings" w:hAnsi="Wingdings"/>
      </w:rPr>
    </w:lvl>
  </w:abstractNum>
  <w:abstractNum w:abstractNumId="2">
    <w:nsid w:val="09F81FD3"/>
    <w:multiLevelType w:val="multilevel"/>
    <w:tmpl w:val="09F81FD3"/>
    <w:lvl w:ilvl="0" w:tentative="0">
      <w:start w:val="1"/>
      <w:numFmt w:val="japaneseCounting"/>
      <w:lvlText w:val="第%1章"/>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2AD927ED"/>
    <w:multiLevelType w:val="singleLevel"/>
    <w:tmpl w:val="2AD927ED"/>
    <w:lvl w:ilvl="0" w:tentative="0">
      <w:start w:val="1"/>
      <w:numFmt w:val="chineseCounting"/>
      <w:suff w:val="nothing"/>
      <w:lvlText w:val="%1、"/>
      <w:lvlJc w:val="left"/>
      <w:rPr>
        <w:rFonts w:hint="eastAsia"/>
      </w:rPr>
    </w:lvl>
  </w:abstractNum>
  <w:abstractNum w:abstractNumId="4">
    <w:nsid w:val="539A4327"/>
    <w:multiLevelType w:val="singleLevel"/>
    <w:tmpl w:val="539A4327"/>
    <w:lvl w:ilvl="0" w:tentative="0">
      <w:start w:val="1"/>
      <w:numFmt w:val="decimal"/>
      <w:suff w:val="nothing"/>
      <w:lvlText w:val="%1、"/>
      <w:lvlJc w:val="left"/>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683"/>
    <w:rsid w:val="00001B0D"/>
    <w:rsid w:val="0000260A"/>
    <w:rsid w:val="00005215"/>
    <w:rsid w:val="0000570B"/>
    <w:rsid w:val="00005A10"/>
    <w:rsid w:val="00007C62"/>
    <w:rsid w:val="00010102"/>
    <w:rsid w:val="000123D3"/>
    <w:rsid w:val="00012D63"/>
    <w:rsid w:val="00012E8E"/>
    <w:rsid w:val="00013473"/>
    <w:rsid w:val="00013A28"/>
    <w:rsid w:val="00015A86"/>
    <w:rsid w:val="000164AF"/>
    <w:rsid w:val="00016F99"/>
    <w:rsid w:val="0001716B"/>
    <w:rsid w:val="000211EA"/>
    <w:rsid w:val="0002323A"/>
    <w:rsid w:val="000234B2"/>
    <w:rsid w:val="000236B8"/>
    <w:rsid w:val="00030DEE"/>
    <w:rsid w:val="00031700"/>
    <w:rsid w:val="00031F6E"/>
    <w:rsid w:val="00032D1B"/>
    <w:rsid w:val="00037D22"/>
    <w:rsid w:val="0004003A"/>
    <w:rsid w:val="00040A62"/>
    <w:rsid w:val="00040D3C"/>
    <w:rsid w:val="000433CC"/>
    <w:rsid w:val="0004380D"/>
    <w:rsid w:val="00043A89"/>
    <w:rsid w:val="00043F05"/>
    <w:rsid w:val="0004529D"/>
    <w:rsid w:val="00045530"/>
    <w:rsid w:val="00045693"/>
    <w:rsid w:val="00045739"/>
    <w:rsid w:val="000458A1"/>
    <w:rsid w:val="00046CEE"/>
    <w:rsid w:val="0004796F"/>
    <w:rsid w:val="0005077A"/>
    <w:rsid w:val="000510B6"/>
    <w:rsid w:val="00051F3F"/>
    <w:rsid w:val="00051F77"/>
    <w:rsid w:val="00052BC1"/>
    <w:rsid w:val="00052ED3"/>
    <w:rsid w:val="0005364F"/>
    <w:rsid w:val="00053B66"/>
    <w:rsid w:val="000548DF"/>
    <w:rsid w:val="0005582B"/>
    <w:rsid w:val="00057332"/>
    <w:rsid w:val="00061771"/>
    <w:rsid w:val="0006267A"/>
    <w:rsid w:val="00062D88"/>
    <w:rsid w:val="0006335B"/>
    <w:rsid w:val="000646AF"/>
    <w:rsid w:val="0006570F"/>
    <w:rsid w:val="0006670C"/>
    <w:rsid w:val="00067D92"/>
    <w:rsid w:val="000726C9"/>
    <w:rsid w:val="00073C5E"/>
    <w:rsid w:val="000750DC"/>
    <w:rsid w:val="00075170"/>
    <w:rsid w:val="000802D8"/>
    <w:rsid w:val="00080418"/>
    <w:rsid w:val="0008046A"/>
    <w:rsid w:val="0008178E"/>
    <w:rsid w:val="00082493"/>
    <w:rsid w:val="00082667"/>
    <w:rsid w:val="00083DC6"/>
    <w:rsid w:val="000869D8"/>
    <w:rsid w:val="00087E6B"/>
    <w:rsid w:val="00091272"/>
    <w:rsid w:val="00092FC7"/>
    <w:rsid w:val="0009376D"/>
    <w:rsid w:val="00093CC0"/>
    <w:rsid w:val="000954D5"/>
    <w:rsid w:val="0009618D"/>
    <w:rsid w:val="0009709B"/>
    <w:rsid w:val="000973C5"/>
    <w:rsid w:val="000A207D"/>
    <w:rsid w:val="000A42FD"/>
    <w:rsid w:val="000A553D"/>
    <w:rsid w:val="000A6FAC"/>
    <w:rsid w:val="000A703B"/>
    <w:rsid w:val="000B05E2"/>
    <w:rsid w:val="000B0E0D"/>
    <w:rsid w:val="000B2568"/>
    <w:rsid w:val="000B25A6"/>
    <w:rsid w:val="000B3599"/>
    <w:rsid w:val="000B3C10"/>
    <w:rsid w:val="000B4287"/>
    <w:rsid w:val="000C1EE4"/>
    <w:rsid w:val="000C381D"/>
    <w:rsid w:val="000C4425"/>
    <w:rsid w:val="000C60F0"/>
    <w:rsid w:val="000C611D"/>
    <w:rsid w:val="000C6956"/>
    <w:rsid w:val="000C7CC8"/>
    <w:rsid w:val="000D1063"/>
    <w:rsid w:val="000D1A7D"/>
    <w:rsid w:val="000D2309"/>
    <w:rsid w:val="000D32D0"/>
    <w:rsid w:val="000D38F9"/>
    <w:rsid w:val="000D5510"/>
    <w:rsid w:val="000D58F2"/>
    <w:rsid w:val="000E2BDF"/>
    <w:rsid w:val="000E3AA1"/>
    <w:rsid w:val="000E4DE8"/>
    <w:rsid w:val="000E50EE"/>
    <w:rsid w:val="000E52A8"/>
    <w:rsid w:val="000E5421"/>
    <w:rsid w:val="000E7B69"/>
    <w:rsid w:val="000F1EE8"/>
    <w:rsid w:val="000F2065"/>
    <w:rsid w:val="000F2A88"/>
    <w:rsid w:val="000F2C23"/>
    <w:rsid w:val="000F2D1B"/>
    <w:rsid w:val="000F330D"/>
    <w:rsid w:val="000F3403"/>
    <w:rsid w:val="000F43DF"/>
    <w:rsid w:val="000F509A"/>
    <w:rsid w:val="000F565B"/>
    <w:rsid w:val="000F5F3F"/>
    <w:rsid w:val="000F695B"/>
    <w:rsid w:val="00101486"/>
    <w:rsid w:val="00101DD0"/>
    <w:rsid w:val="00102037"/>
    <w:rsid w:val="00102555"/>
    <w:rsid w:val="00103B5D"/>
    <w:rsid w:val="00104CBB"/>
    <w:rsid w:val="001075F2"/>
    <w:rsid w:val="00107D54"/>
    <w:rsid w:val="00110ABC"/>
    <w:rsid w:val="00113536"/>
    <w:rsid w:val="00114984"/>
    <w:rsid w:val="0011501D"/>
    <w:rsid w:val="001153D0"/>
    <w:rsid w:val="00115623"/>
    <w:rsid w:val="00115879"/>
    <w:rsid w:val="00115A55"/>
    <w:rsid w:val="001210D3"/>
    <w:rsid w:val="001212EF"/>
    <w:rsid w:val="0012144B"/>
    <w:rsid w:val="001217DC"/>
    <w:rsid w:val="0012203F"/>
    <w:rsid w:val="001232C3"/>
    <w:rsid w:val="00123CC6"/>
    <w:rsid w:val="0012413E"/>
    <w:rsid w:val="00124B00"/>
    <w:rsid w:val="00125C8A"/>
    <w:rsid w:val="001262BD"/>
    <w:rsid w:val="001273C4"/>
    <w:rsid w:val="00130827"/>
    <w:rsid w:val="001308A2"/>
    <w:rsid w:val="00130B7D"/>
    <w:rsid w:val="00132D9C"/>
    <w:rsid w:val="00133107"/>
    <w:rsid w:val="001360C0"/>
    <w:rsid w:val="00136684"/>
    <w:rsid w:val="00141752"/>
    <w:rsid w:val="00143653"/>
    <w:rsid w:val="00143B3A"/>
    <w:rsid w:val="00146978"/>
    <w:rsid w:val="0014765D"/>
    <w:rsid w:val="001477BF"/>
    <w:rsid w:val="00147DA2"/>
    <w:rsid w:val="001503A4"/>
    <w:rsid w:val="00150480"/>
    <w:rsid w:val="00151E27"/>
    <w:rsid w:val="001557E9"/>
    <w:rsid w:val="00156C5D"/>
    <w:rsid w:val="00156E3B"/>
    <w:rsid w:val="00157E23"/>
    <w:rsid w:val="00157F1A"/>
    <w:rsid w:val="00157FC3"/>
    <w:rsid w:val="00161C84"/>
    <w:rsid w:val="001626BD"/>
    <w:rsid w:val="00163120"/>
    <w:rsid w:val="00164E23"/>
    <w:rsid w:val="0016595F"/>
    <w:rsid w:val="00165A0B"/>
    <w:rsid w:val="00166A2C"/>
    <w:rsid w:val="00166F95"/>
    <w:rsid w:val="001701B5"/>
    <w:rsid w:val="001712D1"/>
    <w:rsid w:val="00171CAB"/>
    <w:rsid w:val="0017228F"/>
    <w:rsid w:val="0017326B"/>
    <w:rsid w:val="001744AB"/>
    <w:rsid w:val="00174D6D"/>
    <w:rsid w:val="00175466"/>
    <w:rsid w:val="00175D9D"/>
    <w:rsid w:val="00177167"/>
    <w:rsid w:val="001815EB"/>
    <w:rsid w:val="0018160E"/>
    <w:rsid w:val="00181B0A"/>
    <w:rsid w:val="00183264"/>
    <w:rsid w:val="00183C79"/>
    <w:rsid w:val="00183C8B"/>
    <w:rsid w:val="00183E75"/>
    <w:rsid w:val="001845CF"/>
    <w:rsid w:val="001862DA"/>
    <w:rsid w:val="001865BB"/>
    <w:rsid w:val="00186C86"/>
    <w:rsid w:val="00187518"/>
    <w:rsid w:val="001875C6"/>
    <w:rsid w:val="00193AF3"/>
    <w:rsid w:val="00194B07"/>
    <w:rsid w:val="00195110"/>
    <w:rsid w:val="00196B4E"/>
    <w:rsid w:val="00196C66"/>
    <w:rsid w:val="001A027A"/>
    <w:rsid w:val="001A0D2C"/>
    <w:rsid w:val="001A422B"/>
    <w:rsid w:val="001A440A"/>
    <w:rsid w:val="001A4A55"/>
    <w:rsid w:val="001A62E5"/>
    <w:rsid w:val="001A67DD"/>
    <w:rsid w:val="001A6A1A"/>
    <w:rsid w:val="001A6A4F"/>
    <w:rsid w:val="001A7098"/>
    <w:rsid w:val="001A73D0"/>
    <w:rsid w:val="001A7502"/>
    <w:rsid w:val="001A76B7"/>
    <w:rsid w:val="001B08E1"/>
    <w:rsid w:val="001B1339"/>
    <w:rsid w:val="001B2E6C"/>
    <w:rsid w:val="001B47E4"/>
    <w:rsid w:val="001B6FAD"/>
    <w:rsid w:val="001B7CFC"/>
    <w:rsid w:val="001C04B2"/>
    <w:rsid w:val="001C1FDE"/>
    <w:rsid w:val="001C371D"/>
    <w:rsid w:val="001C5839"/>
    <w:rsid w:val="001C708E"/>
    <w:rsid w:val="001C77E1"/>
    <w:rsid w:val="001C7ADA"/>
    <w:rsid w:val="001D08FE"/>
    <w:rsid w:val="001D17DC"/>
    <w:rsid w:val="001D2333"/>
    <w:rsid w:val="001D3543"/>
    <w:rsid w:val="001D48E2"/>
    <w:rsid w:val="001D58E5"/>
    <w:rsid w:val="001D5AB8"/>
    <w:rsid w:val="001D5D08"/>
    <w:rsid w:val="001D7B7D"/>
    <w:rsid w:val="001E085F"/>
    <w:rsid w:val="001E0A8A"/>
    <w:rsid w:val="001E2502"/>
    <w:rsid w:val="001E292F"/>
    <w:rsid w:val="001E3C03"/>
    <w:rsid w:val="001E474D"/>
    <w:rsid w:val="001E48A2"/>
    <w:rsid w:val="001E5A81"/>
    <w:rsid w:val="001E66A1"/>
    <w:rsid w:val="001F0349"/>
    <w:rsid w:val="001F0B74"/>
    <w:rsid w:val="001F0F96"/>
    <w:rsid w:val="001F4EB8"/>
    <w:rsid w:val="001F602F"/>
    <w:rsid w:val="001F6F6A"/>
    <w:rsid w:val="001F7595"/>
    <w:rsid w:val="00200B4C"/>
    <w:rsid w:val="00202341"/>
    <w:rsid w:val="00203267"/>
    <w:rsid w:val="0020391D"/>
    <w:rsid w:val="002041AF"/>
    <w:rsid w:val="00205F25"/>
    <w:rsid w:val="00205F9C"/>
    <w:rsid w:val="00210771"/>
    <w:rsid w:val="00211885"/>
    <w:rsid w:val="002122B8"/>
    <w:rsid w:val="00213010"/>
    <w:rsid w:val="00215699"/>
    <w:rsid w:val="002159DE"/>
    <w:rsid w:val="00215E99"/>
    <w:rsid w:val="0021645F"/>
    <w:rsid w:val="002166A6"/>
    <w:rsid w:val="00216BB6"/>
    <w:rsid w:val="00216C18"/>
    <w:rsid w:val="0022048B"/>
    <w:rsid w:val="00221A9C"/>
    <w:rsid w:val="00222261"/>
    <w:rsid w:val="00222421"/>
    <w:rsid w:val="0022634D"/>
    <w:rsid w:val="00227D49"/>
    <w:rsid w:val="00227FC7"/>
    <w:rsid w:val="002336B7"/>
    <w:rsid w:val="00233B02"/>
    <w:rsid w:val="00236A81"/>
    <w:rsid w:val="00236E72"/>
    <w:rsid w:val="0023735E"/>
    <w:rsid w:val="00250F42"/>
    <w:rsid w:val="00254518"/>
    <w:rsid w:val="00254B44"/>
    <w:rsid w:val="00254E99"/>
    <w:rsid w:val="00254EBC"/>
    <w:rsid w:val="00255F3B"/>
    <w:rsid w:val="0025721C"/>
    <w:rsid w:val="0025722A"/>
    <w:rsid w:val="0026027A"/>
    <w:rsid w:val="00260533"/>
    <w:rsid w:val="00261367"/>
    <w:rsid w:val="00261715"/>
    <w:rsid w:val="00261A54"/>
    <w:rsid w:val="00261D37"/>
    <w:rsid w:val="00263607"/>
    <w:rsid w:val="0026456B"/>
    <w:rsid w:val="00264591"/>
    <w:rsid w:val="00264D4D"/>
    <w:rsid w:val="002656E1"/>
    <w:rsid w:val="00265CFF"/>
    <w:rsid w:val="002663BA"/>
    <w:rsid w:val="00272C2E"/>
    <w:rsid w:val="00273A19"/>
    <w:rsid w:val="00273B80"/>
    <w:rsid w:val="00275641"/>
    <w:rsid w:val="002816B2"/>
    <w:rsid w:val="002821E9"/>
    <w:rsid w:val="00282C70"/>
    <w:rsid w:val="002842BE"/>
    <w:rsid w:val="00286F0F"/>
    <w:rsid w:val="0028720B"/>
    <w:rsid w:val="0028787B"/>
    <w:rsid w:val="002908A7"/>
    <w:rsid w:val="00291796"/>
    <w:rsid w:val="00292D0E"/>
    <w:rsid w:val="00292F66"/>
    <w:rsid w:val="0029315D"/>
    <w:rsid w:val="00293CA5"/>
    <w:rsid w:val="00294309"/>
    <w:rsid w:val="0029449E"/>
    <w:rsid w:val="00295866"/>
    <w:rsid w:val="0029659D"/>
    <w:rsid w:val="002969C6"/>
    <w:rsid w:val="00296F46"/>
    <w:rsid w:val="00296F8A"/>
    <w:rsid w:val="002A180F"/>
    <w:rsid w:val="002A3617"/>
    <w:rsid w:val="002A40F9"/>
    <w:rsid w:val="002A5043"/>
    <w:rsid w:val="002B214B"/>
    <w:rsid w:val="002B22D4"/>
    <w:rsid w:val="002B23C6"/>
    <w:rsid w:val="002B2490"/>
    <w:rsid w:val="002B2C0A"/>
    <w:rsid w:val="002B37BD"/>
    <w:rsid w:val="002B3ADB"/>
    <w:rsid w:val="002B404C"/>
    <w:rsid w:val="002B555B"/>
    <w:rsid w:val="002B7584"/>
    <w:rsid w:val="002B7684"/>
    <w:rsid w:val="002B7969"/>
    <w:rsid w:val="002C1973"/>
    <w:rsid w:val="002C1EA7"/>
    <w:rsid w:val="002C257A"/>
    <w:rsid w:val="002C3550"/>
    <w:rsid w:val="002C7DAA"/>
    <w:rsid w:val="002D0356"/>
    <w:rsid w:val="002D07C0"/>
    <w:rsid w:val="002D1DFB"/>
    <w:rsid w:val="002D1F5C"/>
    <w:rsid w:val="002D2FE0"/>
    <w:rsid w:val="002D45BF"/>
    <w:rsid w:val="002D45FF"/>
    <w:rsid w:val="002D4A85"/>
    <w:rsid w:val="002D64DF"/>
    <w:rsid w:val="002D68B6"/>
    <w:rsid w:val="002E38DB"/>
    <w:rsid w:val="002E455D"/>
    <w:rsid w:val="002E4BAF"/>
    <w:rsid w:val="002E7510"/>
    <w:rsid w:val="002E7EC5"/>
    <w:rsid w:val="002F027E"/>
    <w:rsid w:val="002F0CC0"/>
    <w:rsid w:val="002F1DB6"/>
    <w:rsid w:val="002F2B7A"/>
    <w:rsid w:val="002F3105"/>
    <w:rsid w:val="002F3248"/>
    <w:rsid w:val="002F3FEC"/>
    <w:rsid w:val="002F41A5"/>
    <w:rsid w:val="002F4C44"/>
    <w:rsid w:val="002F6614"/>
    <w:rsid w:val="002F72FF"/>
    <w:rsid w:val="00301BCD"/>
    <w:rsid w:val="0030463E"/>
    <w:rsid w:val="003047A3"/>
    <w:rsid w:val="00304ED6"/>
    <w:rsid w:val="00306FF4"/>
    <w:rsid w:val="00307A5F"/>
    <w:rsid w:val="003126EA"/>
    <w:rsid w:val="0031399D"/>
    <w:rsid w:val="00314B50"/>
    <w:rsid w:val="00315A06"/>
    <w:rsid w:val="0031644B"/>
    <w:rsid w:val="00317D36"/>
    <w:rsid w:val="00320740"/>
    <w:rsid w:val="003219B7"/>
    <w:rsid w:val="003221D3"/>
    <w:rsid w:val="0032257B"/>
    <w:rsid w:val="003225FB"/>
    <w:rsid w:val="00322F68"/>
    <w:rsid w:val="00323034"/>
    <w:rsid w:val="003238CB"/>
    <w:rsid w:val="00323A7C"/>
    <w:rsid w:val="00323BE9"/>
    <w:rsid w:val="00323C32"/>
    <w:rsid w:val="003243F6"/>
    <w:rsid w:val="00324A1D"/>
    <w:rsid w:val="0032526A"/>
    <w:rsid w:val="00325524"/>
    <w:rsid w:val="00325742"/>
    <w:rsid w:val="0032759F"/>
    <w:rsid w:val="00327948"/>
    <w:rsid w:val="00327AB3"/>
    <w:rsid w:val="0033477B"/>
    <w:rsid w:val="0033739F"/>
    <w:rsid w:val="00340804"/>
    <w:rsid w:val="00342DC1"/>
    <w:rsid w:val="0034314D"/>
    <w:rsid w:val="003438AA"/>
    <w:rsid w:val="00343F41"/>
    <w:rsid w:val="00345EA7"/>
    <w:rsid w:val="00345FA0"/>
    <w:rsid w:val="00346129"/>
    <w:rsid w:val="0034652C"/>
    <w:rsid w:val="00346AFE"/>
    <w:rsid w:val="00347264"/>
    <w:rsid w:val="00347724"/>
    <w:rsid w:val="0035067B"/>
    <w:rsid w:val="00351A4A"/>
    <w:rsid w:val="00351FB4"/>
    <w:rsid w:val="00353E67"/>
    <w:rsid w:val="00354F9B"/>
    <w:rsid w:val="003603EA"/>
    <w:rsid w:val="00360494"/>
    <w:rsid w:val="003621BA"/>
    <w:rsid w:val="00362A2F"/>
    <w:rsid w:val="00364C7C"/>
    <w:rsid w:val="0036508D"/>
    <w:rsid w:val="003651C8"/>
    <w:rsid w:val="003661A1"/>
    <w:rsid w:val="003664F5"/>
    <w:rsid w:val="003666DE"/>
    <w:rsid w:val="003669F1"/>
    <w:rsid w:val="003700A3"/>
    <w:rsid w:val="003706EE"/>
    <w:rsid w:val="00370B40"/>
    <w:rsid w:val="003729FB"/>
    <w:rsid w:val="00373411"/>
    <w:rsid w:val="00373CEE"/>
    <w:rsid w:val="00373D40"/>
    <w:rsid w:val="0037450A"/>
    <w:rsid w:val="003778D4"/>
    <w:rsid w:val="00380094"/>
    <w:rsid w:val="00381172"/>
    <w:rsid w:val="0038165D"/>
    <w:rsid w:val="00382879"/>
    <w:rsid w:val="00383071"/>
    <w:rsid w:val="00384C69"/>
    <w:rsid w:val="0038560D"/>
    <w:rsid w:val="00385F39"/>
    <w:rsid w:val="003868EF"/>
    <w:rsid w:val="00386ACD"/>
    <w:rsid w:val="00391FAB"/>
    <w:rsid w:val="00392539"/>
    <w:rsid w:val="00392677"/>
    <w:rsid w:val="00394981"/>
    <w:rsid w:val="00394AA6"/>
    <w:rsid w:val="003953A8"/>
    <w:rsid w:val="003955C9"/>
    <w:rsid w:val="0039788E"/>
    <w:rsid w:val="003A0E20"/>
    <w:rsid w:val="003A1F6A"/>
    <w:rsid w:val="003A21D7"/>
    <w:rsid w:val="003A33B5"/>
    <w:rsid w:val="003A34B2"/>
    <w:rsid w:val="003A3551"/>
    <w:rsid w:val="003A38F0"/>
    <w:rsid w:val="003A3B5D"/>
    <w:rsid w:val="003A443D"/>
    <w:rsid w:val="003A6A5A"/>
    <w:rsid w:val="003A72E9"/>
    <w:rsid w:val="003B036A"/>
    <w:rsid w:val="003B0D27"/>
    <w:rsid w:val="003B3629"/>
    <w:rsid w:val="003B390F"/>
    <w:rsid w:val="003B5A08"/>
    <w:rsid w:val="003B5EF3"/>
    <w:rsid w:val="003C0177"/>
    <w:rsid w:val="003C274D"/>
    <w:rsid w:val="003C3AF3"/>
    <w:rsid w:val="003C77EA"/>
    <w:rsid w:val="003D03BB"/>
    <w:rsid w:val="003D0F8A"/>
    <w:rsid w:val="003D2333"/>
    <w:rsid w:val="003D5413"/>
    <w:rsid w:val="003D582B"/>
    <w:rsid w:val="003D615A"/>
    <w:rsid w:val="003D6FF4"/>
    <w:rsid w:val="003E37AA"/>
    <w:rsid w:val="003E3C43"/>
    <w:rsid w:val="003E47DE"/>
    <w:rsid w:val="003E67F8"/>
    <w:rsid w:val="003E7F62"/>
    <w:rsid w:val="003E7F84"/>
    <w:rsid w:val="003F10D3"/>
    <w:rsid w:val="003F1548"/>
    <w:rsid w:val="003F2B3D"/>
    <w:rsid w:val="003F3105"/>
    <w:rsid w:val="003F4172"/>
    <w:rsid w:val="003F4249"/>
    <w:rsid w:val="003F5086"/>
    <w:rsid w:val="00400346"/>
    <w:rsid w:val="00402C2C"/>
    <w:rsid w:val="00403364"/>
    <w:rsid w:val="0040415C"/>
    <w:rsid w:val="004077DE"/>
    <w:rsid w:val="0041450E"/>
    <w:rsid w:val="00415370"/>
    <w:rsid w:val="00415781"/>
    <w:rsid w:val="00416F40"/>
    <w:rsid w:val="00417769"/>
    <w:rsid w:val="00421EF2"/>
    <w:rsid w:val="00422668"/>
    <w:rsid w:val="004232BA"/>
    <w:rsid w:val="0042602D"/>
    <w:rsid w:val="00430054"/>
    <w:rsid w:val="00431AC1"/>
    <w:rsid w:val="00431C7E"/>
    <w:rsid w:val="004329C9"/>
    <w:rsid w:val="00432A55"/>
    <w:rsid w:val="00432CD5"/>
    <w:rsid w:val="00436088"/>
    <w:rsid w:val="004363FA"/>
    <w:rsid w:val="004364CC"/>
    <w:rsid w:val="004370CE"/>
    <w:rsid w:val="0044020B"/>
    <w:rsid w:val="004405B0"/>
    <w:rsid w:val="00441C9A"/>
    <w:rsid w:val="00441FF9"/>
    <w:rsid w:val="004433D8"/>
    <w:rsid w:val="0044382F"/>
    <w:rsid w:val="004442EB"/>
    <w:rsid w:val="00444F92"/>
    <w:rsid w:val="0045106C"/>
    <w:rsid w:val="0045135E"/>
    <w:rsid w:val="0045257D"/>
    <w:rsid w:val="00452C53"/>
    <w:rsid w:val="00454597"/>
    <w:rsid w:val="004548E6"/>
    <w:rsid w:val="0045543A"/>
    <w:rsid w:val="004561F9"/>
    <w:rsid w:val="0045637C"/>
    <w:rsid w:val="00456C75"/>
    <w:rsid w:val="004578F0"/>
    <w:rsid w:val="00457AF7"/>
    <w:rsid w:val="004603D6"/>
    <w:rsid w:val="004608AC"/>
    <w:rsid w:val="00462097"/>
    <w:rsid w:val="00463F8B"/>
    <w:rsid w:val="00464D72"/>
    <w:rsid w:val="0046687B"/>
    <w:rsid w:val="00467961"/>
    <w:rsid w:val="00470418"/>
    <w:rsid w:val="004727C4"/>
    <w:rsid w:val="00472C1D"/>
    <w:rsid w:val="00473579"/>
    <w:rsid w:val="00475AFA"/>
    <w:rsid w:val="004768AE"/>
    <w:rsid w:val="00481819"/>
    <w:rsid w:val="004822BF"/>
    <w:rsid w:val="0048231B"/>
    <w:rsid w:val="0048233B"/>
    <w:rsid w:val="00482D59"/>
    <w:rsid w:val="004838D4"/>
    <w:rsid w:val="004845AC"/>
    <w:rsid w:val="004850BA"/>
    <w:rsid w:val="0048557F"/>
    <w:rsid w:val="00485E3C"/>
    <w:rsid w:val="004864F8"/>
    <w:rsid w:val="00486609"/>
    <w:rsid w:val="0048706E"/>
    <w:rsid w:val="004915C1"/>
    <w:rsid w:val="004925C9"/>
    <w:rsid w:val="004926DF"/>
    <w:rsid w:val="00492735"/>
    <w:rsid w:val="00494FC9"/>
    <w:rsid w:val="00495122"/>
    <w:rsid w:val="00495A2D"/>
    <w:rsid w:val="00497A59"/>
    <w:rsid w:val="004A1BC0"/>
    <w:rsid w:val="004A201B"/>
    <w:rsid w:val="004A204A"/>
    <w:rsid w:val="004A2673"/>
    <w:rsid w:val="004A3423"/>
    <w:rsid w:val="004A3717"/>
    <w:rsid w:val="004A4377"/>
    <w:rsid w:val="004A57EB"/>
    <w:rsid w:val="004A5824"/>
    <w:rsid w:val="004A6717"/>
    <w:rsid w:val="004A7625"/>
    <w:rsid w:val="004A76D9"/>
    <w:rsid w:val="004A788D"/>
    <w:rsid w:val="004B107E"/>
    <w:rsid w:val="004B1CAB"/>
    <w:rsid w:val="004B2F18"/>
    <w:rsid w:val="004B36ED"/>
    <w:rsid w:val="004B3F79"/>
    <w:rsid w:val="004B612E"/>
    <w:rsid w:val="004B623B"/>
    <w:rsid w:val="004B63D5"/>
    <w:rsid w:val="004B7ECD"/>
    <w:rsid w:val="004C010E"/>
    <w:rsid w:val="004C1289"/>
    <w:rsid w:val="004C1690"/>
    <w:rsid w:val="004C343E"/>
    <w:rsid w:val="004C3E02"/>
    <w:rsid w:val="004C422D"/>
    <w:rsid w:val="004C4CEB"/>
    <w:rsid w:val="004C600A"/>
    <w:rsid w:val="004C601E"/>
    <w:rsid w:val="004C76D6"/>
    <w:rsid w:val="004D000F"/>
    <w:rsid w:val="004D26F0"/>
    <w:rsid w:val="004D35B5"/>
    <w:rsid w:val="004D4AE0"/>
    <w:rsid w:val="004D7A6D"/>
    <w:rsid w:val="004D7B71"/>
    <w:rsid w:val="004D7BF4"/>
    <w:rsid w:val="004D7C92"/>
    <w:rsid w:val="004E0B6C"/>
    <w:rsid w:val="004E0F36"/>
    <w:rsid w:val="004E1A92"/>
    <w:rsid w:val="004E2C67"/>
    <w:rsid w:val="004E38B2"/>
    <w:rsid w:val="004E3936"/>
    <w:rsid w:val="004E57F7"/>
    <w:rsid w:val="004E5D9C"/>
    <w:rsid w:val="004E6434"/>
    <w:rsid w:val="004E6B8E"/>
    <w:rsid w:val="004F0543"/>
    <w:rsid w:val="004F298B"/>
    <w:rsid w:val="004F4ECA"/>
    <w:rsid w:val="00500389"/>
    <w:rsid w:val="00500F7A"/>
    <w:rsid w:val="005012AD"/>
    <w:rsid w:val="005017C1"/>
    <w:rsid w:val="005027BB"/>
    <w:rsid w:val="00502B2D"/>
    <w:rsid w:val="00502BCE"/>
    <w:rsid w:val="0050314C"/>
    <w:rsid w:val="005037E1"/>
    <w:rsid w:val="00503B5C"/>
    <w:rsid w:val="0050456A"/>
    <w:rsid w:val="00504674"/>
    <w:rsid w:val="0050588A"/>
    <w:rsid w:val="005068E1"/>
    <w:rsid w:val="005077C5"/>
    <w:rsid w:val="005109C3"/>
    <w:rsid w:val="0051168A"/>
    <w:rsid w:val="005122F4"/>
    <w:rsid w:val="005156A6"/>
    <w:rsid w:val="0051619C"/>
    <w:rsid w:val="00516393"/>
    <w:rsid w:val="0052007F"/>
    <w:rsid w:val="00520B4F"/>
    <w:rsid w:val="00524AD7"/>
    <w:rsid w:val="00524C32"/>
    <w:rsid w:val="0052720F"/>
    <w:rsid w:val="00527D36"/>
    <w:rsid w:val="0053016F"/>
    <w:rsid w:val="005328A8"/>
    <w:rsid w:val="00532ED1"/>
    <w:rsid w:val="00533920"/>
    <w:rsid w:val="00533C15"/>
    <w:rsid w:val="00535324"/>
    <w:rsid w:val="00536587"/>
    <w:rsid w:val="00536816"/>
    <w:rsid w:val="00540DDD"/>
    <w:rsid w:val="00541484"/>
    <w:rsid w:val="00541505"/>
    <w:rsid w:val="0054163E"/>
    <w:rsid w:val="0054216F"/>
    <w:rsid w:val="0054217F"/>
    <w:rsid w:val="00542F18"/>
    <w:rsid w:val="00544059"/>
    <w:rsid w:val="0054441F"/>
    <w:rsid w:val="00544853"/>
    <w:rsid w:val="005450E2"/>
    <w:rsid w:val="0054512B"/>
    <w:rsid w:val="00546741"/>
    <w:rsid w:val="00546BC1"/>
    <w:rsid w:val="00547F86"/>
    <w:rsid w:val="00550457"/>
    <w:rsid w:val="0055232C"/>
    <w:rsid w:val="00553ED2"/>
    <w:rsid w:val="00556A44"/>
    <w:rsid w:val="00556A77"/>
    <w:rsid w:val="00556FA6"/>
    <w:rsid w:val="0055764E"/>
    <w:rsid w:val="00560528"/>
    <w:rsid w:val="005608A8"/>
    <w:rsid w:val="00561774"/>
    <w:rsid w:val="005617DA"/>
    <w:rsid w:val="00561923"/>
    <w:rsid w:val="0056310A"/>
    <w:rsid w:val="0056336F"/>
    <w:rsid w:val="00563C7C"/>
    <w:rsid w:val="0056404F"/>
    <w:rsid w:val="0056537E"/>
    <w:rsid w:val="0056758F"/>
    <w:rsid w:val="00567598"/>
    <w:rsid w:val="00571319"/>
    <w:rsid w:val="00571C66"/>
    <w:rsid w:val="00571D59"/>
    <w:rsid w:val="00572093"/>
    <w:rsid w:val="005725B4"/>
    <w:rsid w:val="00572E3E"/>
    <w:rsid w:val="0057420B"/>
    <w:rsid w:val="00580280"/>
    <w:rsid w:val="0058135A"/>
    <w:rsid w:val="00584058"/>
    <w:rsid w:val="005851E0"/>
    <w:rsid w:val="00585571"/>
    <w:rsid w:val="00585B91"/>
    <w:rsid w:val="0058698A"/>
    <w:rsid w:val="00586995"/>
    <w:rsid w:val="00586BF1"/>
    <w:rsid w:val="00587AF0"/>
    <w:rsid w:val="005903E4"/>
    <w:rsid w:val="0059059E"/>
    <w:rsid w:val="005909BC"/>
    <w:rsid w:val="00590C1C"/>
    <w:rsid w:val="005926BC"/>
    <w:rsid w:val="005950D6"/>
    <w:rsid w:val="00595F05"/>
    <w:rsid w:val="0059751C"/>
    <w:rsid w:val="00597919"/>
    <w:rsid w:val="005A0B9F"/>
    <w:rsid w:val="005A1F4D"/>
    <w:rsid w:val="005A2A90"/>
    <w:rsid w:val="005A2C02"/>
    <w:rsid w:val="005A3508"/>
    <w:rsid w:val="005A5B60"/>
    <w:rsid w:val="005A63D8"/>
    <w:rsid w:val="005A7DBE"/>
    <w:rsid w:val="005A7E8A"/>
    <w:rsid w:val="005B1F19"/>
    <w:rsid w:val="005B213F"/>
    <w:rsid w:val="005B3606"/>
    <w:rsid w:val="005B49B6"/>
    <w:rsid w:val="005B4A04"/>
    <w:rsid w:val="005B666B"/>
    <w:rsid w:val="005B6C14"/>
    <w:rsid w:val="005B7733"/>
    <w:rsid w:val="005B7A22"/>
    <w:rsid w:val="005C0602"/>
    <w:rsid w:val="005C1BC0"/>
    <w:rsid w:val="005C40C7"/>
    <w:rsid w:val="005C5285"/>
    <w:rsid w:val="005C58B5"/>
    <w:rsid w:val="005C643E"/>
    <w:rsid w:val="005D4CF7"/>
    <w:rsid w:val="005D5347"/>
    <w:rsid w:val="005D53C8"/>
    <w:rsid w:val="005D5CC5"/>
    <w:rsid w:val="005D61EA"/>
    <w:rsid w:val="005D787B"/>
    <w:rsid w:val="005D7B2B"/>
    <w:rsid w:val="005E04B5"/>
    <w:rsid w:val="005E12BE"/>
    <w:rsid w:val="005E3FDD"/>
    <w:rsid w:val="005E6E2A"/>
    <w:rsid w:val="005E7ECB"/>
    <w:rsid w:val="005F2EA8"/>
    <w:rsid w:val="005F64C6"/>
    <w:rsid w:val="005F784E"/>
    <w:rsid w:val="006008F1"/>
    <w:rsid w:val="00600AA1"/>
    <w:rsid w:val="00601735"/>
    <w:rsid w:val="00602761"/>
    <w:rsid w:val="00602BD2"/>
    <w:rsid w:val="00604A05"/>
    <w:rsid w:val="00605C53"/>
    <w:rsid w:val="006101EC"/>
    <w:rsid w:val="006105FE"/>
    <w:rsid w:val="0061060A"/>
    <w:rsid w:val="0061104C"/>
    <w:rsid w:val="00613C47"/>
    <w:rsid w:val="00615021"/>
    <w:rsid w:val="0061518E"/>
    <w:rsid w:val="00616201"/>
    <w:rsid w:val="00616225"/>
    <w:rsid w:val="00617A8B"/>
    <w:rsid w:val="00620445"/>
    <w:rsid w:val="00620F9D"/>
    <w:rsid w:val="00621904"/>
    <w:rsid w:val="00622316"/>
    <w:rsid w:val="00622EA6"/>
    <w:rsid w:val="00622FEA"/>
    <w:rsid w:val="00623CDF"/>
    <w:rsid w:val="00623DB1"/>
    <w:rsid w:val="00623E83"/>
    <w:rsid w:val="006245F3"/>
    <w:rsid w:val="00626576"/>
    <w:rsid w:val="006304F9"/>
    <w:rsid w:val="006319CA"/>
    <w:rsid w:val="00632434"/>
    <w:rsid w:val="00632820"/>
    <w:rsid w:val="00632BAB"/>
    <w:rsid w:val="00633AB0"/>
    <w:rsid w:val="00634D39"/>
    <w:rsid w:val="00634EC0"/>
    <w:rsid w:val="0063627F"/>
    <w:rsid w:val="00636AD2"/>
    <w:rsid w:val="006425D2"/>
    <w:rsid w:val="00642D72"/>
    <w:rsid w:val="006430E6"/>
    <w:rsid w:val="006440DC"/>
    <w:rsid w:val="006443CB"/>
    <w:rsid w:val="00644F80"/>
    <w:rsid w:val="00645874"/>
    <w:rsid w:val="00646D83"/>
    <w:rsid w:val="00650271"/>
    <w:rsid w:val="006508BE"/>
    <w:rsid w:val="0065106B"/>
    <w:rsid w:val="00651ADF"/>
    <w:rsid w:val="00652064"/>
    <w:rsid w:val="00652569"/>
    <w:rsid w:val="00652859"/>
    <w:rsid w:val="006559EB"/>
    <w:rsid w:val="006569DD"/>
    <w:rsid w:val="00661918"/>
    <w:rsid w:val="006626CE"/>
    <w:rsid w:val="00662A5A"/>
    <w:rsid w:val="00662FB7"/>
    <w:rsid w:val="006636D0"/>
    <w:rsid w:val="00664796"/>
    <w:rsid w:val="006653D7"/>
    <w:rsid w:val="00665D16"/>
    <w:rsid w:val="0066625D"/>
    <w:rsid w:val="006663B6"/>
    <w:rsid w:val="006665BA"/>
    <w:rsid w:val="0066684D"/>
    <w:rsid w:val="00666A4F"/>
    <w:rsid w:val="00666C95"/>
    <w:rsid w:val="00667D27"/>
    <w:rsid w:val="00667D28"/>
    <w:rsid w:val="006703D9"/>
    <w:rsid w:val="006738A3"/>
    <w:rsid w:val="00673BA7"/>
    <w:rsid w:val="00674A68"/>
    <w:rsid w:val="00676572"/>
    <w:rsid w:val="00680936"/>
    <w:rsid w:val="00680D8C"/>
    <w:rsid w:val="00680F89"/>
    <w:rsid w:val="006818BA"/>
    <w:rsid w:val="00681B9E"/>
    <w:rsid w:val="00682292"/>
    <w:rsid w:val="00682725"/>
    <w:rsid w:val="006827B8"/>
    <w:rsid w:val="00682ED3"/>
    <w:rsid w:val="00685494"/>
    <w:rsid w:val="00686AD3"/>
    <w:rsid w:val="006879BA"/>
    <w:rsid w:val="006901EE"/>
    <w:rsid w:val="00690A31"/>
    <w:rsid w:val="0069189B"/>
    <w:rsid w:val="0069239B"/>
    <w:rsid w:val="00692582"/>
    <w:rsid w:val="00693652"/>
    <w:rsid w:val="006939E7"/>
    <w:rsid w:val="00693D3E"/>
    <w:rsid w:val="00693DE2"/>
    <w:rsid w:val="006942F7"/>
    <w:rsid w:val="006949D4"/>
    <w:rsid w:val="006959FD"/>
    <w:rsid w:val="00696195"/>
    <w:rsid w:val="00696B0E"/>
    <w:rsid w:val="00697FD8"/>
    <w:rsid w:val="00697FE8"/>
    <w:rsid w:val="006A2150"/>
    <w:rsid w:val="006A241D"/>
    <w:rsid w:val="006A2982"/>
    <w:rsid w:val="006A3288"/>
    <w:rsid w:val="006A43E6"/>
    <w:rsid w:val="006A452D"/>
    <w:rsid w:val="006A70BE"/>
    <w:rsid w:val="006B059F"/>
    <w:rsid w:val="006B0639"/>
    <w:rsid w:val="006B2E29"/>
    <w:rsid w:val="006B6F32"/>
    <w:rsid w:val="006B7130"/>
    <w:rsid w:val="006B74B5"/>
    <w:rsid w:val="006C1004"/>
    <w:rsid w:val="006C16B0"/>
    <w:rsid w:val="006C1941"/>
    <w:rsid w:val="006C1A41"/>
    <w:rsid w:val="006C4150"/>
    <w:rsid w:val="006C5683"/>
    <w:rsid w:val="006C56C2"/>
    <w:rsid w:val="006C5E33"/>
    <w:rsid w:val="006C5E48"/>
    <w:rsid w:val="006C6434"/>
    <w:rsid w:val="006C6639"/>
    <w:rsid w:val="006C6CD8"/>
    <w:rsid w:val="006D013F"/>
    <w:rsid w:val="006D017F"/>
    <w:rsid w:val="006D12B6"/>
    <w:rsid w:val="006D1D3F"/>
    <w:rsid w:val="006D253B"/>
    <w:rsid w:val="006D262F"/>
    <w:rsid w:val="006D4C8F"/>
    <w:rsid w:val="006D4DE8"/>
    <w:rsid w:val="006D57CB"/>
    <w:rsid w:val="006D5AA9"/>
    <w:rsid w:val="006D6CDD"/>
    <w:rsid w:val="006E2009"/>
    <w:rsid w:val="006E367F"/>
    <w:rsid w:val="006E4238"/>
    <w:rsid w:val="006E563F"/>
    <w:rsid w:val="006E7404"/>
    <w:rsid w:val="006E7B97"/>
    <w:rsid w:val="006F19B0"/>
    <w:rsid w:val="006F2627"/>
    <w:rsid w:val="006F3F77"/>
    <w:rsid w:val="006F4D10"/>
    <w:rsid w:val="006F5031"/>
    <w:rsid w:val="006F6D4C"/>
    <w:rsid w:val="006F6E67"/>
    <w:rsid w:val="006F7157"/>
    <w:rsid w:val="006F78E0"/>
    <w:rsid w:val="006F7E41"/>
    <w:rsid w:val="00701604"/>
    <w:rsid w:val="00702B1B"/>
    <w:rsid w:val="00703865"/>
    <w:rsid w:val="00704164"/>
    <w:rsid w:val="0070619F"/>
    <w:rsid w:val="00706282"/>
    <w:rsid w:val="00706A58"/>
    <w:rsid w:val="007110E1"/>
    <w:rsid w:val="00714394"/>
    <w:rsid w:val="00716162"/>
    <w:rsid w:val="00716BDE"/>
    <w:rsid w:val="00721C26"/>
    <w:rsid w:val="00721F7E"/>
    <w:rsid w:val="007221FA"/>
    <w:rsid w:val="0072242F"/>
    <w:rsid w:val="00722E29"/>
    <w:rsid w:val="007238B5"/>
    <w:rsid w:val="00724606"/>
    <w:rsid w:val="00724E85"/>
    <w:rsid w:val="00725595"/>
    <w:rsid w:val="007258E3"/>
    <w:rsid w:val="00731391"/>
    <w:rsid w:val="007322CD"/>
    <w:rsid w:val="0073313B"/>
    <w:rsid w:val="00734887"/>
    <w:rsid w:val="0073559C"/>
    <w:rsid w:val="007365B6"/>
    <w:rsid w:val="007401E2"/>
    <w:rsid w:val="00740C05"/>
    <w:rsid w:val="007411E5"/>
    <w:rsid w:val="00743E8F"/>
    <w:rsid w:val="007443E6"/>
    <w:rsid w:val="0074573A"/>
    <w:rsid w:val="007463F8"/>
    <w:rsid w:val="00746951"/>
    <w:rsid w:val="0074791E"/>
    <w:rsid w:val="0075115D"/>
    <w:rsid w:val="00751A33"/>
    <w:rsid w:val="00752220"/>
    <w:rsid w:val="00752609"/>
    <w:rsid w:val="00753890"/>
    <w:rsid w:val="0075543C"/>
    <w:rsid w:val="007555DF"/>
    <w:rsid w:val="007567E2"/>
    <w:rsid w:val="00756F15"/>
    <w:rsid w:val="007574AA"/>
    <w:rsid w:val="00761434"/>
    <w:rsid w:val="00761FD5"/>
    <w:rsid w:val="00764B86"/>
    <w:rsid w:val="00765DD8"/>
    <w:rsid w:val="007662F4"/>
    <w:rsid w:val="007664FE"/>
    <w:rsid w:val="00766D36"/>
    <w:rsid w:val="00766E5A"/>
    <w:rsid w:val="00767607"/>
    <w:rsid w:val="00770CB5"/>
    <w:rsid w:val="00773874"/>
    <w:rsid w:val="00774EDC"/>
    <w:rsid w:val="00777E7A"/>
    <w:rsid w:val="007806A0"/>
    <w:rsid w:val="00780F0B"/>
    <w:rsid w:val="0078243A"/>
    <w:rsid w:val="00782662"/>
    <w:rsid w:val="007840F3"/>
    <w:rsid w:val="00785491"/>
    <w:rsid w:val="007858C0"/>
    <w:rsid w:val="007861D5"/>
    <w:rsid w:val="0078679A"/>
    <w:rsid w:val="00786CBC"/>
    <w:rsid w:val="00792447"/>
    <w:rsid w:val="00794C93"/>
    <w:rsid w:val="007950C7"/>
    <w:rsid w:val="0079694C"/>
    <w:rsid w:val="007A374D"/>
    <w:rsid w:val="007A4A53"/>
    <w:rsid w:val="007A4E17"/>
    <w:rsid w:val="007A65C1"/>
    <w:rsid w:val="007A74A5"/>
    <w:rsid w:val="007A7F6D"/>
    <w:rsid w:val="007B0FBD"/>
    <w:rsid w:val="007B17F5"/>
    <w:rsid w:val="007B1BAF"/>
    <w:rsid w:val="007B2F76"/>
    <w:rsid w:val="007B35F7"/>
    <w:rsid w:val="007B382E"/>
    <w:rsid w:val="007B4F72"/>
    <w:rsid w:val="007B7077"/>
    <w:rsid w:val="007C0E04"/>
    <w:rsid w:val="007C20F6"/>
    <w:rsid w:val="007C25ED"/>
    <w:rsid w:val="007C2827"/>
    <w:rsid w:val="007C33E9"/>
    <w:rsid w:val="007C3A26"/>
    <w:rsid w:val="007C3B0A"/>
    <w:rsid w:val="007C4A36"/>
    <w:rsid w:val="007C4CE1"/>
    <w:rsid w:val="007C597D"/>
    <w:rsid w:val="007C5E64"/>
    <w:rsid w:val="007C6F74"/>
    <w:rsid w:val="007C74E5"/>
    <w:rsid w:val="007C75EE"/>
    <w:rsid w:val="007C7BD7"/>
    <w:rsid w:val="007C7F57"/>
    <w:rsid w:val="007D0003"/>
    <w:rsid w:val="007D0E43"/>
    <w:rsid w:val="007D13E7"/>
    <w:rsid w:val="007D1E37"/>
    <w:rsid w:val="007D563E"/>
    <w:rsid w:val="007D5FC1"/>
    <w:rsid w:val="007D715A"/>
    <w:rsid w:val="007E0956"/>
    <w:rsid w:val="007E0E9E"/>
    <w:rsid w:val="007E1760"/>
    <w:rsid w:val="007E21FB"/>
    <w:rsid w:val="007E237E"/>
    <w:rsid w:val="007E3A17"/>
    <w:rsid w:val="007E420B"/>
    <w:rsid w:val="007E4932"/>
    <w:rsid w:val="007E502C"/>
    <w:rsid w:val="007E5BD7"/>
    <w:rsid w:val="007E5C11"/>
    <w:rsid w:val="007E75F0"/>
    <w:rsid w:val="007E7968"/>
    <w:rsid w:val="007F013A"/>
    <w:rsid w:val="007F2D90"/>
    <w:rsid w:val="007F2E3A"/>
    <w:rsid w:val="007F4F82"/>
    <w:rsid w:val="007F51D4"/>
    <w:rsid w:val="007F5E16"/>
    <w:rsid w:val="007F7963"/>
    <w:rsid w:val="008011DC"/>
    <w:rsid w:val="00802FF0"/>
    <w:rsid w:val="008038A4"/>
    <w:rsid w:val="00803B66"/>
    <w:rsid w:val="00803F32"/>
    <w:rsid w:val="00804653"/>
    <w:rsid w:val="00804BF6"/>
    <w:rsid w:val="00804C13"/>
    <w:rsid w:val="00806041"/>
    <w:rsid w:val="00806A84"/>
    <w:rsid w:val="00807C6C"/>
    <w:rsid w:val="00807C84"/>
    <w:rsid w:val="00807EAC"/>
    <w:rsid w:val="00810B5A"/>
    <w:rsid w:val="0081340B"/>
    <w:rsid w:val="00813FF6"/>
    <w:rsid w:val="00817BB4"/>
    <w:rsid w:val="00817C18"/>
    <w:rsid w:val="00820503"/>
    <w:rsid w:val="00821021"/>
    <w:rsid w:val="0082103F"/>
    <w:rsid w:val="008214BB"/>
    <w:rsid w:val="00821B48"/>
    <w:rsid w:val="00821B58"/>
    <w:rsid w:val="00822D4E"/>
    <w:rsid w:val="00823222"/>
    <w:rsid w:val="008233A6"/>
    <w:rsid w:val="00826F4C"/>
    <w:rsid w:val="0083096B"/>
    <w:rsid w:val="00834991"/>
    <w:rsid w:val="00835BA1"/>
    <w:rsid w:val="008377DA"/>
    <w:rsid w:val="008401A7"/>
    <w:rsid w:val="00843766"/>
    <w:rsid w:val="00845A15"/>
    <w:rsid w:val="0084632F"/>
    <w:rsid w:val="00846AFA"/>
    <w:rsid w:val="008473C3"/>
    <w:rsid w:val="00852785"/>
    <w:rsid w:val="00853025"/>
    <w:rsid w:val="00855B06"/>
    <w:rsid w:val="00855EF0"/>
    <w:rsid w:val="0085620E"/>
    <w:rsid w:val="00857D29"/>
    <w:rsid w:val="00860060"/>
    <w:rsid w:val="00860D06"/>
    <w:rsid w:val="008623BC"/>
    <w:rsid w:val="008629A8"/>
    <w:rsid w:val="00862FEB"/>
    <w:rsid w:val="00863DEF"/>
    <w:rsid w:val="008660F7"/>
    <w:rsid w:val="0086646A"/>
    <w:rsid w:val="00870CB6"/>
    <w:rsid w:val="008710E8"/>
    <w:rsid w:val="00871311"/>
    <w:rsid w:val="00873514"/>
    <w:rsid w:val="00873730"/>
    <w:rsid w:val="008738A4"/>
    <w:rsid w:val="00873FEA"/>
    <w:rsid w:val="0087419B"/>
    <w:rsid w:val="00874592"/>
    <w:rsid w:val="008776D4"/>
    <w:rsid w:val="00877936"/>
    <w:rsid w:val="008818F6"/>
    <w:rsid w:val="008833C3"/>
    <w:rsid w:val="0088398E"/>
    <w:rsid w:val="008839A9"/>
    <w:rsid w:val="00885182"/>
    <w:rsid w:val="008858E3"/>
    <w:rsid w:val="00886776"/>
    <w:rsid w:val="0088798E"/>
    <w:rsid w:val="00887E02"/>
    <w:rsid w:val="00891106"/>
    <w:rsid w:val="00891AB0"/>
    <w:rsid w:val="00893479"/>
    <w:rsid w:val="00896884"/>
    <w:rsid w:val="00897A5D"/>
    <w:rsid w:val="008A0D86"/>
    <w:rsid w:val="008A0F85"/>
    <w:rsid w:val="008A1957"/>
    <w:rsid w:val="008A1C47"/>
    <w:rsid w:val="008A37A4"/>
    <w:rsid w:val="008A5290"/>
    <w:rsid w:val="008A52EC"/>
    <w:rsid w:val="008A593A"/>
    <w:rsid w:val="008A6C5A"/>
    <w:rsid w:val="008B2032"/>
    <w:rsid w:val="008B28C8"/>
    <w:rsid w:val="008B29D0"/>
    <w:rsid w:val="008B2DF3"/>
    <w:rsid w:val="008B376A"/>
    <w:rsid w:val="008B7220"/>
    <w:rsid w:val="008B72EB"/>
    <w:rsid w:val="008C08A5"/>
    <w:rsid w:val="008C1DD7"/>
    <w:rsid w:val="008C2582"/>
    <w:rsid w:val="008C5770"/>
    <w:rsid w:val="008C64E3"/>
    <w:rsid w:val="008C6978"/>
    <w:rsid w:val="008C7C0B"/>
    <w:rsid w:val="008D0CB3"/>
    <w:rsid w:val="008D0D1E"/>
    <w:rsid w:val="008D0FD7"/>
    <w:rsid w:val="008D10BC"/>
    <w:rsid w:val="008D6DF0"/>
    <w:rsid w:val="008E14EA"/>
    <w:rsid w:val="008E1E54"/>
    <w:rsid w:val="008E221C"/>
    <w:rsid w:val="008E3C88"/>
    <w:rsid w:val="008E3F00"/>
    <w:rsid w:val="008E406F"/>
    <w:rsid w:val="008E4F22"/>
    <w:rsid w:val="008E6FCB"/>
    <w:rsid w:val="008E78F2"/>
    <w:rsid w:val="008F022C"/>
    <w:rsid w:val="008F0D6A"/>
    <w:rsid w:val="008F1645"/>
    <w:rsid w:val="008F1BB9"/>
    <w:rsid w:val="008F3B22"/>
    <w:rsid w:val="008F5181"/>
    <w:rsid w:val="008F6622"/>
    <w:rsid w:val="009001CB"/>
    <w:rsid w:val="009012A3"/>
    <w:rsid w:val="00901DE1"/>
    <w:rsid w:val="00903BC3"/>
    <w:rsid w:val="00903F34"/>
    <w:rsid w:val="009041E5"/>
    <w:rsid w:val="009054E0"/>
    <w:rsid w:val="009076CC"/>
    <w:rsid w:val="009112BB"/>
    <w:rsid w:val="00911E3E"/>
    <w:rsid w:val="00912115"/>
    <w:rsid w:val="00912859"/>
    <w:rsid w:val="00914C1B"/>
    <w:rsid w:val="00916225"/>
    <w:rsid w:val="0091746C"/>
    <w:rsid w:val="009207DB"/>
    <w:rsid w:val="00922024"/>
    <w:rsid w:val="0092259F"/>
    <w:rsid w:val="00922823"/>
    <w:rsid w:val="00923D4B"/>
    <w:rsid w:val="00925501"/>
    <w:rsid w:val="00925D9A"/>
    <w:rsid w:val="00926982"/>
    <w:rsid w:val="00926FAC"/>
    <w:rsid w:val="009270C4"/>
    <w:rsid w:val="009316C4"/>
    <w:rsid w:val="00933DFB"/>
    <w:rsid w:val="00934401"/>
    <w:rsid w:val="00934621"/>
    <w:rsid w:val="00935C0B"/>
    <w:rsid w:val="009364D3"/>
    <w:rsid w:val="0093740C"/>
    <w:rsid w:val="0093740F"/>
    <w:rsid w:val="00937B4A"/>
    <w:rsid w:val="00937C1D"/>
    <w:rsid w:val="00940FC3"/>
    <w:rsid w:val="0094131D"/>
    <w:rsid w:val="00941FAA"/>
    <w:rsid w:val="00942120"/>
    <w:rsid w:val="009425F7"/>
    <w:rsid w:val="00942DEC"/>
    <w:rsid w:val="00944BF0"/>
    <w:rsid w:val="00944C25"/>
    <w:rsid w:val="009453CC"/>
    <w:rsid w:val="00945A91"/>
    <w:rsid w:val="00946136"/>
    <w:rsid w:val="00947046"/>
    <w:rsid w:val="00947EFF"/>
    <w:rsid w:val="00947F64"/>
    <w:rsid w:val="0095031F"/>
    <w:rsid w:val="00952842"/>
    <w:rsid w:val="00952AE2"/>
    <w:rsid w:val="00954282"/>
    <w:rsid w:val="00954427"/>
    <w:rsid w:val="00956683"/>
    <w:rsid w:val="00956DC3"/>
    <w:rsid w:val="00960EA8"/>
    <w:rsid w:val="00963662"/>
    <w:rsid w:val="00965047"/>
    <w:rsid w:val="009660A0"/>
    <w:rsid w:val="0096797D"/>
    <w:rsid w:val="00973C2E"/>
    <w:rsid w:val="00973E84"/>
    <w:rsid w:val="00974307"/>
    <w:rsid w:val="00974A5F"/>
    <w:rsid w:val="00975C75"/>
    <w:rsid w:val="009807E0"/>
    <w:rsid w:val="0098177A"/>
    <w:rsid w:val="009820D6"/>
    <w:rsid w:val="00983EFD"/>
    <w:rsid w:val="00986257"/>
    <w:rsid w:val="00986861"/>
    <w:rsid w:val="00987CBC"/>
    <w:rsid w:val="00990028"/>
    <w:rsid w:val="009921CF"/>
    <w:rsid w:val="009926AB"/>
    <w:rsid w:val="00993A2E"/>
    <w:rsid w:val="0099502D"/>
    <w:rsid w:val="00995768"/>
    <w:rsid w:val="00996326"/>
    <w:rsid w:val="009967C7"/>
    <w:rsid w:val="00996D0D"/>
    <w:rsid w:val="00997D43"/>
    <w:rsid w:val="009A07D5"/>
    <w:rsid w:val="009A3970"/>
    <w:rsid w:val="009A44E8"/>
    <w:rsid w:val="009A7CE0"/>
    <w:rsid w:val="009B1DA5"/>
    <w:rsid w:val="009B1F5C"/>
    <w:rsid w:val="009B28FD"/>
    <w:rsid w:val="009B2AD6"/>
    <w:rsid w:val="009B4C84"/>
    <w:rsid w:val="009B5594"/>
    <w:rsid w:val="009B6AF2"/>
    <w:rsid w:val="009B729E"/>
    <w:rsid w:val="009B7498"/>
    <w:rsid w:val="009C14AD"/>
    <w:rsid w:val="009C1E35"/>
    <w:rsid w:val="009C2E70"/>
    <w:rsid w:val="009C3D84"/>
    <w:rsid w:val="009C5B08"/>
    <w:rsid w:val="009C5FDE"/>
    <w:rsid w:val="009C6099"/>
    <w:rsid w:val="009C6872"/>
    <w:rsid w:val="009C7B1D"/>
    <w:rsid w:val="009D03F1"/>
    <w:rsid w:val="009D090D"/>
    <w:rsid w:val="009D14D6"/>
    <w:rsid w:val="009D1CF4"/>
    <w:rsid w:val="009D234F"/>
    <w:rsid w:val="009D380F"/>
    <w:rsid w:val="009D3919"/>
    <w:rsid w:val="009D496C"/>
    <w:rsid w:val="009D57A7"/>
    <w:rsid w:val="009D6D94"/>
    <w:rsid w:val="009E02C6"/>
    <w:rsid w:val="009E16FB"/>
    <w:rsid w:val="009E218C"/>
    <w:rsid w:val="009E5690"/>
    <w:rsid w:val="009E6DD0"/>
    <w:rsid w:val="009E75BF"/>
    <w:rsid w:val="009E7B67"/>
    <w:rsid w:val="009E7C0E"/>
    <w:rsid w:val="009E7CF9"/>
    <w:rsid w:val="009F0BD9"/>
    <w:rsid w:val="009F10ED"/>
    <w:rsid w:val="009F16C7"/>
    <w:rsid w:val="009F2035"/>
    <w:rsid w:val="009F33FA"/>
    <w:rsid w:val="009F4C9B"/>
    <w:rsid w:val="009F5324"/>
    <w:rsid w:val="00A00EB4"/>
    <w:rsid w:val="00A01C1F"/>
    <w:rsid w:val="00A01C98"/>
    <w:rsid w:val="00A06A54"/>
    <w:rsid w:val="00A07077"/>
    <w:rsid w:val="00A078FA"/>
    <w:rsid w:val="00A10423"/>
    <w:rsid w:val="00A13C2D"/>
    <w:rsid w:val="00A14073"/>
    <w:rsid w:val="00A15A52"/>
    <w:rsid w:val="00A22A18"/>
    <w:rsid w:val="00A2486B"/>
    <w:rsid w:val="00A25D45"/>
    <w:rsid w:val="00A261F6"/>
    <w:rsid w:val="00A276FF"/>
    <w:rsid w:val="00A27761"/>
    <w:rsid w:val="00A27EE1"/>
    <w:rsid w:val="00A3028A"/>
    <w:rsid w:val="00A309A0"/>
    <w:rsid w:val="00A3115A"/>
    <w:rsid w:val="00A31ECA"/>
    <w:rsid w:val="00A32211"/>
    <w:rsid w:val="00A324EA"/>
    <w:rsid w:val="00A32652"/>
    <w:rsid w:val="00A33395"/>
    <w:rsid w:val="00A338A8"/>
    <w:rsid w:val="00A34114"/>
    <w:rsid w:val="00A34C81"/>
    <w:rsid w:val="00A34E19"/>
    <w:rsid w:val="00A40D0C"/>
    <w:rsid w:val="00A41302"/>
    <w:rsid w:val="00A419FF"/>
    <w:rsid w:val="00A41C59"/>
    <w:rsid w:val="00A430AF"/>
    <w:rsid w:val="00A4316F"/>
    <w:rsid w:val="00A44343"/>
    <w:rsid w:val="00A46690"/>
    <w:rsid w:val="00A47029"/>
    <w:rsid w:val="00A50299"/>
    <w:rsid w:val="00A5120A"/>
    <w:rsid w:val="00A52019"/>
    <w:rsid w:val="00A522F8"/>
    <w:rsid w:val="00A52DC5"/>
    <w:rsid w:val="00A54218"/>
    <w:rsid w:val="00A54DEA"/>
    <w:rsid w:val="00A5510E"/>
    <w:rsid w:val="00A559F4"/>
    <w:rsid w:val="00A5619E"/>
    <w:rsid w:val="00A56547"/>
    <w:rsid w:val="00A570E0"/>
    <w:rsid w:val="00A606A0"/>
    <w:rsid w:val="00A61263"/>
    <w:rsid w:val="00A614AD"/>
    <w:rsid w:val="00A61607"/>
    <w:rsid w:val="00A61886"/>
    <w:rsid w:val="00A63D89"/>
    <w:rsid w:val="00A65127"/>
    <w:rsid w:val="00A66E04"/>
    <w:rsid w:val="00A671B3"/>
    <w:rsid w:val="00A67E6C"/>
    <w:rsid w:val="00A70320"/>
    <w:rsid w:val="00A7331D"/>
    <w:rsid w:val="00A750C1"/>
    <w:rsid w:val="00A76063"/>
    <w:rsid w:val="00A76BCE"/>
    <w:rsid w:val="00A77139"/>
    <w:rsid w:val="00A771BF"/>
    <w:rsid w:val="00A77AEC"/>
    <w:rsid w:val="00A8052C"/>
    <w:rsid w:val="00A80C37"/>
    <w:rsid w:val="00A81953"/>
    <w:rsid w:val="00A82B34"/>
    <w:rsid w:val="00A83DEB"/>
    <w:rsid w:val="00A85BD2"/>
    <w:rsid w:val="00A85CF2"/>
    <w:rsid w:val="00A861F3"/>
    <w:rsid w:val="00A87FB1"/>
    <w:rsid w:val="00A90789"/>
    <w:rsid w:val="00A90DB1"/>
    <w:rsid w:val="00A9147B"/>
    <w:rsid w:val="00A91974"/>
    <w:rsid w:val="00A91BA8"/>
    <w:rsid w:val="00A91EDB"/>
    <w:rsid w:val="00A91EF1"/>
    <w:rsid w:val="00A91EF2"/>
    <w:rsid w:val="00A9325C"/>
    <w:rsid w:val="00A9509A"/>
    <w:rsid w:val="00A96FC6"/>
    <w:rsid w:val="00A97B61"/>
    <w:rsid w:val="00A97F51"/>
    <w:rsid w:val="00AA01DA"/>
    <w:rsid w:val="00AA0AE8"/>
    <w:rsid w:val="00AA3077"/>
    <w:rsid w:val="00AA31CC"/>
    <w:rsid w:val="00AA38AF"/>
    <w:rsid w:val="00AA450C"/>
    <w:rsid w:val="00AA60C6"/>
    <w:rsid w:val="00AA6D7D"/>
    <w:rsid w:val="00AA7F68"/>
    <w:rsid w:val="00AB1287"/>
    <w:rsid w:val="00AB1CE8"/>
    <w:rsid w:val="00AB6DFC"/>
    <w:rsid w:val="00AB7AC0"/>
    <w:rsid w:val="00AC3DB7"/>
    <w:rsid w:val="00AC41EB"/>
    <w:rsid w:val="00AC4D32"/>
    <w:rsid w:val="00AC7260"/>
    <w:rsid w:val="00AC7899"/>
    <w:rsid w:val="00AD2035"/>
    <w:rsid w:val="00AD20F8"/>
    <w:rsid w:val="00AD2CDD"/>
    <w:rsid w:val="00AD54F4"/>
    <w:rsid w:val="00AD6627"/>
    <w:rsid w:val="00AD752F"/>
    <w:rsid w:val="00AD7ECC"/>
    <w:rsid w:val="00AD7EE5"/>
    <w:rsid w:val="00AE41F2"/>
    <w:rsid w:val="00AE55BC"/>
    <w:rsid w:val="00AE62CB"/>
    <w:rsid w:val="00AE686D"/>
    <w:rsid w:val="00AE6B27"/>
    <w:rsid w:val="00AE6F87"/>
    <w:rsid w:val="00AF013A"/>
    <w:rsid w:val="00AF0F96"/>
    <w:rsid w:val="00AF1D3F"/>
    <w:rsid w:val="00AF21D7"/>
    <w:rsid w:val="00AF28EB"/>
    <w:rsid w:val="00AF36B6"/>
    <w:rsid w:val="00AF4715"/>
    <w:rsid w:val="00AF4803"/>
    <w:rsid w:val="00AF62ED"/>
    <w:rsid w:val="00AF6A12"/>
    <w:rsid w:val="00B0091F"/>
    <w:rsid w:val="00B00ED5"/>
    <w:rsid w:val="00B01A1E"/>
    <w:rsid w:val="00B01ED2"/>
    <w:rsid w:val="00B02804"/>
    <w:rsid w:val="00B02BF0"/>
    <w:rsid w:val="00B03AB4"/>
    <w:rsid w:val="00B05B91"/>
    <w:rsid w:val="00B069CE"/>
    <w:rsid w:val="00B077CC"/>
    <w:rsid w:val="00B07DCF"/>
    <w:rsid w:val="00B10F25"/>
    <w:rsid w:val="00B130EB"/>
    <w:rsid w:val="00B13227"/>
    <w:rsid w:val="00B15731"/>
    <w:rsid w:val="00B15BB2"/>
    <w:rsid w:val="00B21726"/>
    <w:rsid w:val="00B21824"/>
    <w:rsid w:val="00B233FA"/>
    <w:rsid w:val="00B27A6D"/>
    <w:rsid w:val="00B322AB"/>
    <w:rsid w:val="00B34AE5"/>
    <w:rsid w:val="00B34F22"/>
    <w:rsid w:val="00B371F8"/>
    <w:rsid w:val="00B372C4"/>
    <w:rsid w:val="00B42644"/>
    <w:rsid w:val="00B4268E"/>
    <w:rsid w:val="00B42825"/>
    <w:rsid w:val="00B42C20"/>
    <w:rsid w:val="00B43938"/>
    <w:rsid w:val="00B50ECC"/>
    <w:rsid w:val="00B510F9"/>
    <w:rsid w:val="00B53440"/>
    <w:rsid w:val="00B539EB"/>
    <w:rsid w:val="00B542F2"/>
    <w:rsid w:val="00B544D9"/>
    <w:rsid w:val="00B576E1"/>
    <w:rsid w:val="00B577DA"/>
    <w:rsid w:val="00B608F1"/>
    <w:rsid w:val="00B60F79"/>
    <w:rsid w:val="00B6150A"/>
    <w:rsid w:val="00B62A80"/>
    <w:rsid w:val="00B63B4A"/>
    <w:rsid w:val="00B63DD3"/>
    <w:rsid w:val="00B673CA"/>
    <w:rsid w:val="00B7117A"/>
    <w:rsid w:val="00B72053"/>
    <w:rsid w:val="00B7370D"/>
    <w:rsid w:val="00B73DAD"/>
    <w:rsid w:val="00B75D3F"/>
    <w:rsid w:val="00B77723"/>
    <w:rsid w:val="00B80404"/>
    <w:rsid w:val="00B80FB4"/>
    <w:rsid w:val="00B815D3"/>
    <w:rsid w:val="00B843A1"/>
    <w:rsid w:val="00B845BA"/>
    <w:rsid w:val="00B8502F"/>
    <w:rsid w:val="00B868D6"/>
    <w:rsid w:val="00B8748B"/>
    <w:rsid w:val="00B87B55"/>
    <w:rsid w:val="00B9065F"/>
    <w:rsid w:val="00B9082C"/>
    <w:rsid w:val="00B9116C"/>
    <w:rsid w:val="00B91818"/>
    <w:rsid w:val="00B93EBF"/>
    <w:rsid w:val="00B94045"/>
    <w:rsid w:val="00B9480C"/>
    <w:rsid w:val="00B94AE5"/>
    <w:rsid w:val="00B94BE5"/>
    <w:rsid w:val="00B95AB4"/>
    <w:rsid w:val="00B97E47"/>
    <w:rsid w:val="00BA0A76"/>
    <w:rsid w:val="00BA1197"/>
    <w:rsid w:val="00BA20C2"/>
    <w:rsid w:val="00BA280D"/>
    <w:rsid w:val="00BA30FE"/>
    <w:rsid w:val="00BA42EA"/>
    <w:rsid w:val="00BA7890"/>
    <w:rsid w:val="00BB0423"/>
    <w:rsid w:val="00BB4484"/>
    <w:rsid w:val="00BB6ECF"/>
    <w:rsid w:val="00BB725F"/>
    <w:rsid w:val="00BB74B3"/>
    <w:rsid w:val="00BB7671"/>
    <w:rsid w:val="00BB777A"/>
    <w:rsid w:val="00BC1765"/>
    <w:rsid w:val="00BC178F"/>
    <w:rsid w:val="00BC263E"/>
    <w:rsid w:val="00BC4B00"/>
    <w:rsid w:val="00BC50C9"/>
    <w:rsid w:val="00BC5454"/>
    <w:rsid w:val="00BC56EB"/>
    <w:rsid w:val="00BD0B34"/>
    <w:rsid w:val="00BD219A"/>
    <w:rsid w:val="00BD2C42"/>
    <w:rsid w:val="00BD4BA7"/>
    <w:rsid w:val="00BD68E3"/>
    <w:rsid w:val="00BD6EF9"/>
    <w:rsid w:val="00BD754C"/>
    <w:rsid w:val="00BD7B4F"/>
    <w:rsid w:val="00BE20F5"/>
    <w:rsid w:val="00BE2683"/>
    <w:rsid w:val="00BE40DE"/>
    <w:rsid w:val="00BE60B2"/>
    <w:rsid w:val="00BE682A"/>
    <w:rsid w:val="00BE6EA3"/>
    <w:rsid w:val="00BE72FD"/>
    <w:rsid w:val="00BF1952"/>
    <w:rsid w:val="00BF1EF8"/>
    <w:rsid w:val="00BF2DE5"/>
    <w:rsid w:val="00BF2E83"/>
    <w:rsid w:val="00BF4C49"/>
    <w:rsid w:val="00BF5BBB"/>
    <w:rsid w:val="00BF6338"/>
    <w:rsid w:val="00BF6956"/>
    <w:rsid w:val="00BF6A08"/>
    <w:rsid w:val="00BF6D56"/>
    <w:rsid w:val="00C00416"/>
    <w:rsid w:val="00C0074C"/>
    <w:rsid w:val="00C00D03"/>
    <w:rsid w:val="00C01DFC"/>
    <w:rsid w:val="00C0282B"/>
    <w:rsid w:val="00C039AD"/>
    <w:rsid w:val="00C05CE6"/>
    <w:rsid w:val="00C067E0"/>
    <w:rsid w:val="00C07605"/>
    <w:rsid w:val="00C1025D"/>
    <w:rsid w:val="00C12D93"/>
    <w:rsid w:val="00C12EE2"/>
    <w:rsid w:val="00C1336A"/>
    <w:rsid w:val="00C139DE"/>
    <w:rsid w:val="00C13B55"/>
    <w:rsid w:val="00C17CFB"/>
    <w:rsid w:val="00C21275"/>
    <w:rsid w:val="00C21498"/>
    <w:rsid w:val="00C22B54"/>
    <w:rsid w:val="00C23520"/>
    <w:rsid w:val="00C238CA"/>
    <w:rsid w:val="00C24E0D"/>
    <w:rsid w:val="00C25082"/>
    <w:rsid w:val="00C265D4"/>
    <w:rsid w:val="00C265E1"/>
    <w:rsid w:val="00C275FC"/>
    <w:rsid w:val="00C30145"/>
    <w:rsid w:val="00C30D84"/>
    <w:rsid w:val="00C311E7"/>
    <w:rsid w:val="00C317A7"/>
    <w:rsid w:val="00C32E69"/>
    <w:rsid w:val="00C33AEC"/>
    <w:rsid w:val="00C3648D"/>
    <w:rsid w:val="00C3742C"/>
    <w:rsid w:val="00C377FC"/>
    <w:rsid w:val="00C40CA9"/>
    <w:rsid w:val="00C410D2"/>
    <w:rsid w:val="00C42A78"/>
    <w:rsid w:val="00C437D6"/>
    <w:rsid w:val="00C4601D"/>
    <w:rsid w:val="00C51927"/>
    <w:rsid w:val="00C51CCA"/>
    <w:rsid w:val="00C524F4"/>
    <w:rsid w:val="00C533F6"/>
    <w:rsid w:val="00C54473"/>
    <w:rsid w:val="00C55D94"/>
    <w:rsid w:val="00C56D5B"/>
    <w:rsid w:val="00C57582"/>
    <w:rsid w:val="00C57C81"/>
    <w:rsid w:val="00C608EF"/>
    <w:rsid w:val="00C612BB"/>
    <w:rsid w:val="00C612BF"/>
    <w:rsid w:val="00C61302"/>
    <w:rsid w:val="00C6207E"/>
    <w:rsid w:val="00C62BF2"/>
    <w:rsid w:val="00C637EF"/>
    <w:rsid w:val="00C64FAE"/>
    <w:rsid w:val="00C66344"/>
    <w:rsid w:val="00C674F7"/>
    <w:rsid w:val="00C67B2F"/>
    <w:rsid w:val="00C706C4"/>
    <w:rsid w:val="00C731E1"/>
    <w:rsid w:val="00C73686"/>
    <w:rsid w:val="00C745D7"/>
    <w:rsid w:val="00C75001"/>
    <w:rsid w:val="00C75CB5"/>
    <w:rsid w:val="00C76B47"/>
    <w:rsid w:val="00C7702A"/>
    <w:rsid w:val="00C773C8"/>
    <w:rsid w:val="00C80A25"/>
    <w:rsid w:val="00C81003"/>
    <w:rsid w:val="00C82930"/>
    <w:rsid w:val="00C8531E"/>
    <w:rsid w:val="00C85B6C"/>
    <w:rsid w:val="00C85BEA"/>
    <w:rsid w:val="00C86033"/>
    <w:rsid w:val="00C86BFE"/>
    <w:rsid w:val="00C86D8A"/>
    <w:rsid w:val="00C900B0"/>
    <w:rsid w:val="00C9080B"/>
    <w:rsid w:val="00C90EF9"/>
    <w:rsid w:val="00C920CA"/>
    <w:rsid w:val="00C92931"/>
    <w:rsid w:val="00C92949"/>
    <w:rsid w:val="00C9312F"/>
    <w:rsid w:val="00C9359C"/>
    <w:rsid w:val="00C951B9"/>
    <w:rsid w:val="00C95ED6"/>
    <w:rsid w:val="00C95F91"/>
    <w:rsid w:val="00C979C3"/>
    <w:rsid w:val="00CA0EE8"/>
    <w:rsid w:val="00CA1FB0"/>
    <w:rsid w:val="00CA24D1"/>
    <w:rsid w:val="00CA39CC"/>
    <w:rsid w:val="00CA4631"/>
    <w:rsid w:val="00CA4743"/>
    <w:rsid w:val="00CA5A97"/>
    <w:rsid w:val="00CA67D8"/>
    <w:rsid w:val="00CA6AE5"/>
    <w:rsid w:val="00CA6E58"/>
    <w:rsid w:val="00CA729B"/>
    <w:rsid w:val="00CA735E"/>
    <w:rsid w:val="00CB138F"/>
    <w:rsid w:val="00CB13E0"/>
    <w:rsid w:val="00CB154C"/>
    <w:rsid w:val="00CB1740"/>
    <w:rsid w:val="00CB1B5F"/>
    <w:rsid w:val="00CB2161"/>
    <w:rsid w:val="00CB3914"/>
    <w:rsid w:val="00CB479F"/>
    <w:rsid w:val="00CB76B8"/>
    <w:rsid w:val="00CB7703"/>
    <w:rsid w:val="00CB77EE"/>
    <w:rsid w:val="00CB783B"/>
    <w:rsid w:val="00CB7DB5"/>
    <w:rsid w:val="00CC02F0"/>
    <w:rsid w:val="00CC2803"/>
    <w:rsid w:val="00CC295E"/>
    <w:rsid w:val="00CC29C8"/>
    <w:rsid w:val="00CC2BEB"/>
    <w:rsid w:val="00CC4932"/>
    <w:rsid w:val="00CC6183"/>
    <w:rsid w:val="00CC707F"/>
    <w:rsid w:val="00CC73D3"/>
    <w:rsid w:val="00CC79CD"/>
    <w:rsid w:val="00CD0F20"/>
    <w:rsid w:val="00CD1086"/>
    <w:rsid w:val="00CD1841"/>
    <w:rsid w:val="00CD1BF1"/>
    <w:rsid w:val="00CD21E7"/>
    <w:rsid w:val="00CD22B1"/>
    <w:rsid w:val="00CD27CD"/>
    <w:rsid w:val="00CD4BF8"/>
    <w:rsid w:val="00CD68DD"/>
    <w:rsid w:val="00CD75B4"/>
    <w:rsid w:val="00CD7B8B"/>
    <w:rsid w:val="00CE08EA"/>
    <w:rsid w:val="00CE1D23"/>
    <w:rsid w:val="00CE29F2"/>
    <w:rsid w:val="00CE2B04"/>
    <w:rsid w:val="00CE5298"/>
    <w:rsid w:val="00CE58EB"/>
    <w:rsid w:val="00CE6AA6"/>
    <w:rsid w:val="00CE6EAE"/>
    <w:rsid w:val="00CE71AE"/>
    <w:rsid w:val="00CE7EB9"/>
    <w:rsid w:val="00CF115C"/>
    <w:rsid w:val="00CF1B36"/>
    <w:rsid w:val="00CF35B2"/>
    <w:rsid w:val="00CF38D4"/>
    <w:rsid w:val="00CF6394"/>
    <w:rsid w:val="00CF6D1E"/>
    <w:rsid w:val="00CF75B8"/>
    <w:rsid w:val="00D00B66"/>
    <w:rsid w:val="00D00D3D"/>
    <w:rsid w:val="00D04970"/>
    <w:rsid w:val="00D05197"/>
    <w:rsid w:val="00D05B9B"/>
    <w:rsid w:val="00D11565"/>
    <w:rsid w:val="00D12840"/>
    <w:rsid w:val="00D12B28"/>
    <w:rsid w:val="00D13B43"/>
    <w:rsid w:val="00D141F2"/>
    <w:rsid w:val="00D14BF7"/>
    <w:rsid w:val="00D14F65"/>
    <w:rsid w:val="00D159F8"/>
    <w:rsid w:val="00D17CFB"/>
    <w:rsid w:val="00D226B9"/>
    <w:rsid w:val="00D23255"/>
    <w:rsid w:val="00D23437"/>
    <w:rsid w:val="00D2459A"/>
    <w:rsid w:val="00D248D9"/>
    <w:rsid w:val="00D24CD7"/>
    <w:rsid w:val="00D26552"/>
    <w:rsid w:val="00D27131"/>
    <w:rsid w:val="00D3053B"/>
    <w:rsid w:val="00D30BA4"/>
    <w:rsid w:val="00D31BBD"/>
    <w:rsid w:val="00D334F0"/>
    <w:rsid w:val="00D353D1"/>
    <w:rsid w:val="00D367FC"/>
    <w:rsid w:val="00D36DC8"/>
    <w:rsid w:val="00D375F4"/>
    <w:rsid w:val="00D404B1"/>
    <w:rsid w:val="00D41496"/>
    <w:rsid w:val="00D43014"/>
    <w:rsid w:val="00D43988"/>
    <w:rsid w:val="00D43B85"/>
    <w:rsid w:val="00D441A4"/>
    <w:rsid w:val="00D45AB4"/>
    <w:rsid w:val="00D46231"/>
    <w:rsid w:val="00D4707E"/>
    <w:rsid w:val="00D477CF"/>
    <w:rsid w:val="00D47867"/>
    <w:rsid w:val="00D47EAF"/>
    <w:rsid w:val="00D5013C"/>
    <w:rsid w:val="00D52D7F"/>
    <w:rsid w:val="00D53034"/>
    <w:rsid w:val="00D541A8"/>
    <w:rsid w:val="00D54300"/>
    <w:rsid w:val="00D55475"/>
    <w:rsid w:val="00D55A05"/>
    <w:rsid w:val="00D562A8"/>
    <w:rsid w:val="00D579DD"/>
    <w:rsid w:val="00D60F56"/>
    <w:rsid w:val="00D6143E"/>
    <w:rsid w:val="00D61A9F"/>
    <w:rsid w:val="00D61EDD"/>
    <w:rsid w:val="00D628AF"/>
    <w:rsid w:val="00D6294B"/>
    <w:rsid w:val="00D637BF"/>
    <w:rsid w:val="00D63952"/>
    <w:rsid w:val="00D65B72"/>
    <w:rsid w:val="00D66697"/>
    <w:rsid w:val="00D67ACA"/>
    <w:rsid w:val="00D67F69"/>
    <w:rsid w:val="00D67FC4"/>
    <w:rsid w:val="00D700E6"/>
    <w:rsid w:val="00D70E04"/>
    <w:rsid w:val="00D71103"/>
    <w:rsid w:val="00D72211"/>
    <w:rsid w:val="00D72FAD"/>
    <w:rsid w:val="00D73AF1"/>
    <w:rsid w:val="00D74504"/>
    <w:rsid w:val="00D74639"/>
    <w:rsid w:val="00D76842"/>
    <w:rsid w:val="00D77397"/>
    <w:rsid w:val="00D809B7"/>
    <w:rsid w:val="00D80C0C"/>
    <w:rsid w:val="00D80E6B"/>
    <w:rsid w:val="00D813B0"/>
    <w:rsid w:val="00D81A57"/>
    <w:rsid w:val="00D820D8"/>
    <w:rsid w:val="00D82A4C"/>
    <w:rsid w:val="00D83EC8"/>
    <w:rsid w:val="00D85683"/>
    <w:rsid w:val="00D8589F"/>
    <w:rsid w:val="00D8772B"/>
    <w:rsid w:val="00D90494"/>
    <w:rsid w:val="00D90F8A"/>
    <w:rsid w:val="00D91071"/>
    <w:rsid w:val="00D91621"/>
    <w:rsid w:val="00D946F5"/>
    <w:rsid w:val="00D94A0C"/>
    <w:rsid w:val="00D9553A"/>
    <w:rsid w:val="00D95C5C"/>
    <w:rsid w:val="00D972C1"/>
    <w:rsid w:val="00D9740F"/>
    <w:rsid w:val="00D97B37"/>
    <w:rsid w:val="00D97BA1"/>
    <w:rsid w:val="00DA09FC"/>
    <w:rsid w:val="00DA1220"/>
    <w:rsid w:val="00DA3DE7"/>
    <w:rsid w:val="00DA4FCE"/>
    <w:rsid w:val="00DA50BA"/>
    <w:rsid w:val="00DA50F2"/>
    <w:rsid w:val="00DA59D2"/>
    <w:rsid w:val="00DA61D7"/>
    <w:rsid w:val="00DB24BE"/>
    <w:rsid w:val="00DB2B7E"/>
    <w:rsid w:val="00DB5719"/>
    <w:rsid w:val="00DB624E"/>
    <w:rsid w:val="00DC02EA"/>
    <w:rsid w:val="00DC1CA6"/>
    <w:rsid w:val="00DC20CF"/>
    <w:rsid w:val="00DC22DF"/>
    <w:rsid w:val="00DC2C3E"/>
    <w:rsid w:val="00DC7E69"/>
    <w:rsid w:val="00DD2033"/>
    <w:rsid w:val="00DD25EC"/>
    <w:rsid w:val="00DD2AD7"/>
    <w:rsid w:val="00DD3316"/>
    <w:rsid w:val="00DD4050"/>
    <w:rsid w:val="00DD5E57"/>
    <w:rsid w:val="00DE1D3B"/>
    <w:rsid w:val="00DE3385"/>
    <w:rsid w:val="00DE3A29"/>
    <w:rsid w:val="00DE4007"/>
    <w:rsid w:val="00DE4638"/>
    <w:rsid w:val="00DE4651"/>
    <w:rsid w:val="00DE50A4"/>
    <w:rsid w:val="00DE6608"/>
    <w:rsid w:val="00DE6C86"/>
    <w:rsid w:val="00DE6E21"/>
    <w:rsid w:val="00DE7265"/>
    <w:rsid w:val="00DE7525"/>
    <w:rsid w:val="00DE7E89"/>
    <w:rsid w:val="00DF041A"/>
    <w:rsid w:val="00DF06DD"/>
    <w:rsid w:val="00DF0AC2"/>
    <w:rsid w:val="00DF2353"/>
    <w:rsid w:val="00DF2654"/>
    <w:rsid w:val="00DF3AB2"/>
    <w:rsid w:val="00DF46C0"/>
    <w:rsid w:val="00DF6BF0"/>
    <w:rsid w:val="00E00898"/>
    <w:rsid w:val="00E014C7"/>
    <w:rsid w:val="00E0628E"/>
    <w:rsid w:val="00E06460"/>
    <w:rsid w:val="00E0650E"/>
    <w:rsid w:val="00E069AE"/>
    <w:rsid w:val="00E073CF"/>
    <w:rsid w:val="00E12E45"/>
    <w:rsid w:val="00E12E46"/>
    <w:rsid w:val="00E12F63"/>
    <w:rsid w:val="00E14205"/>
    <w:rsid w:val="00E16337"/>
    <w:rsid w:val="00E176A4"/>
    <w:rsid w:val="00E17F53"/>
    <w:rsid w:val="00E21058"/>
    <w:rsid w:val="00E228D0"/>
    <w:rsid w:val="00E23B6B"/>
    <w:rsid w:val="00E2474B"/>
    <w:rsid w:val="00E24B07"/>
    <w:rsid w:val="00E25124"/>
    <w:rsid w:val="00E25405"/>
    <w:rsid w:val="00E2559F"/>
    <w:rsid w:val="00E261F8"/>
    <w:rsid w:val="00E26E25"/>
    <w:rsid w:val="00E30772"/>
    <w:rsid w:val="00E324AD"/>
    <w:rsid w:val="00E3342D"/>
    <w:rsid w:val="00E33683"/>
    <w:rsid w:val="00E33734"/>
    <w:rsid w:val="00E3525A"/>
    <w:rsid w:val="00E363CC"/>
    <w:rsid w:val="00E370C4"/>
    <w:rsid w:val="00E41580"/>
    <w:rsid w:val="00E41D04"/>
    <w:rsid w:val="00E44175"/>
    <w:rsid w:val="00E44CD4"/>
    <w:rsid w:val="00E45AD1"/>
    <w:rsid w:val="00E45B91"/>
    <w:rsid w:val="00E46C57"/>
    <w:rsid w:val="00E46DDB"/>
    <w:rsid w:val="00E470D7"/>
    <w:rsid w:val="00E5176B"/>
    <w:rsid w:val="00E528BA"/>
    <w:rsid w:val="00E529E7"/>
    <w:rsid w:val="00E534DF"/>
    <w:rsid w:val="00E565C2"/>
    <w:rsid w:val="00E60269"/>
    <w:rsid w:val="00E60C32"/>
    <w:rsid w:val="00E6171A"/>
    <w:rsid w:val="00E627F6"/>
    <w:rsid w:val="00E63F1D"/>
    <w:rsid w:val="00E64364"/>
    <w:rsid w:val="00E646D5"/>
    <w:rsid w:val="00E71A5A"/>
    <w:rsid w:val="00E734C7"/>
    <w:rsid w:val="00E741E3"/>
    <w:rsid w:val="00E75A9D"/>
    <w:rsid w:val="00E767FC"/>
    <w:rsid w:val="00E77512"/>
    <w:rsid w:val="00E808D8"/>
    <w:rsid w:val="00E81B8E"/>
    <w:rsid w:val="00E81ED7"/>
    <w:rsid w:val="00E83005"/>
    <w:rsid w:val="00E8377F"/>
    <w:rsid w:val="00E84FB0"/>
    <w:rsid w:val="00E86533"/>
    <w:rsid w:val="00E86C69"/>
    <w:rsid w:val="00E86F2A"/>
    <w:rsid w:val="00E878E8"/>
    <w:rsid w:val="00E87A04"/>
    <w:rsid w:val="00E9222C"/>
    <w:rsid w:val="00E92D33"/>
    <w:rsid w:val="00E9558B"/>
    <w:rsid w:val="00E95A9E"/>
    <w:rsid w:val="00E95D1B"/>
    <w:rsid w:val="00E966CE"/>
    <w:rsid w:val="00EA0F22"/>
    <w:rsid w:val="00EA15A4"/>
    <w:rsid w:val="00EA1DCA"/>
    <w:rsid w:val="00EA2EFA"/>
    <w:rsid w:val="00EA39FB"/>
    <w:rsid w:val="00EA3CDD"/>
    <w:rsid w:val="00EA50D6"/>
    <w:rsid w:val="00EA5243"/>
    <w:rsid w:val="00EA5714"/>
    <w:rsid w:val="00EA5ECF"/>
    <w:rsid w:val="00EA67A8"/>
    <w:rsid w:val="00EA6ACF"/>
    <w:rsid w:val="00EA7662"/>
    <w:rsid w:val="00EA7CC3"/>
    <w:rsid w:val="00EB016F"/>
    <w:rsid w:val="00EB09C0"/>
    <w:rsid w:val="00EB2273"/>
    <w:rsid w:val="00EB241E"/>
    <w:rsid w:val="00EB294B"/>
    <w:rsid w:val="00EB33F4"/>
    <w:rsid w:val="00EB3B9C"/>
    <w:rsid w:val="00EB3C19"/>
    <w:rsid w:val="00EB4C04"/>
    <w:rsid w:val="00EB5FD7"/>
    <w:rsid w:val="00EB66A4"/>
    <w:rsid w:val="00EB7844"/>
    <w:rsid w:val="00EC1406"/>
    <w:rsid w:val="00EC2677"/>
    <w:rsid w:val="00EC28E4"/>
    <w:rsid w:val="00EC2A60"/>
    <w:rsid w:val="00EC362F"/>
    <w:rsid w:val="00EC36F2"/>
    <w:rsid w:val="00EC4F33"/>
    <w:rsid w:val="00EC75FE"/>
    <w:rsid w:val="00ED3980"/>
    <w:rsid w:val="00ED43A6"/>
    <w:rsid w:val="00ED61FE"/>
    <w:rsid w:val="00ED701D"/>
    <w:rsid w:val="00ED7371"/>
    <w:rsid w:val="00ED7619"/>
    <w:rsid w:val="00EE246F"/>
    <w:rsid w:val="00EE2862"/>
    <w:rsid w:val="00EE2F9A"/>
    <w:rsid w:val="00EE4C7E"/>
    <w:rsid w:val="00EE542E"/>
    <w:rsid w:val="00EE556D"/>
    <w:rsid w:val="00EE6184"/>
    <w:rsid w:val="00EE6574"/>
    <w:rsid w:val="00EE7A2C"/>
    <w:rsid w:val="00EF05D1"/>
    <w:rsid w:val="00EF2240"/>
    <w:rsid w:val="00EF2426"/>
    <w:rsid w:val="00EF6556"/>
    <w:rsid w:val="00EF7E1A"/>
    <w:rsid w:val="00F01961"/>
    <w:rsid w:val="00F0319D"/>
    <w:rsid w:val="00F03A40"/>
    <w:rsid w:val="00F06882"/>
    <w:rsid w:val="00F104B9"/>
    <w:rsid w:val="00F123BD"/>
    <w:rsid w:val="00F12D86"/>
    <w:rsid w:val="00F13B05"/>
    <w:rsid w:val="00F13E79"/>
    <w:rsid w:val="00F15AF2"/>
    <w:rsid w:val="00F16573"/>
    <w:rsid w:val="00F16F33"/>
    <w:rsid w:val="00F17135"/>
    <w:rsid w:val="00F21149"/>
    <w:rsid w:val="00F21290"/>
    <w:rsid w:val="00F258B9"/>
    <w:rsid w:val="00F307CC"/>
    <w:rsid w:val="00F30B34"/>
    <w:rsid w:val="00F30BBA"/>
    <w:rsid w:val="00F30CA4"/>
    <w:rsid w:val="00F31071"/>
    <w:rsid w:val="00F31630"/>
    <w:rsid w:val="00F342CC"/>
    <w:rsid w:val="00F34C99"/>
    <w:rsid w:val="00F34F7D"/>
    <w:rsid w:val="00F35FEF"/>
    <w:rsid w:val="00F405F3"/>
    <w:rsid w:val="00F43671"/>
    <w:rsid w:val="00F439BB"/>
    <w:rsid w:val="00F449D7"/>
    <w:rsid w:val="00F461AE"/>
    <w:rsid w:val="00F467F9"/>
    <w:rsid w:val="00F47ADF"/>
    <w:rsid w:val="00F515B6"/>
    <w:rsid w:val="00F51B88"/>
    <w:rsid w:val="00F534D3"/>
    <w:rsid w:val="00F53612"/>
    <w:rsid w:val="00F5421D"/>
    <w:rsid w:val="00F57CEB"/>
    <w:rsid w:val="00F60DF3"/>
    <w:rsid w:val="00F62057"/>
    <w:rsid w:val="00F67816"/>
    <w:rsid w:val="00F67C01"/>
    <w:rsid w:val="00F7114B"/>
    <w:rsid w:val="00F721EF"/>
    <w:rsid w:val="00F72AC2"/>
    <w:rsid w:val="00F737AE"/>
    <w:rsid w:val="00F74168"/>
    <w:rsid w:val="00F742F1"/>
    <w:rsid w:val="00F76037"/>
    <w:rsid w:val="00F77724"/>
    <w:rsid w:val="00F77839"/>
    <w:rsid w:val="00F81A86"/>
    <w:rsid w:val="00F81FD6"/>
    <w:rsid w:val="00F81FF8"/>
    <w:rsid w:val="00F82080"/>
    <w:rsid w:val="00F84FF3"/>
    <w:rsid w:val="00F85487"/>
    <w:rsid w:val="00F8584F"/>
    <w:rsid w:val="00F86FD8"/>
    <w:rsid w:val="00F87A4B"/>
    <w:rsid w:val="00F90562"/>
    <w:rsid w:val="00F91164"/>
    <w:rsid w:val="00F92B0F"/>
    <w:rsid w:val="00F930CC"/>
    <w:rsid w:val="00F9428F"/>
    <w:rsid w:val="00F95314"/>
    <w:rsid w:val="00F9575D"/>
    <w:rsid w:val="00F96D24"/>
    <w:rsid w:val="00F97092"/>
    <w:rsid w:val="00FA2D43"/>
    <w:rsid w:val="00FA5580"/>
    <w:rsid w:val="00FA5919"/>
    <w:rsid w:val="00FA69C3"/>
    <w:rsid w:val="00FA6AAC"/>
    <w:rsid w:val="00FA6CBC"/>
    <w:rsid w:val="00FA6D48"/>
    <w:rsid w:val="00FA6D89"/>
    <w:rsid w:val="00FA7EC0"/>
    <w:rsid w:val="00FB127D"/>
    <w:rsid w:val="00FB30A2"/>
    <w:rsid w:val="00FB59DF"/>
    <w:rsid w:val="00FB5DD1"/>
    <w:rsid w:val="00FB6084"/>
    <w:rsid w:val="00FB6684"/>
    <w:rsid w:val="00FB7C10"/>
    <w:rsid w:val="00FC072E"/>
    <w:rsid w:val="00FC095A"/>
    <w:rsid w:val="00FC2999"/>
    <w:rsid w:val="00FC3B4E"/>
    <w:rsid w:val="00FC44A4"/>
    <w:rsid w:val="00FC551E"/>
    <w:rsid w:val="00FC5790"/>
    <w:rsid w:val="00FC583C"/>
    <w:rsid w:val="00FD039F"/>
    <w:rsid w:val="00FD17F8"/>
    <w:rsid w:val="00FD194F"/>
    <w:rsid w:val="00FD1995"/>
    <w:rsid w:val="00FD25E1"/>
    <w:rsid w:val="00FD5E1C"/>
    <w:rsid w:val="00FD6699"/>
    <w:rsid w:val="00FD70DB"/>
    <w:rsid w:val="00FD7F6B"/>
    <w:rsid w:val="00FE00CE"/>
    <w:rsid w:val="00FE1880"/>
    <w:rsid w:val="00FE3F8E"/>
    <w:rsid w:val="00FE47ED"/>
    <w:rsid w:val="00FE61DC"/>
    <w:rsid w:val="00FE6519"/>
    <w:rsid w:val="00FE67D0"/>
    <w:rsid w:val="00FE6F99"/>
    <w:rsid w:val="00FE753C"/>
    <w:rsid w:val="00FF081E"/>
    <w:rsid w:val="00FF145C"/>
    <w:rsid w:val="00FF20D7"/>
    <w:rsid w:val="00FF26EE"/>
    <w:rsid w:val="00FF44E2"/>
    <w:rsid w:val="00FF47A3"/>
    <w:rsid w:val="00FF59B4"/>
    <w:rsid w:val="076562F5"/>
    <w:rsid w:val="09DA61EF"/>
    <w:rsid w:val="0CB13260"/>
    <w:rsid w:val="0D745B4D"/>
    <w:rsid w:val="0E791E44"/>
    <w:rsid w:val="17D76DD9"/>
    <w:rsid w:val="183A183B"/>
    <w:rsid w:val="1C8833B4"/>
    <w:rsid w:val="237F2058"/>
    <w:rsid w:val="29625E62"/>
    <w:rsid w:val="327C1CBD"/>
    <w:rsid w:val="34222573"/>
    <w:rsid w:val="44F2225A"/>
    <w:rsid w:val="4D8970DC"/>
    <w:rsid w:val="55ED3F42"/>
    <w:rsid w:val="566213C7"/>
    <w:rsid w:val="5A64353F"/>
    <w:rsid w:val="5ADB4085"/>
    <w:rsid w:val="5CE14936"/>
    <w:rsid w:val="602B409C"/>
    <w:rsid w:val="69C1628F"/>
    <w:rsid w:val="71BF3FB6"/>
    <w:rsid w:val="7A3E227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qFormat="1" w:unhideWhenUsed="0" w:uiPriority="0" w:semiHidden="0" w:name="index 2"/>
    <w:lsdException w:uiPriority="0" w:name="index 3"/>
    <w:lsdException w:uiPriority="0" w:name="index 4"/>
    <w:lsdException w:uiPriority="0" w:name="index 5"/>
    <w:lsdException w:qFormat="1" w:unhideWhenUsed="0" w:uiPriority="0" w:semiHidden="0" w:name="index 6"/>
    <w:lsdException w:uiPriority="0" w:name="index 7"/>
    <w:lsdException w:uiPriority="0" w:name="index 8"/>
    <w:lsdException w:uiPriority="0" w:name="index 9"/>
    <w:lsdException w:qFormat="1" w:unhideWhenUsed="0" w:uiPriority="0" w:name="toc 1"/>
    <w:lsdException w:qFormat="1" w:unhideWhenUsed="0" w:uiPriority="0" w:name="toc 2"/>
    <w:lsdException w:qFormat="1" w:unhideWhenUsed="0" w:uiPriority="39"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qFormat="1" w:unhideWhenUsed="0" w:uiPriority="0" w:semiHidden="0" w:name="List"/>
    <w:lsdException w:qFormat="1" w:unhideWhenUsed="0" w:uiPriority="0" w:semiHidden="0" w:name="List Bullet"/>
    <w:lsdException w:unhideWhenUsed="0" w:uiPriority="0" w:semiHidden="0" w:name="List Number"/>
    <w:lsdException w:qFormat="1" w:unhideWhenUsed="0" w:uiPriority="0" w:semiHidden="0" w:name="List 2"/>
    <w:lsdException w:qFormat="1" w:unhideWhenUsed="0" w:uiPriority="0" w:semiHidden="0" w:name="List 3"/>
    <w:lsdException w:unhideWhenUsed="0" w:uiPriority="0" w:semiHidden="0" w:name="List 4"/>
    <w:lsdException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qFormat="1" w:unhideWhenUsed="0" w:uiPriority="0" w:semiHidden="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3"/>
    <w:next w:val="1"/>
    <w:link w:val="68"/>
    <w:qFormat/>
    <w:uiPriority w:val="0"/>
    <w:pPr>
      <w:spacing w:before="340" w:after="330" w:line="360" w:lineRule="auto"/>
      <w:jc w:val="center"/>
      <w:outlineLvl w:val="0"/>
    </w:pPr>
    <w:rPr>
      <w:rFonts w:eastAsia="黑体"/>
      <w:bCs/>
      <w:kern w:val="44"/>
      <w:sz w:val="44"/>
      <w:szCs w:val="44"/>
    </w:rPr>
  </w:style>
  <w:style w:type="paragraph" w:styleId="5">
    <w:name w:val="heading 2"/>
    <w:basedOn w:val="3"/>
    <w:next w:val="4"/>
    <w:link w:val="88"/>
    <w:qFormat/>
    <w:uiPriority w:val="0"/>
    <w:pPr>
      <w:adjustRightInd w:val="0"/>
      <w:jc w:val="center"/>
      <w:textAlignment w:val="baseline"/>
      <w:outlineLvl w:val="1"/>
    </w:pPr>
    <w:rPr>
      <w:bCs/>
      <w:kern w:val="0"/>
      <w:sz w:val="24"/>
      <w:szCs w:val="20"/>
    </w:rPr>
  </w:style>
  <w:style w:type="paragraph" w:styleId="3">
    <w:name w:val="heading 3"/>
    <w:basedOn w:val="4"/>
    <w:next w:val="1"/>
    <w:link w:val="67"/>
    <w:qFormat/>
    <w:uiPriority w:val="0"/>
    <w:pPr>
      <w:spacing w:before="260" w:after="260" w:line="240" w:lineRule="auto"/>
      <w:outlineLvl w:val="2"/>
    </w:pPr>
    <w:rPr>
      <w:rFonts w:ascii="宋体" w:hAnsi="宋体" w:eastAsia="宋体"/>
      <w:bCs w:val="0"/>
      <w:szCs w:val="32"/>
    </w:rPr>
  </w:style>
  <w:style w:type="paragraph" w:styleId="4">
    <w:name w:val="heading 4"/>
    <w:basedOn w:val="1"/>
    <w:next w:val="1"/>
    <w:link w:val="65"/>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7"/>
    <w:qFormat/>
    <w:uiPriority w:val="0"/>
    <w:pPr>
      <w:keepNext/>
      <w:keepLines/>
      <w:spacing w:before="280" w:after="290" w:line="376" w:lineRule="auto"/>
      <w:outlineLvl w:val="4"/>
    </w:pPr>
    <w:rPr>
      <w:b/>
      <w:sz w:val="28"/>
      <w:szCs w:val="20"/>
    </w:rPr>
  </w:style>
  <w:style w:type="paragraph" w:styleId="8">
    <w:name w:val="heading 6"/>
    <w:basedOn w:val="1"/>
    <w:next w:val="7"/>
    <w:qFormat/>
    <w:uiPriority w:val="0"/>
    <w:pPr>
      <w:keepNext/>
      <w:keepLines/>
      <w:spacing w:before="240" w:after="64" w:line="320" w:lineRule="auto"/>
      <w:outlineLvl w:val="5"/>
    </w:pPr>
    <w:rPr>
      <w:rFonts w:ascii="Arial" w:hAnsi="Arial" w:eastAsia="黑体"/>
      <w:b/>
      <w:sz w:val="24"/>
      <w:szCs w:val="20"/>
    </w:rPr>
  </w:style>
  <w:style w:type="paragraph" w:styleId="9">
    <w:name w:val="heading 7"/>
    <w:basedOn w:val="1"/>
    <w:next w:val="7"/>
    <w:qFormat/>
    <w:uiPriority w:val="0"/>
    <w:pPr>
      <w:keepNext/>
      <w:keepLines/>
      <w:spacing w:before="240" w:after="64" w:line="320" w:lineRule="auto"/>
      <w:outlineLvl w:val="6"/>
    </w:pPr>
    <w:rPr>
      <w:b/>
      <w:sz w:val="24"/>
      <w:szCs w:val="20"/>
    </w:rPr>
  </w:style>
  <w:style w:type="paragraph" w:styleId="10">
    <w:name w:val="heading 8"/>
    <w:basedOn w:val="1"/>
    <w:next w:val="7"/>
    <w:qFormat/>
    <w:uiPriority w:val="0"/>
    <w:pPr>
      <w:keepNext/>
      <w:keepLines/>
      <w:spacing w:before="240" w:after="64" w:line="320" w:lineRule="auto"/>
      <w:outlineLvl w:val="7"/>
    </w:pPr>
    <w:rPr>
      <w:rFonts w:ascii="Arial" w:hAnsi="Arial" w:eastAsia="黑体"/>
      <w:sz w:val="24"/>
      <w:szCs w:val="20"/>
    </w:rPr>
  </w:style>
  <w:style w:type="paragraph" w:styleId="11">
    <w:name w:val="heading 9"/>
    <w:basedOn w:val="1"/>
    <w:next w:val="7"/>
    <w:qFormat/>
    <w:uiPriority w:val="0"/>
    <w:pPr>
      <w:keepNext/>
      <w:keepLines/>
      <w:spacing w:before="240" w:after="64" w:line="320" w:lineRule="auto"/>
      <w:outlineLvl w:val="8"/>
    </w:pPr>
    <w:rPr>
      <w:rFonts w:ascii="Arial" w:hAnsi="Arial" w:eastAsia="黑体"/>
      <w:szCs w:val="20"/>
    </w:rPr>
  </w:style>
  <w:style w:type="character" w:default="1" w:styleId="58">
    <w:name w:val="Default Paragraph Font"/>
    <w:semiHidden/>
    <w:unhideWhenUsed/>
    <w:qFormat/>
    <w:uiPriority w:val="1"/>
  </w:style>
  <w:style w:type="table" w:default="1" w:styleId="54">
    <w:name w:val="Normal Table"/>
    <w:semiHidden/>
    <w:unhideWhenUsed/>
    <w:uiPriority w:val="99"/>
    <w:tblPr>
      <w:tblCellMar>
        <w:top w:w="0" w:type="dxa"/>
        <w:left w:w="108" w:type="dxa"/>
        <w:bottom w:w="0" w:type="dxa"/>
        <w:right w:w="108" w:type="dxa"/>
      </w:tblCellMar>
    </w:tblPr>
  </w:style>
  <w:style w:type="paragraph" w:styleId="7">
    <w:name w:val="Normal Indent"/>
    <w:basedOn w:val="1"/>
    <w:link w:val="69"/>
    <w:qFormat/>
    <w:uiPriority w:val="0"/>
    <w:pPr>
      <w:ind w:firstLine="420"/>
    </w:pPr>
    <w:rPr>
      <w:szCs w:val="20"/>
    </w:rPr>
  </w:style>
  <w:style w:type="paragraph" w:styleId="12">
    <w:name w:val="List 3"/>
    <w:basedOn w:val="1"/>
    <w:qFormat/>
    <w:uiPriority w:val="0"/>
    <w:pPr>
      <w:ind w:left="100" w:leftChars="400" w:hanging="200" w:hangingChars="200"/>
    </w:pPr>
  </w:style>
  <w:style w:type="paragraph" w:styleId="13">
    <w:name w:val="toc 7"/>
    <w:basedOn w:val="1"/>
    <w:next w:val="1"/>
    <w:semiHidden/>
    <w:qFormat/>
    <w:uiPriority w:val="0"/>
    <w:pPr>
      <w:ind w:left="1260"/>
      <w:jc w:val="left"/>
    </w:pPr>
    <w:rPr>
      <w:szCs w:val="21"/>
    </w:rPr>
  </w:style>
  <w:style w:type="paragraph" w:styleId="14">
    <w:name w:val="List Bullet 4"/>
    <w:basedOn w:val="1"/>
    <w:qFormat/>
    <w:uiPriority w:val="0"/>
    <w:pPr>
      <w:tabs>
        <w:tab w:val="left" w:pos="1620"/>
      </w:tabs>
      <w:ind w:left="1620" w:leftChars="600" w:hanging="360" w:hangingChars="200"/>
    </w:pPr>
  </w:style>
  <w:style w:type="paragraph" w:styleId="15">
    <w:name w:val="caption"/>
    <w:basedOn w:val="1"/>
    <w:next w:val="1"/>
    <w:qFormat/>
    <w:uiPriority w:val="0"/>
    <w:pPr>
      <w:adjustRightInd w:val="0"/>
      <w:spacing w:before="152" w:after="160" w:line="312" w:lineRule="atLeast"/>
      <w:textAlignment w:val="baseline"/>
    </w:pPr>
    <w:rPr>
      <w:rFonts w:ascii="Arial" w:hAnsi="Arial" w:eastAsia="黑体"/>
      <w:b/>
      <w:kern w:val="0"/>
      <w:szCs w:val="20"/>
    </w:rPr>
  </w:style>
  <w:style w:type="paragraph" w:styleId="16">
    <w:name w:val="List Bullet"/>
    <w:basedOn w:val="1"/>
    <w:qFormat/>
    <w:uiPriority w:val="0"/>
    <w:pPr>
      <w:numPr>
        <w:ilvl w:val="0"/>
        <w:numId w:val="1"/>
      </w:numPr>
    </w:pPr>
    <w:rPr>
      <w:szCs w:val="20"/>
    </w:rPr>
  </w:style>
  <w:style w:type="paragraph" w:styleId="17">
    <w:name w:val="Document Map"/>
    <w:basedOn w:val="1"/>
    <w:link w:val="177"/>
    <w:semiHidden/>
    <w:qFormat/>
    <w:uiPriority w:val="0"/>
    <w:pPr>
      <w:shd w:val="clear" w:color="auto" w:fill="000080"/>
    </w:pPr>
  </w:style>
  <w:style w:type="paragraph" w:styleId="18">
    <w:name w:val="annotation text"/>
    <w:basedOn w:val="1"/>
    <w:link w:val="166"/>
    <w:qFormat/>
    <w:uiPriority w:val="0"/>
    <w:pPr>
      <w:autoSpaceDE w:val="0"/>
      <w:autoSpaceDN w:val="0"/>
      <w:adjustRightInd w:val="0"/>
      <w:jc w:val="left"/>
      <w:textAlignment w:val="baseline"/>
    </w:pPr>
    <w:rPr>
      <w:rFonts w:ascii="宋体"/>
      <w:kern w:val="0"/>
      <w:sz w:val="34"/>
      <w:szCs w:val="20"/>
    </w:rPr>
  </w:style>
  <w:style w:type="paragraph" w:styleId="19">
    <w:name w:val="index 6"/>
    <w:basedOn w:val="1"/>
    <w:next w:val="1"/>
    <w:qFormat/>
    <w:uiPriority w:val="0"/>
    <w:pPr>
      <w:ind w:left="1000" w:leftChars="1000"/>
    </w:pPr>
  </w:style>
  <w:style w:type="paragraph" w:styleId="20">
    <w:name w:val="Body Text 3"/>
    <w:basedOn w:val="1"/>
    <w:qFormat/>
    <w:uiPriority w:val="0"/>
    <w:pPr>
      <w:spacing w:after="120"/>
    </w:pPr>
    <w:rPr>
      <w:sz w:val="16"/>
      <w:szCs w:val="16"/>
    </w:rPr>
  </w:style>
  <w:style w:type="paragraph" w:styleId="21">
    <w:name w:val="List Bullet 3"/>
    <w:basedOn w:val="1"/>
    <w:qFormat/>
    <w:uiPriority w:val="0"/>
    <w:pPr>
      <w:tabs>
        <w:tab w:val="left" w:pos="1200"/>
      </w:tabs>
      <w:ind w:left="1200" w:leftChars="400" w:hanging="360" w:hangingChars="200"/>
    </w:pPr>
  </w:style>
  <w:style w:type="paragraph" w:styleId="22">
    <w:name w:val="Body Text"/>
    <w:basedOn w:val="1"/>
    <w:link w:val="104"/>
    <w:qFormat/>
    <w:uiPriority w:val="0"/>
    <w:pPr>
      <w:spacing w:line="360" w:lineRule="auto"/>
    </w:pPr>
    <w:rPr>
      <w:b/>
      <w:bCs/>
      <w:sz w:val="24"/>
    </w:rPr>
  </w:style>
  <w:style w:type="paragraph" w:styleId="23">
    <w:name w:val="Body Text Indent"/>
    <w:basedOn w:val="1"/>
    <w:link w:val="96"/>
    <w:qFormat/>
    <w:uiPriority w:val="0"/>
    <w:pPr>
      <w:spacing w:line="360" w:lineRule="auto"/>
      <w:ind w:firstLine="420" w:firstLineChars="200"/>
    </w:pPr>
  </w:style>
  <w:style w:type="paragraph" w:styleId="24">
    <w:name w:val="List 2"/>
    <w:basedOn w:val="25"/>
    <w:qFormat/>
    <w:uiPriority w:val="0"/>
    <w:pPr>
      <w:ind w:left="1080"/>
    </w:pPr>
  </w:style>
  <w:style w:type="paragraph" w:styleId="25">
    <w:name w:val="List"/>
    <w:basedOn w:val="22"/>
    <w:qFormat/>
    <w:uiPriority w:val="0"/>
    <w:pPr>
      <w:spacing w:after="220" w:line="220" w:lineRule="atLeast"/>
      <w:ind w:left="720" w:hanging="360"/>
    </w:pPr>
    <w:rPr>
      <w:b w:val="0"/>
      <w:bCs w:val="0"/>
      <w:sz w:val="21"/>
      <w:szCs w:val="20"/>
    </w:rPr>
  </w:style>
  <w:style w:type="paragraph" w:styleId="26">
    <w:name w:val="Block Text"/>
    <w:basedOn w:val="1"/>
    <w:qFormat/>
    <w:uiPriority w:val="0"/>
    <w:pPr>
      <w:spacing w:after="120"/>
      <w:ind w:left="1440" w:leftChars="700" w:right="1440" w:rightChars="700"/>
    </w:pPr>
  </w:style>
  <w:style w:type="paragraph" w:styleId="27">
    <w:name w:val="List Bullet 2"/>
    <w:basedOn w:val="1"/>
    <w:qFormat/>
    <w:uiPriority w:val="0"/>
    <w:pPr>
      <w:tabs>
        <w:tab w:val="left" w:pos="780"/>
      </w:tabs>
      <w:ind w:left="780" w:leftChars="200" w:hanging="360" w:hangingChars="200"/>
    </w:pPr>
  </w:style>
  <w:style w:type="paragraph" w:styleId="28">
    <w:name w:val="toc 5"/>
    <w:basedOn w:val="1"/>
    <w:next w:val="1"/>
    <w:semiHidden/>
    <w:qFormat/>
    <w:uiPriority w:val="0"/>
    <w:pPr>
      <w:ind w:left="840"/>
      <w:jc w:val="left"/>
    </w:pPr>
    <w:rPr>
      <w:szCs w:val="21"/>
    </w:rPr>
  </w:style>
  <w:style w:type="paragraph" w:styleId="29">
    <w:name w:val="toc 3"/>
    <w:basedOn w:val="1"/>
    <w:next w:val="1"/>
    <w:semiHidden/>
    <w:qFormat/>
    <w:uiPriority w:val="39"/>
    <w:pPr>
      <w:ind w:left="420"/>
      <w:jc w:val="left"/>
    </w:pPr>
    <w:rPr>
      <w:i/>
      <w:iCs/>
    </w:rPr>
  </w:style>
  <w:style w:type="paragraph" w:styleId="30">
    <w:name w:val="Plain Text"/>
    <w:basedOn w:val="1"/>
    <w:link w:val="83"/>
    <w:qFormat/>
    <w:uiPriority w:val="0"/>
    <w:rPr>
      <w:rFonts w:ascii="宋体" w:hAnsi="Courier New"/>
      <w:szCs w:val="20"/>
    </w:rPr>
  </w:style>
  <w:style w:type="paragraph" w:styleId="31">
    <w:name w:val="List Bullet 5"/>
    <w:basedOn w:val="1"/>
    <w:qFormat/>
    <w:uiPriority w:val="0"/>
    <w:pPr>
      <w:tabs>
        <w:tab w:val="left" w:pos="2040"/>
      </w:tabs>
      <w:ind w:left="2040" w:leftChars="800" w:hanging="360" w:hangingChars="200"/>
    </w:pPr>
  </w:style>
  <w:style w:type="paragraph" w:styleId="32">
    <w:name w:val="toc 8"/>
    <w:basedOn w:val="1"/>
    <w:next w:val="1"/>
    <w:semiHidden/>
    <w:qFormat/>
    <w:uiPriority w:val="0"/>
    <w:pPr>
      <w:ind w:left="1470"/>
      <w:jc w:val="left"/>
    </w:pPr>
    <w:rPr>
      <w:szCs w:val="21"/>
    </w:rPr>
  </w:style>
  <w:style w:type="paragraph" w:styleId="33">
    <w:name w:val="Date"/>
    <w:basedOn w:val="1"/>
    <w:next w:val="1"/>
    <w:qFormat/>
    <w:uiPriority w:val="0"/>
    <w:rPr>
      <w:rFonts w:ascii="宋体" w:hAnsi="Courier New"/>
      <w:sz w:val="32"/>
      <w:szCs w:val="20"/>
    </w:rPr>
  </w:style>
  <w:style w:type="paragraph" w:styleId="34">
    <w:name w:val="Body Text Indent 2"/>
    <w:basedOn w:val="1"/>
    <w:qFormat/>
    <w:uiPriority w:val="0"/>
    <w:pPr>
      <w:spacing w:beforeLines="50" w:afterLines="50" w:line="120" w:lineRule="auto"/>
      <w:ind w:firstLine="840" w:firstLineChars="400"/>
      <w:jc w:val="left"/>
    </w:pPr>
    <w:rPr>
      <w:rFonts w:ascii="宋体" w:hAnsi="宋体"/>
    </w:rPr>
  </w:style>
  <w:style w:type="paragraph" w:styleId="35">
    <w:name w:val="Balloon Text"/>
    <w:basedOn w:val="1"/>
    <w:link w:val="89"/>
    <w:qFormat/>
    <w:uiPriority w:val="0"/>
    <w:rPr>
      <w:sz w:val="18"/>
      <w:szCs w:val="18"/>
    </w:rPr>
  </w:style>
  <w:style w:type="paragraph" w:styleId="36">
    <w:name w:val="footer"/>
    <w:basedOn w:val="1"/>
    <w:link w:val="92"/>
    <w:qFormat/>
    <w:uiPriority w:val="0"/>
    <w:pPr>
      <w:tabs>
        <w:tab w:val="center" w:pos="4153"/>
        <w:tab w:val="right" w:pos="8306"/>
      </w:tabs>
      <w:snapToGrid w:val="0"/>
      <w:jc w:val="left"/>
    </w:pPr>
    <w:rPr>
      <w:sz w:val="18"/>
      <w:szCs w:val="18"/>
    </w:rPr>
  </w:style>
  <w:style w:type="paragraph" w:styleId="37">
    <w:name w:val="header"/>
    <w:basedOn w:val="1"/>
    <w:link w:val="175"/>
    <w:qFormat/>
    <w:uiPriority w:val="0"/>
    <w:pPr>
      <w:pBdr>
        <w:bottom w:val="single" w:color="auto" w:sz="6" w:space="1"/>
      </w:pBdr>
      <w:tabs>
        <w:tab w:val="center" w:pos="4153"/>
        <w:tab w:val="right" w:pos="8306"/>
      </w:tabs>
      <w:snapToGrid w:val="0"/>
      <w:jc w:val="center"/>
    </w:pPr>
    <w:rPr>
      <w:sz w:val="18"/>
      <w:szCs w:val="18"/>
    </w:rPr>
  </w:style>
  <w:style w:type="paragraph" w:styleId="38">
    <w:name w:val="toc 1"/>
    <w:basedOn w:val="1"/>
    <w:next w:val="1"/>
    <w:semiHidden/>
    <w:qFormat/>
    <w:uiPriority w:val="0"/>
    <w:pPr>
      <w:spacing w:before="120" w:after="120"/>
      <w:jc w:val="left"/>
    </w:pPr>
    <w:rPr>
      <w:b/>
      <w:bCs/>
      <w:caps/>
    </w:rPr>
  </w:style>
  <w:style w:type="paragraph" w:styleId="39">
    <w:name w:val="toc 4"/>
    <w:basedOn w:val="1"/>
    <w:next w:val="1"/>
    <w:semiHidden/>
    <w:qFormat/>
    <w:uiPriority w:val="0"/>
    <w:pPr>
      <w:ind w:left="630"/>
      <w:jc w:val="left"/>
    </w:pPr>
    <w:rPr>
      <w:szCs w:val="21"/>
    </w:rPr>
  </w:style>
  <w:style w:type="paragraph" w:styleId="40">
    <w:name w:val="index heading"/>
    <w:basedOn w:val="1"/>
    <w:next w:val="41"/>
    <w:qFormat/>
    <w:uiPriority w:val="0"/>
  </w:style>
  <w:style w:type="paragraph" w:styleId="41">
    <w:name w:val="index 1"/>
    <w:basedOn w:val="1"/>
    <w:next w:val="1"/>
    <w:qFormat/>
    <w:uiPriority w:val="0"/>
    <w:pPr>
      <w:tabs>
        <w:tab w:val="left" w:pos="3360"/>
      </w:tabs>
      <w:spacing w:line="520" w:lineRule="exact"/>
      <w:ind w:left="419" w:leftChars="50" w:hanging="314" w:hangingChars="131"/>
      <w:jc w:val="center"/>
      <w:outlineLvl w:val="3"/>
    </w:pPr>
    <w:rPr>
      <w:rFonts w:ascii="宋体" w:hAnsi="宋体"/>
      <w:sz w:val="24"/>
    </w:rPr>
  </w:style>
  <w:style w:type="paragraph" w:styleId="42">
    <w:name w:val="toc 6"/>
    <w:basedOn w:val="1"/>
    <w:next w:val="1"/>
    <w:semiHidden/>
    <w:qFormat/>
    <w:uiPriority w:val="0"/>
    <w:pPr>
      <w:ind w:left="1050"/>
      <w:jc w:val="left"/>
    </w:pPr>
    <w:rPr>
      <w:szCs w:val="21"/>
    </w:rPr>
  </w:style>
  <w:style w:type="paragraph" w:styleId="43">
    <w:name w:val="Body Text Indent 3"/>
    <w:basedOn w:val="1"/>
    <w:qFormat/>
    <w:uiPriority w:val="0"/>
    <w:pPr>
      <w:spacing w:line="360" w:lineRule="auto"/>
      <w:ind w:firstLine="482" w:firstLineChars="200"/>
    </w:pPr>
    <w:rPr>
      <w:rFonts w:ascii="宋体"/>
      <w:b/>
      <w:bCs/>
      <w:sz w:val="24"/>
    </w:rPr>
  </w:style>
  <w:style w:type="paragraph" w:styleId="44">
    <w:name w:val="toc 2"/>
    <w:basedOn w:val="1"/>
    <w:next w:val="1"/>
    <w:semiHidden/>
    <w:qFormat/>
    <w:uiPriority w:val="0"/>
    <w:pPr>
      <w:tabs>
        <w:tab w:val="right" w:leader="dot" w:pos="8296"/>
      </w:tabs>
      <w:ind w:left="210"/>
      <w:jc w:val="left"/>
    </w:pPr>
    <w:rPr>
      <w:smallCaps/>
    </w:rPr>
  </w:style>
  <w:style w:type="paragraph" w:styleId="45">
    <w:name w:val="toc 9"/>
    <w:basedOn w:val="1"/>
    <w:next w:val="1"/>
    <w:semiHidden/>
    <w:qFormat/>
    <w:uiPriority w:val="0"/>
    <w:pPr>
      <w:ind w:left="1680"/>
      <w:jc w:val="left"/>
    </w:pPr>
    <w:rPr>
      <w:szCs w:val="21"/>
    </w:rPr>
  </w:style>
  <w:style w:type="paragraph" w:styleId="46">
    <w:name w:val="Body Text 2"/>
    <w:basedOn w:val="1"/>
    <w:qFormat/>
    <w:uiPriority w:val="0"/>
    <w:pPr>
      <w:spacing w:line="360" w:lineRule="auto"/>
    </w:pPr>
    <w:rPr>
      <w:sz w:val="24"/>
    </w:rPr>
  </w:style>
  <w:style w:type="paragraph" w:styleId="4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Arial Unicode MS" w:hAnsi="Arial Unicode MS" w:eastAsia="Arial Unicode MS"/>
      <w:color w:val="000000"/>
      <w:kern w:val="0"/>
      <w:sz w:val="20"/>
      <w:szCs w:val="20"/>
    </w:rPr>
  </w:style>
  <w:style w:type="paragraph" w:styleId="48">
    <w:name w:val="Normal (Web)"/>
    <w:basedOn w:val="1"/>
    <w:qFormat/>
    <w:uiPriority w:val="0"/>
    <w:rPr>
      <w:sz w:val="24"/>
    </w:rPr>
  </w:style>
  <w:style w:type="paragraph" w:styleId="49">
    <w:name w:val="index 2"/>
    <w:basedOn w:val="1"/>
    <w:next w:val="1"/>
    <w:qFormat/>
    <w:uiPriority w:val="0"/>
    <w:pPr>
      <w:adjustRightInd w:val="0"/>
      <w:spacing w:line="315" w:lineRule="atLeast"/>
      <w:ind w:left="420"/>
      <w:jc w:val="left"/>
      <w:textAlignment w:val="baseline"/>
    </w:pPr>
    <w:rPr>
      <w:rFonts w:ascii="宋体"/>
      <w:kern w:val="0"/>
    </w:rPr>
  </w:style>
  <w:style w:type="paragraph" w:styleId="50">
    <w:name w:val="Title"/>
    <w:basedOn w:val="1"/>
    <w:qFormat/>
    <w:uiPriority w:val="0"/>
    <w:pPr>
      <w:spacing w:before="240" w:after="60"/>
      <w:jc w:val="center"/>
      <w:outlineLvl w:val="0"/>
    </w:pPr>
    <w:rPr>
      <w:rFonts w:ascii="Arial" w:hAnsi="Arial" w:eastAsia="隶书" w:cs="Arial"/>
      <w:b/>
      <w:bCs/>
      <w:sz w:val="32"/>
      <w:szCs w:val="32"/>
    </w:rPr>
  </w:style>
  <w:style w:type="paragraph" w:styleId="51">
    <w:name w:val="annotation subject"/>
    <w:basedOn w:val="18"/>
    <w:next w:val="18"/>
    <w:link w:val="167"/>
    <w:qFormat/>
    <w:uiPriority w:val="0"/>
    <w:pPr>
      <w:autoSpaceDE/>
      <w:autoSpaceDN/>
      <w:adjustRightInd/>
      <w:textAlignment w:val="auto"/>
    </w:pPr>
    <w:rPr>
      <w:rFonts w:ascii="Times New Roman"/>
      <w:b/>
      <w:bCs/>
      <w:kern w:val="2"/>
      <w:sz w:val="21"/>
    </w:rPr>
  </w:style>
  <w:style w:type="paragraph" w:styleId="52">
    <w:name w:val="Body Text First Indent"/>
    <w:basedOn w:val="22"/>
    <w:link w:val="105"/>
    <w:qFormat/>
    <w:uiPriority w:val="0"/>
    <w:pPr>
      <w:spacing w:after="120" w:line="240" w:lineRule="auto"/>
      <w:ind w:firstLine="420" w:firstLineChars="100"/>
    </w:pPr>
    <w:rPr>
      <w:b w:val="0"/>
      <w:bCs w:val="0"/>
      <w:sz w:val="21"/>
    </w:rPr>
  </w:style>
  <w:style w:type="paragraph" w:styleId="53">
    <w:name w:val="Body Text First Indent 2"/>
    <w:basedOn w:val="23"/>
    <w:link w:val="97"/>
    <w:qFormat/>
    <w:uiPriority w:val="0"/>
    <w:pPr>
      <w:spacing w:after="120" w:line="240" w:lineRule="auto"/>
      <w:ind w:left="420" w:firstLine="210" w:firstLineChars="0"/>
    </w:pPr>
    <w:rPr>
      <w:szCs w:val="20"/>
    </w:rPr>
  </w:style>
  <w:style w:type="table" w:styleId="55">
    <w:name w:val="Table Grid"/>
    <w:basedOn w:val="54"/>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56">
    <w:name w:val="Table Theme"/>
    <w:basedOn w:val="5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57">
    <w:name w:val="Table Grid 2"/>
    <w:basedOn w:val="54"/>
    <w:qFormat/>
    <w:uiPriority w:val="0"/>
    <w:pPr>
      <w:widowControl w:val="0"/>
      <w:jc w:val="both"/>
    </w:pPr>
    <w:tblPr>
      <w:tblBorders>
        <w:insideH w:val="single" w:color="000000" w:sz="6" w:space="0"/>
        <w:insideV w:val="single" w:color="000000" w:sz="6" w:space="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character" w:styleId="59">
    <w:name w:val="Strong"/>
    <w:qFormat/>
    <w:uiPriority w:val="0"/>
    <w:rPr>
      <w:b/>
      <w:bCs/>
    </w:rPr>
  </w:style>
  <w:style w:type="character" w:styleId="60">
    <w:name w:val="page number"/>
    <w:basedOn w:val="58"/>
    <w:qFormat/>
    <w:uiPriority w:val="0"/>
  </w:style>
  <w:style w:type="character" w:styleId="61">
    <w:name w:val="FollowedHyperlink"/>
    <w:qFormat/>
    <w:uiPriority w:val="0"/>
    <w:rPr>
      <w:color w:val="800080"/>
      <w:u w:val="single"/>
    </w:rPr>
  </w:style>
  <w:style w:type="character" w:styleId="62">
    <w:name w:val="Emphasis"/>
    <w:qFormat/>
    <w:uiPriority w:val="0"/>
    <w:rPr>
      <w:color w:val="CC0000"/>
    </w:rPr>
  </w:style>
  <w:style w:type="character" w:styleId="63">
    <w:name w:val="Hyperlink"/>
    <w:qFormat/>
    <w:uiPriority w:val="0"/>
    <w:rPr>
      <w:color w:val="0000FF"/>
      <w:u w:val="single"/>
    </w:rPr>
  </w:style>
  <w:style w:type="character" w:styleId="64">
    <w:name w:val="annotation reference"/>
    <w:qFormat/>
    <w:uiPriority w:val="0"/>
    <w:rPr>
      <w:sz w:val="21"/>
      <w:szCs w:val="21"/>
    </w:rPr>
  </w:style>
  <w:style w:type="character" w:customStyle="1" w:styleId="65">
    <w:name w:val="标题 4 字符"/>
    <w:link w:val="4"/>
    <w:qFormat/>
    <w:uiPriority w:val="0"/>
    <w:rPr>
      <w:rFonts w:ascii="Arial" w:hAnsi="Arial" w:eastAsia="黑体"/>
      <w:b/>
      <w:bCs/>
      <w:kern w:val="2"/>
      <w:sz w:val="28"/>
      <w:szCs w:val="28"/>
      <w:lang w:val="en-US" w:eastAsia="zh-CN" w:bidi="ar-SA"/>
    </w:rPr>
  </w:style>
  <w:style w:type="paragraph" w:customStyle="1" w:styleId="66">
    <w:name w:val="Char Char8 Char Char Char Char 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character" w:customStyle="1" w:styleId="67">
    <w:name w:val="标题 3 字符"/>
    <w:link w:val="3"/>
    <w:qFormat/>
    <w:uiPriority w:val="0"/>
    <w:rPr>
      <w:rFonts w:ascii="宋体" w:hAnsi="宋体" w:eastAsia="宋体"/>
      <w:b/>
      <w:bCs/>
      <w:kern w:val="2"/>
      <w:sz w:val="28"/>
      <w:szCs w:val="32"/>
      <w:lang w:val="en-US" w:eastAsia="zh-CN" w:bidi="ar-SA"/>
    </w:rPr>
  </w:style>
  <w:style w:type="character" w:customStyle="1" w:styleId="68">
    <w:name w:val="标题 1 字符"/>
    <w:link w:val="2"/>
    <w:qFormat/>
    <w:uiPriority w:val="0"/>
    <w:rPr>
      <w:rFonts w:ascii="宋体" w:hAnsi="宋体" w:eastAsia="黑体"/>
      <w:b/>
      <w:bCs/>
      <w:kern w:val="44"/>
      <w:sz w:val="44"/>
      <w:szCs w:val="44"/>
    </w:rPr>
  </w:style>
  <w:style w:type="character" w:customStyle="1" w:styleId="69">
    <w:name w:val="正文缩进 字符"/>
    <w:link w:val="7"/>
    <w:qFormat/>
    <w:uiPriority w:val="0"/>
    <w:rPr>
      <w:rFonts w:eastAsia="宋体"/>
      <w:kern w:val="2"/>
      <w:sz w:val="21"/>
      <w:lang w:val="en-US" w:eastAsia="zh-CN" w:bidi="ar-SA"/>
    </w:rPr>
  </w:style>
  <w:style w:type="character" w:customStyle="1" w:styleId="70">
    <w:name w:val="标题 3 Char"/>
    <w:qFormat/>
    <w:uiPriority w:val="0"/>
    <w:rPr>
      <w:rFonts w:ascii="黑体" w:eastAsia="黑体"/>
      <w:bCs/>
      <w:sz w:val="30"/>
    </w:rPr>
  </w:style>
  <w:style w:type="paragraph" w:customStyle="1" w:styleId="71">
    <w:name w:val="样式41"/>
    <w:basedOn w:val="1"/>
    <w:qFormat/>
    <w:uiPriority w:val="0"/>
    <w:pPr>
      <w:numPr>
        <w:ilvl w:val="0"/>
        <w:numId w:val="2"/>
      </w:numPr>
      <w:tabs>
        <w:tab w:val="left" w:pos="945"/>
      </w:tabs>
      <w:spacing w:line="360" w:lineRule="auto"/>
    </w:pPr>
    <w:rPr>
      <w:b/>
      <w:color w:val="000000"/>
      <w:sz w:val="24"/>
      <w:szCs w:val="20"/>
    </w:rPr>
  </w:style>
  <w:style w:type="paragraph" w:customStyle="1" w:styleId="72">
    <w:name w:val="图"/>
    <w:basedOn w:val="1"/>
    <w:qFormat/>
    <w:uiPriority w:val="0"/>
    <w:pPr>
      <w:keepNext/>
      <w:adjustRightInd w:val="0"/>
      <w:snapToGrid w:val="0"/>
      <w:spacing w:before="60" w:after="60" w:line="300" w:lineRule="auto"/>
      <w:jc w:val="center"/>
    </w:pPr>
    <w:rPr>
      <w:spacing w:val="20"/>
      <w:kern w:val="0"/>
      <w:sz w:val="24"/>
      <w:szCs w:val="20"/>
    </w:rPr>
  </w:style>
  <w:style w:type="paragraph" w:customStyle="1" w:styleId="73">
    <w:name w:val="文档正文"/>
    <w:basedOn w:val="1"/>
    <w:qFormat/>
    <w:uiPriority w:val="0"/>
    <w:pPr>
      <w:adjustRightInd w:val="0"/>
      <w:spacing w:line="480" w:lineRule="atLeast"/>
      <w:ind w:firstLine="567" w:firstLineChars="200"/>
      <w:textAlignment w:val="baseline"/>
    </w:pPr>
    <w:rPr>
      <w:rFonts w:ascii="长城仿宋"/>
      <w:kern w:val="0"/>
      <w:szCs w:val="20"/>
    </w:rPr>
  </w:style>
  <w:style w:type="paragraph" w:customStyle="1" w:styleId="74">
    <w:name w:val="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75">
    <w:name w:val="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76">
    <w:name w:val="Char Char Char Char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77">
    <w:name w:val="Table Contents"/>
    <w:basedOn w:val="1"/>
    <w:qFormat/>
    <w:uiPriority w:val="0"/>
    <w:pPr>
      <w:suppressAutoHyphens/>
      <w:autoSpaceDE w:val="0"/>
      <w:spacing w:after="120"/>
      <w:jc w:val="left"/>
    </w:pPr>
    <w:rPr>
      <w:rFonts w:ascii="Helvetica" w:hAnsi="Helvetica"/>
      <w:kern w:val="1"/>
      <w:sz w:val="20"/>
      <w:szCs w:val="20"/>
    </w:rPr>
  </w:style>
  <w:style w:type="paragraph" w:customStyle="1" w:styleId="78">
    <w:name w:val="自定义正文"/>
    <w:basedOn w:val="1"/>
    <w:qFormat/>
    <w:uiPriority w:val="0"/>
    <w:pPr>
      <w:spacing w:afterLines="50"/>
      <w:ind w:left="600" w:leftChars="600"/>
    </w:pPr>
  </w:style>
  <w:style w:type="paragraph" w:customStyle="1" w:styleId="79">
    <w:name w:val="Char Char Char Char Char"/>
    <w:basedOn w:val="1"/>
    <w:qFormat/>
    <w:uiPriority w:val="0"/>
    <w:rPr>
      <w:rFonts w:ascii="Tahoma" w:hAnsi="Tahoma"/>
      <w:sz w:val="24"/>
      <w:szCs w:val="20"/>
    </w:rPr>
  </w:style>
  <w:style w:type="paragraph" w:customStyle="1" w:styleId="80">
    <w:name w:val="小标题 1"/>
    <w:basedOn w:val="1"/>
    <w:qFormat/>
    <w:uiPriority w:val="0"/>
    <w:pPr>
      <w:autoSpaceDE w:val="0"/>
      <w:autoSpaceDN w:val="0"/>
      <w:adjustRightInd w:val="0"/>
      <w:spacing w:line="360" w:lineRule="atLeast"/>
    </w:pPr>
    <w:rPr>
      <w:rFonts w:ascii="文鼎粗黑" w:eastAsia="文鼎粗黑"/>
      <w:kern w:val="0"/>
      <w:sz w:val="22"/>
      <w:szCs w:val="20"/>
    </w:rPr>
  </w:style>
  <w:style w:type="paragraph" w:customStyle="1" w:styleId="81">
    <w:name w:val="Char Char"/>
    <w:basedOn w:val="1"/>
    <w:qFormat/>
    <w:uiPriority w:val="0"/>
    <w:rPr>
      <w:rFonts w:ascii="Tahoma" w:hAnsi="Tahoma"/>
      <w:sz w:val="24"/>
      <w:szCs w:val="20"/>
    </w:rPr>
  </w:style>
  <w:style w:type="paragraph" w:customStyle="1" w:styleId="82">
    <w:name w:val="È±Ê¡ÎÄ±¾"/>
    <w:basedOn w:val="1"/>
    <w:qFormat/>
    <w:uiPriority w:val="0"/>
    <w:pPr>
      <w:widowControl/>
      <w:overflowPunct w:val="0"/>
      <w:autoSpaceDE w:val="0"/>
      <w:autoSpaceDN w:val="0"/>
      <w:adjustRightInd w:val="0"/>
      <w:jc w:val="left"/>
      <w:textAlignment w:val="baseline"/>
    </w:pPr>
    <w:rPr>
      <w:kern w:val="0"/>
      <w:sz w:val="24"/>
      <w:szCs w:val="20"/>
    </w:rPr>
  </w:style>
  <w:style w:type="character" w:customStyle="1" w:styleId="83">
    <w:name w:val="纯文本 字符"/>
    <w:link w:val="30"/>
    <w:qFormat/>
    <w:uiPriority w:val="0"/>
    <w:rPr>
      <w:rFonts w:ascii="宋体" w:hAnsi="Courier New" w:eastAsia="宋体"/>
      <w:kern w:val="2"/>
      <w:sz w:val="21"/>
      <w:lang w:val="en-US" w:eastAsia="zh-CN" w:bidi="ar-SA"/>
    </w:rPr>
  </w:style>
  <w:style w:type="paragraph" w:customStyle="1" w:styleId="84">
    <w:name w:val="Char Char Char Char Char Char1 Char"/>
    <w:basedOn w:val="1"/>
    <w:qFormat/>
    <w:uiPriority w:val="0"/>
    <w:pPr>
      <w:widowControl/>
      <w:spacing w:after="160" w:line="240" w:lineRule="exact"/>
      <w:jc w:val="left"/>
    </w:pPr>
    <w:rPr>
      <w:rFonts w:ascii="Verdana" w:hAnsi="Verdana"/>
      <w:kern w:val="0"/>
      <w:szCs w:val="20"/>
      <w:lang w:eastAsia="en-US"/>
    </w:rPr>
  </w:style>
  <w:style w:type="paragraph" w:customStyle="1" w:styleId="85">
    <w:name w:val="font6"/>
    <w:basedOn w:val="1"/>
    <w:qFormat/>
    <w:uiPriority w:val="0"/>
    <w:pPr>
      <w:widowControl/>
      <w:spacing w:before="100" w:beforeAutospacing="1" w:after="100" w:afterAutospacing="1"/>
      <w:jc w:val="left"/>
    </w:pPr>
    <w:rPr>
      <w:rFonts w:hint="eastAsia" w:ascii="黑体" w:hAnsi="Arial Unicode MS" w:eastAsia="黑体" w:cs="Arial Unicode MS"/>
      <w:kern w:val="0"/>
      <w:sz w:val="24"/>
    </w:rPr>
  </w:style>
  <w:style w:type="paragraph" w:customStyle="1" w:styleId="86">
    <w:name w:val="表格内文"/>
    <w:basedOn w:val="1"/>
    <w:qFormat/>
    <w:uiPriority w:val="0"/>
    <w:pPr>
      <w:spacing w:before="60" w:after="60"/>
      <w:jc w:val="center"/>
    </w:pPr>
    <w:rPr>
      <w:rFonts w:eastAsia="文鼎CS书宋二"/>
      <w:w w:val="95"/>
      <w:sz w:val="18"/>
      <w:szCs w:val="20"/>
    </w:rPr>
  </w:style>
  <w:style w:type="paragraph" w:customStyle="1" w:styleId="87">
    <w:name w:val="内正文"/>
    <w:basedOn w:val="1"/>
    <w:qFormat/>
    <w:uiPriority w:val="0"/>
    <w:pPr>
      <w:ind w:firstLine="420"/>
    </w:pPr>
    <w:rPr>
      <w:rFonts w:eastAsia="文鼎CS书宋二"/>
      <w:szCs w:val="20"/>
    </w:rPr>
  </w:style>
  <w:style w:type="character" w:customStyle="1" w:styleId="88">
    <w:name w:val="标题 2 字符"/>
    <w:link w:val="5"/>
    <w:qFormat/>
    <w:uiPriority w:val="0"/>
    <w:rPr>
      <w:rFonts w:ascii="宋体" w:hAnsi="宋体" w:eastAsia="宋体"/>
      <w:b/>
      <w:bCs/>
      <w:sz w:val="24"/>
      <w:lang w:val="en-US" w:eastAsia="zh-CN" w:bidi="ar-SA"/>
    </w:rPr>
  </w:style>
  <w:style w:type="character" w:customStyle="1" w:styleId="89">
    <w:name w:val="批注框文本 字符"/>
    <w:link w:val="35"/>
    <w:qFormat/>
    <w:uiPriority w:val="0"/>
    <w:rPr>
      <w:rFonts w:eastAsia="宋体"/>
      <w:kern w:val="2"/>
      <w:sz w:val="18"/>
      <w:szCs w:val="18"/>
      <w:lang w:val="en-US" w:eastAsia="zh-CN" w:bidi="ar-SA"/>
    </w:rPr>
  </w:style>
  <w:style w:type="paragraph" w:customStyle="1" w:styleId="90">
    <w:name w:val="样式1"/>
    <w:basedOn w:val="50"/>
    <w:qFormat/>
    <w:uiPriority w:val="0"/>
    <w:pPr>
      <w:spacing w:before="120" w:after="120"/>
    </w:pPr>
    <w:rPr>
      <w:rFonts w:eastAsia="黑体"/>
      <w:b w:val="0"/>
      <w:sz w:val="30"/>
      <w:szCs w:val="21"/>
    </w:rPr>
  </w:style>
  <w:style w:type="paragraph" w:customStyle="1" w:styleId="91">
    <w:name w:val="样式2"/>
    <w:basedOn w:val="50"/>
    <w:next w:val="90"/>
    <w:qFormat/>
    <w:uiPriority w:val="0"/>
    <w:pPr>
      <w:spacing w:before="120" w:after="120"/>
    </w:pPr>
    <w:rPr>
      <w:rFonts w:eastAsia="黑体"/>
      <w:b w:val="0"/>
      <w:sz w:val="30"/>
      <w:szCs w:val="30"/>
    </w:rPr>
  </w:style>
  <w:style w:type="character" w:customStyle="1" w:styleId="92">
    <w:name w:val="页脚 字符"/>
    <w:link w:val="36"/>
    <w:qFormat/>
    <w:uiPriority w:val="99"/>
    <w:rPr>
      <w:rFonts w:eastAsia="宋体"/>
      <w:kern w:val="2"/>
      <w:sz w:val="18"/>
      <w:szCs w:val="18"/>
      <w:lang w:val="en-US" w:eastAsia="zh-CN" w:bidi="ar-SA"/>
    </w:rPr>
  </w:style>
  <w:style w:type="paragraph" w:customStyle="1" w:styleId="93">
    <w:name w:val="内正文篇标"/>
    <w:basedOn w:val="87"/>
    <w:qFormat/>
    <w:uiPriority w:val="0"/>
    <w:pPr>
      <w:ind w:firstLine="2354" w:firstLineChars="654"/>
      <w:jc w:val="left"/>
    </w:pPr>
    <w:rPr>
      <w:rFonts w:ascii="宋体" w:hAnsi="宋体" w:eastAsia="宋体"/>
      <w:w w:val="90"/>
      <w:sz w:val="40"/>
    </w:rPr>
  </w:style>
  <w:style w:type="paragraph" w:customStyle="1" w:styleId="94">
    <w:name w:val="内正文加粗"/>
    <w:basedOn w:val="87"/>
    <w:qFormat/>
    <w:uiPriority w:val="0"/>
    <w:pPr>
      <w:spacing w:before="60" w:after="60"/>
    </w:pPr>
    <w:rPr>
      <w:b/>
    </w:rPr>
  </w:style>
  <w:style w:type="paragraph" w:customStyle="1" w:styleId="95">
    <w:name w:val="正文未缩进"/>
    <w:basedOn w:val="1"/>
    <w:qFormat/>
    <w:uiPriority w:val="0"/>
    <w:rPr>
      <w:rFonts w:eastAsia="文鼎CS书宋二"/>
      <w:szCs w:val="20"/>
    </w:rPr>
  </w:style>
  <w:style w:type="character" w:customStyle="1" w:styleId="96">
    <w:name w:val="正文文本缩进 字符"/>
    <w:link w:val="23"/>
    <w:qFormat/>
    <w:uiPriority w:val="0"/>
    <w:rPr>
      <w:rFonts w:eastAsia="宋体"/>
      <w:kern w:val="2"/>
      <w:sz w:val="21"/>
      <w:szCs w:val="24"/>
      <w:lang w:val="en-US" w:eastAsia="zh-CN" w:bidi="ar-SA"/>
    </w:rPr>
  </w:style>
  <w:style w:type="character" w:customStyle="1" w:styleId="97">
    <w:name w:val="正文文本首行缩进 2 字符"/>
    <w:basedOn w:val="96"/>
    <w:link w:val="53"/>
    <w:qFormat/>
    <w:uiPriority w:val="0"/>
    <w:rPr>
      <w:rFonts w:eastAsia="宋体"/>
      <w:kern w:val="2"/>
      <w:sz w:val="21"/>
      <w:szCs w:val="24"/>
      <w:lang w:val="en-US" w:eastAsia="zh-CN" w:bidi="ar-SA"/>
    </w:rPr>
  </w:style>
  <w:style w:type="paragraph" w:customStyle="1" w:styleId="98">
    <w:name w:val="小标题"/>
    <w:basedOn w:val="1"/>
    <w:qFormat/>
    <w:uiPriority w:val="0"/>
    <w:pPr>
      <w:spacing w:before="240" w:after="240"/>
      <w:jc w:val="center"/>
    </w:pPr>
    <w:rPr>
      <w:rFonts w:eastAsia="创艺简黑体"/>
      <w:b/>
      <w:w w:val="95"/>
      <w:szCs w:val="20"/>
    </w:rPr>
  </w:style>
  <w:style w:type="paragraph" w:customStyle="1" w:styleId="99">
    <w:name w:val="表格标题"/>
    <w:basedOn w:val="98"/>
    <w:qFormat/>
    <w:uiPriority w:val="0"/>
    <w:pPr>
      <w:spacing w:before="120" w:after="60"/>
    </w:pPr>
    <w:rPr>
      <w:rFonts w:eastAsia="文鼎CS大宋"/>
      <w:b w:val="0"/>
      <w:sz w:val="28"/>
    </w:rPr>
  </w:style>
  <w:style w:type="paragraph" w:customStyle="1" w:styleId="100">
    <w:name w:val="节标题"/>
    <w:basedOn w:val="1"/>
    <w:qFormat/>
    <w:uiPriority w:val="0"/>
    <w:pPr>
      <w:spacing w:before="240" w:after="240"/>
      <w:jc w:val="center"/>
    </w:pPr>
    <w:rPr>
      <w:rFonts w:eastAsia="文鼎CS长美黑"/>
      <w:w w:val="95"/>
      <w:sz w:val="32"/>
      <w:szCs w:val="20"/>
    </w:rPr>
  </w:style>
  <w:style w:type="paragraph" w:customStyle="1" w:styleId="101">
    <w:name w:val="说明"/>
    <w:basedOn w:val="98"/>
    <w:qFormat/>
    <w:uiPriority w:val="0"/>
    <w:pPr>
      <w:spacing w:before="0" w:after="0" w:line="288" w:lineRule="auto"/>
      <w:ind w:firstLine="420"/>
      <w:jc w:val="both"/>
    </w:pPr>
    <w:rPr>
      <w:rFonts w:ascii="文鼎中楷" w:eastAsia="文鼎中楷"/>
      <w:b w:val="0"/>
    </w:rPr>
  </w:style>
  <w:style w:type="character" w:customStyle="1" w:styleId="102">
    <w:name w:val="p121"/>
    <w:qFormat/>
    <w:uiPriority w:val="0"/>
    <w:rPr>
      <w:rFonts w:hint="default"/>
      <w:sz w:val="24"/>
      <w:szCs w:val="24"/>
    </w:rPr>
  </w:style>
  <w:style w:type="paragraph" w:customStyle="1" w:styleId="103">
    <w:name w:val="Definition Term"/>
    <w:basedOn w:val="1"/>
    <w:next w:val="1"/>
    <w:qFormat/>
    <w:uiPriority w:val="0"/>
    <w:pPr>
      <w:autoSpaceDE w:val="0"/>
      <w:autoSpaceDN w:val="0"/>
      <w:adjustRightInd w:val="0"/>
      <w:jc w:val="left"/>
    </w:pPr>
    <w:rPr>
      <w:kern w:val="0"/>
      <w:sz w:val="24"/>
      <w:szCs w:val="20"/>
    </w:rPr>
  </w:style>
  <w:style w:type="character" w:customStyle="1" w:styleId="104">
    <w:name w:val="正文文本 字符"/>
    <w:link w:val="22"/>
    <w:qFormat/>
    <w:uiPriority w:val="0"/>
    <w:rPr>
      <w:rFonts w:eastAsia="宋体"/>
      <w:b/>
      <w:bCs/>
      <w:kern w:val="2"/>
      <w:sz w:val="24"/>
      <w:szCs w:val="24"/>
      <w:lang w:val="en-US" w:eastAsia="zh-CN" w:bidi="ar-SA"/>
    </w:rPr>
  </w:style>
  <w:style w:type="character" w:customStyle="1" w:styleId="105">
    <w:name w:val="正文文本首行缩进 字符"/>
    <w:link w:val="52"/>
    <w:qFormat/>
    <w:uiPriority w:val="0"/>
    <w:rPr>
      <w:rFonts w:eastAsia="宋体"/>
      <w:b/>
      <w:bCs/>
      <w:kern w:val="2"/>
      <w:sz w:val="21"/>
      <w:szCs w:val="24"/>
      <w:lang w:val="en-US" w:eastAsia="zh-CN" w:bidi="ar-SA"/>
    </w:rPr>
  </w:style>
  <w:style w:type="paragraph" w:customStyle="1" w:styleId="106">
    <w:name w:val="font5"/>
    <w:basedOn w:val="1"/>
    <w:qFormat/>
    <w:uiPriority w:val="0"/>
    <w:pPr>
      <w:widowControl/>
      <w:spacing w:before="100" w:beforeAutospacing="1" w:after="100" w:afterAutospacing="1"/>
      <w:jc w:val="left"/>
    </w:pPr>
    <w:rPr>
      <w:rFonts w:hint="eastAsia" w:ascii="宋体" w:hAnsi="宋体"/>
      <w:kern w:val="0"/>
      <w:sz w:val="18"/>
      <w:szCs w:val="18"/>
    </w:rPr>
  </w:style>
  <w:style w:type="paragraph" w:customStyle="1" w:styleId="107">
    <w:name w:val="font7"/>
    <w:basedOn w:val="1"/>
    <w:qFormat/>
    <w:uiPriority w:val="0"/>
    <w:pPr>
      <w:widowControl/>
      <w:spacing w:before="100" w:beforeAutospacing="1" w:after="100" w:afterAutospacing="1"/>
      <w:jc w:val="left"/>
    </w:pPr>
    <w:rPr>
      <w:rFonts w:hint="eastAsia" w:ascii="宋体" w:hAnsi="宋体"/>
      <w:kern w:val="0"/>
      <w:sz w:val="22"/>
      <w:szCs w:val="22"/>
    </w:rPr>
  </w:style>
  <w:style w:type="paragraph" w:customStyle="1" w:styleId="108">
    <w:name w:val="xl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2"/>
      <w:szCs w:val="22"/>
    </w:rPr>
  </w:style>
  <w:style w:type="paragraph" w:customStyle="1" w:styleId="109">
    <w:name w:val="xl25"/>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Tunga" w:hAnsi="Tunga"/>
      <w:kern w:val="0"/>
      <w:sz w:val="22"/>
      <w:szCs w:val="22"/>
    </w:rPr>
  </w:style>
  <w:style w:type="paragraph" w:customStyle="1" w:styleId="110">
    <w:name w:val="xl26"/>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kern w:val="0"/>
      <w:sz w:val="22"/>
      <w:szCs w:val="22"/>
    </w:rPr>
  </w:style>
  <w:style w:type="paragraph" w:customStyle="1" w:styleId="111">
    <w:name w:val="xl27"/>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kern w:val="0"/>
      <w:sz w:val="22"/>
      <w:szCs w:val="22"/>
    </w:rPr>
  </w:style>
  <w:style w:type="paragraph" w:customStyle="1" w:styleId="112">
    <w:name w:val="xl28"/>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kern w:val="0"/>
      <w:sz w:val="22"/>
      <w:szCs w:val="22"/>
    </w:rPr>
  </w:style>
  <w:style w:type="paragraph" w:customStyle="1" w:styleId="113">
    <w:name w:val="xl29"/>
    <w:basedOn w:val="1"/>
    <w:qFormat/>
    <w:uiPriority w:val="0"/>
    <w:pPr>
      <w:widowControl/>
      <w:pBdr>
        <w:top w:val="single" w:color="auto" w:sz="4" w:space="0"/>
        <w:left w:val="single" w:color="auto" w:sz="4" w:space="0"/>
        <w:bottom w:val="single" w:color="auto" w:sz="8" w:space="0"/>
      </w:pBdr>
      <w:spacing w:before="100" w:beforeAutospacing="1" w:after="100" w:afterAutospacing="1"/>
      <w:jc w:val="center"/>
    </w:pPr>
    <w:rPr>
      <w:rFonts w:ascii="宋体" w:hAnsi="宋体"/>
      <w:kern w:val="0"/>
      <w:sz w:val="22"/>
      <w:szCs w:val="22"/>
    </w:rPr>
  </w:style>
  <w:style w:type="paragraph" w:customStyle="1" w:styleId="114">
    <w:name w:val="xl30"/>
    <w:basedOn w:val="1"/>
    <w:qFormat/>
    <w:uiPriority w:val="0"/>
    <w:pPr>
      <w:widowControl/>
      <w:pBdr>
        <w:top w:val="single" w:color="auto" w:sz="4" w:space="0"/>
        <w:bottom w:val="single" w:color="auto" w:sz="8" w:space="0"/>
      </w:pBdr>
      <w:spacing w:before="100" w:beforeAutospacing="1" w:after="100" w:afterAutospacing="1"/>
      <w:jc w:val="center"/>
    </w:pPr>
    <w:rPr>
      <w:rFonts w:ascii="宋体" w:hAnsi="宋体"/>
      <w:kern w:val="0"/>
      <w:sz w:val="22"/>
      <w:szCs w:val="22"/>
    </w:rPr>
  </w:style>
  <w:style w:type="paragraph" w:customStyle="1" w:styleId="115">
    <w:name w:val="xl31"/>
    <w:basedOn w:val="1"/>
    <w:qFormat/>
    <w:uiPriority w:val="0"/>
    <w:pPr>
      <w:widowControl/>
      <w:pBdr>
        <w:top w:val="single" w:color="auto" w:sz="4" w:space="0"/>
        <w:bottom w:val="single" w:color="auto" w:sz="8" w:space="0"/>
        <w:right w:val="single" w:color="auto" w:sz="4" w:space="0"/>
      </w:pBdr>
      <w:spacing w:before="100" w:beforeAutospacing="1" w:after="100" w:afterAutospacing="1"/>
      <w:jc w:val="center"/>
    </w:pPr>
    <w:rPr>
      <w:rFonts w:ascii="宋体" w:hAnsi="宋体"/>
      <w:kern w:val="0"/>
      <w:sz w:val="22"/>
      <w:szCs w:val="22"/>
    </w:rPr>
  </w:style>
  <w:style w:type="paragraph" w:customStyle="1" w:styleId="116">
    <w:name w:val="xl32"/>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b/>
      <w:bCs/>
      <w:kern w:val="0"/>
      <w:sz w:val="24"/>
    </w:rPr>
  </w:style>
  <w:style w:type="paragraph" w:customStyle="1" w:styleId="117">
    <w:name w:val="xl33"/>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kern w:val="0"/>
      <w:sz w:val="22"/>
      <w:szCs w:val="22"/>
    </w:rPr>
  </w:style>
  <w:style w:type="paragraph" w:customStyle="1" w:styleId="118">
    <w:name w:val="xl34"/>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kern w:val="0"/>
      <w:sz w:val="22"/>
      <w:szCs w:val="22"/>
    </w:rPr>
  </w:style>
  <w:style w:type="paragraph" w:customStyle="1" w:styleId="119">
    <w:name w:val="xl35"/>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kern w:val="0"/>
      <w:sz w:val="22"/>
      <w:szCs w:val="22"/>
    </w:rPr>
  </w:style>
  <w:style w:type="paragraph" w:customStyle="1" w:styleId="120">
    <w:name w:val="xl36"/>
    <w:basedOn w:val="1"/>
    <w:qFormat/>
    <w:uiPriority w:val="0"/>
    <w:pPr>
      <w:widowControl/>
      <w:pBdr>
        <w:top w:val="single" w:color="auto" w:sz="4" w:space="0"/>
        <w:left w:val="single" w:color="auto" w:sz="4" w:space="0"/>
        <w:bottom w:val="single" w:color="auto" w:sz="8" w:space="0"/>
      </w:pBdr>
      <w:spacing w:before="100" w:beforeAutospacing="1" w:after="100" w:afterAutospacing="1"/>
      <w:jc w:val="center"/>
    </w:pPr>
    <w:rPr>
      <w:rFonts w:ascii="宋体" w:hAnsi="宋体"/>
      <w:kern w:val="0"/>
      <w:sz w:val="22"/>
      <w:szCs w:val="22"/>
    </w:rPr>
  </w:style>
  <w:style w:type="paragraph" w:customStyle="1" w:styleId="121">
    <w:name w:val="xl37"/>
    <w:basedOn w:val="1"/>
    <w:qFormat/>
    <w:uiPriority w:val="0"/>
    <w:pPr>
      <w:widowControl/>
      <w:pBdr>
        <w:top w:val="single" w:color="auto" w:sz="4" w:space="0"/>
        <w:bottom w:val="single" w:color="auto" w:sz="8" w:space="0"/>
      </w:pBdr>
      <w:spacing w:before="100" w:beforeAutospacing="1" w:after="100" w:afterAutospacing="1"/>
      <w:jc w:val="center"/>
    </w:pPr>
    <w:rPr>
      <w:rFonts w:ascii="宋体" w:hAnsi="宋体"/>
      <w:kern w:val="0"/>
      <w:sz w:val="22"/>
      <w:szCs w:val="22"/>
    </w:rPr>
  </w:style>
  <w:style w:type="paragraph" w:customStyle="1" w:styleId="122">
    <w:name w:val="xl38"/>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b/>
      <w:bCs/>
      <w:kern w:val="0"/>
      <w:sz w:val="24"/>
    </w:rPr>
  </w:style>
  <w:style w:type="paragraph" w:customStyle="1" w:styleId="123">
    <w:name w:val="xl39"/>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b/>
      <w:bCs/>
      <w:kern w:val="0"/>
      <w:sz w:val="24"/>
    </w:rPr>
  </w:style>
  <w:style w:type="paragraph" w:customStyle="1" w:styleId="124">
    <w:name w:val="xl40"/>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4"/>
    </w:rPr>
  </w:style>
  <w:style w:type="paragraph" w:customStyle="1" w:styleId="125">
    <w:name w:val="xl41"/>
    <w:basedOn w:val="1"/>
    <w:qFormat/>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pPr>
    <w:rPr>
      <w:rFonts w:ascii="宋体" w:hAnsi="宋体"/>
      <w:b/>
      <w:bCs/>
      <w:kern w:val="0"/>
      <w:sz w:val="24"/>
    </w:rPr>
  </w:style>
  <w:style w:type="paragraph" w:customStyle="1" w:styleId="126">
    <w:name w:val="xl42"/>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4"/>
    </w:rPr>
  </w:style>
  <w:style w:type="paragraph" w:customStyle="1" w:styleId="127">
    <w:name w:val="xl43"/>
    <w:basedOn w:val="1"/>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b/>
      <w:bCs/>
      <w:kern w:val="0"/>
      <w:sz w:val="24"/>
    </w:rPr>
  </w:style>
  <w:style w:type="paragraph" w:customStyle="1" w:styleId="128">
    <w:name w:val="xl44"/>
    <w:basedOn w:val="1"/>
    <w:qFormat/>
    <w:uiPriority w:val="0"/>
    <w:pPr>
      <w:widowControl/>
      <w:pBdr>
        <w:top w:val="single" w:color="auto" w:sz="4" w:space="0"/>
        <w:bottom w:val="single" w:color="auto" w:sz="8" w:space="0"/>
        <w:right w:val="single" w:color="auto" w:sz="4" w:space="0"/>
      </w:pBdr>
      <w:spacing w:before="100" w:beforeAutospacing="1" w:after="100" w:afterAutospacing="1"/>
      <w:jc w:val="center"/>
    </w:pPr>
    <w:rPr>
      <w:rFonts w:ascii="宋体" w:hAnsi="宋体"/>
      <w:kern w:val="0"/>
      <w:sz w:val="22"/>
      <w:szCs w:val="22"/>
    </w:rPr>
  </w:style>
  <w:style w:type="paragraph" w:customStyle="1" w:styleId="129">
    <w:name w:val="char"/>
    <w:basedOn w:val="3"/>
    <w:qFormat/>
    <w:uiPriority w:val="0"/>
    <w:pPr>
      <w:spacing w:line="360" w:lineRule="auto"/>
      <w:ind w:firstLine="2560" w:firstLineChars="800"/>
    </w:pPr>
    <w:rPr>
      <w:b w:val="0"/>
      <w:bCs/>
      <w:sz w:val="32"/>
      <w:szCs w:val="20"/>
    </w:rPr>
  </w:style>
  <w:style w:type="paragraph" w:customStyle="1" w:styleId="130">
    <w:name w:val="标题4 Char"/>
    <w:basedOn w:val="1"/>
    <w:qFormat/>
    <w:uiPriority w:val="0"/>
    <w:pPr>
      <w:spacing w:line="360" w:lineRule="auto"/>
      <w:ind w:firstLine="538" w:firstLineChars="192"/>
      <w:jc w:val="left"/>
    </w:pPr>
    <w:rPr>
      <w:rFonts w:ascii="宋体" w:hAnsi="宋体"/>
      <w:color w:val="000000"/>
      <w:sz w:val="28"/>
      <w:szCs w:val="28"/>
    </w:rPr>
  </w:style>
  <w:style w:type="paragraph" w:customStyle="1" w:styleId="131">
    <w:name w:val="投标人须知1"/>
    <w:basedOn w:val="1"/>
    <w:qFormat/>
    <w:uiPriority w:val="0"/>
    <w:pPr>
      <w:spacing w:line="480" w:lineRule="auto"/>
      <w:ind w:left="833" w:hanging="113"/>
      <w:jc w:val="left"/>
    </w:pPr>
    <w:rPr>
      <w:b/>
      <w:sz w:val="24"/>
    </w:rPr>
  </w:style>
  <w:style w:type="paragraph" w:customStyle="1" w:styleId="132">
    <w:name w:val="投标人须知2"/>
    <w:basedOn w:val="1"/>
    <w:qFormat/>
    <w:uiPriority w:val="0"/>
    <w:pPr>
      <w:spacing w:line="300" w:lineRule="auto"/>
      <w:ind w:left="653" w:hanging="113"/>
      <w:jc w:val="left"/>
    </w:pPr>
    <w:rPr>
      <w:szCs w:val="21"/>
    </w:rPr>
  </w:style>
  <w:style w:type="paragraph" w:customStyle="1" w:styleId="133">
    <w:name w:val="投标人须知3"/>
    <w:basedOn w:val="1"/>
    <w:qFormat/>
    <w:uiPriority w:val="0"/>
    <w:pPr>
      <w:spacing w:line="300" w:lineRule="auto"/>
      <w:ind w:left="679" w:hanging="225"/>
      <w:jc w:val="left"/>
    </w:pPr>
  </w:style>
  <w:style w:type="paragraph" w:customStyle="1" w:styleId="134">
    <w:name w:val="投标人须知4"/>
    <w:basedOn w:val="1"/>
    <w:qFormat/>
    <w:uiPriority w:val="0"/>
    <w:pPr>
      <w:spacing w:line="300" w:lineRule="auto"/>
      <w:ind w:left="794" w:hanging="340"/>
      <w:jc w:val="left"/>
    </w:pPr>
  </w:style>
  <w:style w:type="paragraph" w:customStyle="1" w:styleId="135">
    <w:name w:val="样式 投标人须知1 + (符号) 宋体"/>
    <w:basedOn w:val="131"/>
    <w:qFormat/>
    <w:uiPriority w:val="0"/>
    <w:pPr>
      <w:tabs>
        <w:tab w:val="left" w:pos="360"/>
      </w:tabs>
      <w:ind w:left="360" w:hanging="360"/>
      <w:outlineLvl w:val="1"/>
    </w:pPr>
    <w:rPr>
      <w:bCs/>
    </w:rPr>
  </w:style>
  <w:style w:type="paragraph" w:customStyle="1" w:styleId="136">
    <w:name w:val="Char Char Char Char Char1 Char Char Char Char Char Char Char Char Char Char"/>
    <w:basedOn w:val="1"/>
    <w:qFormat/>
    <w:uiPriority w:val="0"/>
    <w:rPr>
      <w:rFonts w:ascii="仿宋_GB2312" w:eastAsia="仿宋_GB2312"/>
      <w:b/>
      <w:sz w:val="32"/>
      <w:szCs w:val="32"/>
    </w:rPr>
  </w:style>
  <w:style w:type="paragraph" w:customStyle="1" w:styleId="137">
    <w:name w:val="表格内文1"/>
    <w:basedOn w:val="86"/>
    <w:qFormat/>
    <w:uiPriority w:val="0"/>
  </w:style>
  <w:style w:type="paragraph" w:customStyle="1" w:styleId="138">
    <w:name w:val="001"/>
    <w:basedOn w:val="139"/>
    <w:qFormat/>
    <w:uiPriority w:val="0"/>
  </w:style>
  <w:style w:type="paragraph" w:customStyle="1" w:styleId="139">
    <w:name w:val="05"/>
    <w:basedOn w:val="140"/>
    <w:qFormat/>
    <w:uiPriority w:val="0"/>
  </w:style>
  <w:style w:type="paragraph" w:customStyle="1" w:styleId="140">
    <w:name w:val="01"/>
    <w:basedOn w:val="141"/>
    <w:qFormat/>
    <w:uiPriority w:val="0"/>
  </w:style>
  <w:style w:type="paragraph" w:customStyle="1" w:styleId="141">
    <w:name w:val="表格内文2"/>
    <w:basedOn w:val="86"/>
    <w:qFormat/>
    <w:uiPriority w:val="0"/>
  </w:style>
  <w:style w:type="paragraph" w:customStyle="1" w:styleId="142">
    <w:name w:val="002"/>
    <w:basedOn w:val="87"/>
    <w:qFormat/>
    <w:uiPriority w:val="0"/>
    <w:pPr>
      <w:spacing w:before="62" w:after="62"/>
      <w:jc w:val="center"/>
    </w:pPr>
  </w:style>
  <w:style w:type="paragraph" w:customStyle="1" w:styleId="143">
    <w:name w:val="表格下注"/>
    <w:basedOn w:val="87"/>
    <w:qFormat/>
    <w:uiPriority w:val="0"/>
    <w:pPr>
      <w:ind w:left="798" w:hanging="378"/>
    </w:pPr>
    <w:rPr>
      <w:sz w:val="18"/>
    </w:rPr>
  </w:style>
  <w:style w:type="paragraph" w:customStyle="1" w:styleId="144">
    <w:name w:val="正文A"/>
    <w:basedOn w:val="87"/>
    <w:qFormat/>
    <w:uiPriority w:val="0"/>
    <w:pPr>
      <w:tabs>
        <w:tab w:val="center" w:pos="3780"/>
        <w:tab w:val="left" w:pos="7140"/>
      </w:tabs>
      <w:spacing w:before="120"/>
      <w:ind w:right="196"/>
      <w:jc w:val="right"/>
    </w:pPr>
    <w:rPr>
      <w:rFonts w:eastAsia="宋体"/>
      <w:b/>
      <w:bCs/>
      <w:w w:val="95"/>
    </w:rPr>
  </w:style>
  <w:style w:type="paragraph" w:customStyle="1" w:styleId="145">
    <w:name w:val="font8"/>
    <w:basedOn w:val="1"/>
    <w:qFormat/>
    <w:uiPriority w:val="0"/>
    <w:pPr>
      <w:widowControl/>
      <w:spacing w:before="100" w:beforeAutospacing="1" w:after="100" w:afterAutospacing="1"/>
      <w:jc w:val="left"/>
    </w:pPr>
    <w:rPr>
      <w:rFonts w:hint="eastAsia" w:ascii="宋体" w:hAnsi="宋体"/>
      <w:b/>
      <w:bCs/>
      <w:kern w:val="0"/>
      <w:sz w:val="20"/>
      <w:szCs w:val="20"/>
      <w:u w:val="single"/>
    </w:rPr>
  </w:style>
  <w:style w:type="paragraph" w:customStyle="1" w:styleId="146">
    <w:name w:val="font9"/>
    <w:basedOn w:val="1"/>
    <w:qFormat/>
    <w:uiPriority w:val="0"/>
    <w:pPr>
      <w:widowControl/>
      <w:spacing w:before="100" w:beforeAutospacing="1" w:after="100" w:afterAutospacing="1"/>
      <w:jc w:val="left"/>
    </w:pPr>
    <w:rPr>
      <w:rFonts w:hint="eastAsia" w:ascii="宋体" w:hAnsi="宋体"/>
      <w:kern w:val="0"/>
      <w:sz w:val="20"/>
      <w:szCs w:val="20"/>
      <w:u w:val="single"/>
    </w:rPr>
  </w:style>
  <w:style w:type="paragraph" w:customStyle="1" w:styleId="147">
    <w:name w:val="font10"/>
    <w:basedOn w:val="1"/>
    <w:qFormat/>
    <w:uiPriority w:val="0"/>
    <w:pPr>
      <w:widowControl/>
      <w:spacing w:before="100" w:beforeAutospacing="1" w:after="100" w:afterAutospacing="1"/>
      <w:jc w:val="left"/>
    </w:pPr>
    <w:rPr>
      <w:b/>
      <w:bCs/>
      <w:kern w:val="0"/>
      <w:sz w:val="20"/>
      <w:szCs w:val="20"/>
      <w:u w:val="single"/>
    </w:rPr>
  </w:style>
  <w:style w:type="paragraph" w:customStyle="1" w:styleId="148">
    <w:name w:val="font11"/>
    <w:basedOn w:val="1"/>
    <w:qFormat/>
    <w:uiPriority w:val="0"/>
    <w:pPr>
      <w:widowControl/>
      <w:spacing w:before="100" w:beforeAutospacing="1" w:after="100" w:afterAutospacing="1"/>
      <w:jc w:val="left"/>
    </w:pPr>
    <w:rPr>
      <w:kern w:val="0"/>
      <w:sz w:val="20"/>
      <w:szCs w:val="20"/>
    </w:rPr>
  </w:style>
  <w:style w:type="paragraph" w:customStyle="1" w:styleId="149">
    <w:name w:val="font12"/>
    <w:basedOn w:val="1"/>
    <w:qFormat/>
    <w:uiPriority w:val="0"/>
    <w:pPr>
      <w:widowControl/>
      <w:spacing w:before="100" w:beforeAutospacing="1" w:after="100" w:afterAutospacing="1"/>
      <w:jc w:val="left"/>
    </w:pPr>
    <w:rPr>
      <w:kern w:val="0"/>
      <w:sz w:val="20"/>
      <w:szCs w:val="20"/>
    </w:rPr>
  </w:style>
  <w:style w:type="paragraph" w:customStyle="1" w:styleId="150">
    <w:name w:val="xl22"/>
    <w:basedOn w:val="1"/>
    <w:qFormat/>
    <w:uiPriority w:val="0"/>
    <w:pPr>
      <w:widowControl/>
      <w:spacing w:before="100" w:beforeAutospacing="1" w:after="100" w:afterAutospacing="1"/>
      <w:jc w:val="center"/>
      <w:textAlignment w:val="center"/>
    </w:pPr>
    <w:rPr>
      <w:rFonts w:ascii="宋体" w:hAnsi="宋体"/>
      <w:b/>
      <w:bCs/>
      <w:kern w:val="0"/>
      <w:sz w:val="28"/>
      <w:szCs w:val="28"/>
    </w:rPr>
  </w:style>
  <w:style w:type="paragraph" w:customStyle="1" w:styleId="151">
    <w:name w:val="xl23"/>
    <w:basedOn w:val="1"/>
    <w:qFormat/>
    <w:uiPriority w:val="0"/>
    <w:pPr>
      <w:widowControl/>
      <w:spacing w:before="100" w:beforeAutospacing="1" w:after="100" w:afterAutospacing="1"/>
      <w:jc w:val="center"/>
      <w:textAlignment w:val="center"/>
    </w:pPr>
    <w:rPr>
      <w:rFonts w:hint="eastAsia" w:ascii="黑体" w:hAnsi="宋体" w:eastAsia="黑体"/>
      <w:kern w:val="0"/>
      <w:sz w:val="22"/>
      <w:szCs w:val="22"/>
    </w:rPr>
  </w:style>
  <w:style w:type="paragraph" w:customStyle="1" w:styleId="152">
    <w:name w:val="xl45"/>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kern w:val="0"/>
      <w:sz w:val="20"/>
      <w:szCs w:val="20"/>
    </w:rPr>
  </w:style>
  <w:style w:type="paragraph" w:customStyle="1" w:styleId="153">
    <w:name w:val="xl4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0"/>
      <w:szCs w:val="20"/>
    </w:rPr>
  </w:style>
  <w:style w:type="paragraph" w:customStyle="1" w:styleId="154">
    <w:name w:val="xl47"/>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kern w:val="0"/>
      <w:sz w:val="24"/>
    </w:rPr>
  </w:style>
  <w:style w:type="paragraph" w:customStyle="1" w:styleId="155">
    <w:name w:val="xl48"/>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156">
    <w:name w:val="xl4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157">
    <w:name w:val="xl5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158">
    <w:name w:val="样式 三号 加粗 居中"/>
    <w:basedOn w:val="50"/>
    <w:qFormat/>
    <w:uiPriority w:val="0"/>
    <w:rPr>
      <w:rFonts w:eastAsia="宋体" w:cs="宋体"/>
      <w:b w:val="0"/>
      <w:bCs w:val="0"/>
    </w:rPr>
  </w:style>
  <w:style w:type="paragraph" w:customStyle="1" w:styleId="159">
    <w:name w:val="样式 章标题"/>
    <w:basedOn w:val="50"/>
    <w:qFormat/>
    <w:uiPriority w:val="0"/>
    <w:pPr>
      <w:tabs>
        <w:tab w:val="left" w:pos="1590"/>
      </w:tabs>
      <w:ind w:left="1590" w:hanging="1590"/>
    </w:pPr>
    <w:rPr>
      <w:rFonts w:eastAsia="宋体"/>
      <w:b w:val="0"/>
      <w:bCs w:val="0"/>
    </w:rPr>
  </w:style>
  <w:style w:type="paragraph" w:customStyle="1" w:styleId="160">
    <w:name w:val="样式 章标题 20 加粗 居中"/>
    <w:basedOn w:val="159"/>
    <w:qFormat/>
    <w:uiPriority w:val="0"/>
    <w:rPr>
      <w:rFonts w:cs="宋体"/>
      <w:b/>
      <w:bCs/>
      <w:sz w:val="40"/>
    </w:rPr>
  </w:style>
  <w:style w:type="paragraph" w:customStyle="1" w:styleId="161">
    <w:name w:val="样式 章标题 + 宋体 加粗 倾斜 黑色"/>
    <w:basedOn w:val="5"/>
    <w:qFormat/>
    <w:uiPriority w:val="0"/>
    <w:pPr>
      <w:keepNext w:val="0"/>
      <w:keepLines w:val="0"/>
      <w:adjustRightInd/>
      <w:spacing w:before="480" w:after="120"/>
      <w:textAlignment w:val="auto"/>
      <w:outlineLvl w:val="9"/>
    </w:pPr>
    <w:rPr>
      <w:i/>
      <w:iCs/>
      <w:color w:val="000000"/>
      <w:w w:val="80"/>
      <w:kern w:val="2"/>
      <w:sz w:val="40"/>
    </w:rPr>
  </w:style>
  <w:style w:type="paragraph" w:customStyle="1" w:styleId="162">
    <w:name w:val="样式 小标题 + 宋体 黑色 首行缩进:  0.74 厘米"/>
    <w:basedOn w:val="22"/>
    <w:qFormat/>
    <w:uiPriority w:val="0"/>
    <w:pPr>
      <w:spacing w:after="120" w:line="240" w:lineRule="auto"/>
      <w:ind w:firstLine="420"/>
    </w:pPr>
    <w:rPr>
      <w:rFonts w:ascii="宋体" w:hAnsi="宋体" w:cs="宋体"/>
      <w:b w:val="0"/>
      <w:bCs w:val="0"/>
      <w:color w:val="000000"/>
      <w:sz w:val="21"/>
      <w:szCs w:val="20"/>
    </w:rPr>
  </w:style>
  <w:style w:type="paragraph" w:customStyle="1" w:styleId="163">
    <w:name w:val="样式 小标题 + (中文) 宋体 加粗 黑色 段前: 0 磅 段后: 0 磅 行距: 多倍行距 1.25 字行"/>
    <w:basedOn w:val="98"/>
    <w:next w:val="22"/>
    <w:qFormat/>
    <w:uiPriority w:val="0"/>
    <w:pPr>
      <w:adjustRightInd w:val="0"/>
      <w:spacing w:before="0" w:after="0" w:line="300" w:lineRule="auto"/>
      <w:ind w:firstLine="422" w:firstLineChars="200"/>
      <w:jc w:val="both"/>
      <w:textAlignment w:val="baseline"/>
      <w:outlineLvl w:val="2"/>
    </w:pPr>
    <w:rPr>
      <w:rFonts w:ascii="黑体" w:eastAsia="宋体" w:cs="宋体"/>
      <w:bCs/>
      <w:color w:val="000000"/>
      <w:w w:val="100"/>
      <w:kern w:val="0"/>
    </w:rPr>
  </w:style>
  <w:style w:type="paragraph" w:customStyle="1" w:styleId="164">
    <w:name w:val="样式 小标题 + (中文) 宋体 加粗 黑色 段前: 0 磅 段后: 0 磅 行距: 多倍行距 1.25 字行1"/>
    <w:basedOn w:val="98"/>
    <w:next w:val="53"/>
    <w:qFormat/>
    <w:uiPriority w:val="0"/>
    <w:pPr>
      <w:adjustRightInd w:val="0"/>
      <w:spacing w:before="0" w:after="0" w:line="300" w:lineRule="auto"/>
      <w:ind w:firstLine="422" w:firstLineChars="200"/>
      <w:jc w:val="both"/>
      <w:textAlignment w:val="baseline"/>
      <w:outlineLvl w:val="2"/>
    </w:pPr>
    <w:rPr>
      <w:rFonts w:ascii="黑体" w:eastAsia="宋体" w:cs="宋体"/>
      <w:bCs/>
      <w:color w:val="000000"/>
      <w:w w:val="100"/>
      <w:kern w:val="0"/>
    </w:rPr>
  </w:style>
  <w:style w:type="paragraph" w:customStyle="1" w:styleId="165">
    <w:name w:val="样式 样式 小标题 + (中文) 宋体 加粗 黑色 段前: 0 磅 段后: 0 磅 行距: 多倍行距 1.25 字行1 + 非加..."/>
    <w:basedOn w:val="164"/>
    <w:next w:val="53"/>
    <w:qFormat/>
    <w:uiPriority w:val="0"/>
    <w:pPr>
      <w:ind w:firstLine="420"/>
    </w:pPr>
    <w:rPr>
      <w:b w:val="0"/>
      <w:bCs w:val="0"/>
    </w:rPr>
  </w:style>
  <w:style w:type="character" w:customStyle="1" w:styleId="166">
    <w:name w:val="批注文字 字符"/>
    <w:link w:val="18"/>
    <w:qFormat/>
    <w:uiPriority w:val="0"/>
    <w:rPr>
      <w:rFonts w:ascii="宋体" w:eastAsia="宋体"/>
      <w:sz w:val="34"/>
      <w:lang w:val="en-US" w:eastAsia="zh-CN" w:bidi="ar-SA"/>
    </w:rPr>
  </w:style>
  <w:style w:type="character" w:customStyle="1" w:styleId="167">
    <w:name w:val="批注主题 字符"/>
    <w:link w:val="51"/>
    <w:qFormat/>
    <w:uiPriority w:val="0"/>
    <w:rPr>
      <w:rFonts w:ascii="宋体" w:eastAsia="宋体"/>
      <w:b/>
      <w:bCs/>
      <w:kern w:val="2"/>
      <w:sz w:val="21"/>
      <w:lang w:val="en-US" w:eastAsia="zh-CN" w:bidi="ar-SA"/>
    </w:rPr>
  </w:style>
  <w:style w:type="paragraph" w:customStyle="1" w:styleId="168">
    <w:name w:val="前言、引言标题"/>
    <w:next w:val="1"/>
    <w:qFormat/>
    <w:uiPriority w:val="0"/>
    <w:pPr>
      <w:shd w:val="clear" w:color="FFFFFF" w:fill="FFFFFF"/>
      <w:tabs>
        <w:tab w:val="left" w:pos="360"/>
        <w:tab w:val="left" w:pos="760"/>
      </w:tabs>
      <w:spacing w:before="640" w:after="560"/>
      <w:ind w:left="717" w:hanging="317"/>
      <w:jc w:val="center"/>
      <w:outlineLvl w:val="0"/>
    </w:pPr>
    <w:rPr>
      <w:rFonts w:ascii="黑体" w:hAnsi="Times New Roman" w:eastAsia="黑体" w:cs="Times New Roman"/>
      <w:sz w:val="32"/>
      <w:lang w:val="en-US" w:eastAsia="zh-CN" w:bidi="ar-SA"/>
    </w:rPr>
  </w:style>
  <w:style w:type="paragraph" w:customStyle="1" w:styleId="169">
    <w:name w:val="列项●（二级）"/>
    <w:qFormat/>
    <w:uiPriority w:val="0"/>
    <w:pPr>
      <w:tabs>
        <w:tab w:val="left" w:pos="360"/>
        <w:tab w:val="left" w:pos="840"/>
      </w:tabs>
      <w:jc w:val="both"/>
    </w:pPr>
    <w:rPr>
      <w:rFonts w:ascii="宋体" w:hAnsi="Times New Roman" w:eastAsia="宋体" w:cs="Times New Roman"/>
      <w:sz w:val="21"/>
      <w:lang w:val="en-US" w:eastAsia="zh-CN" w:bidi="ar-SA"/>
    </w:rPr>
  </w:style>
  <w:style w:type="paragraph" w:customStyle="1" w:styleId="170">
    <w:name w:val="二级条标题"/>
    <w:basedOn w:val="1"/>
    <w:next w:val="1"/>
    <w:qFormat/>
    <w:uiPriority w:val="0"/>
    <w:pPr>
      <w:widowControl/>
      <w:tabs>
        <w:tab w:val="left" w:pos="1680"/>
      </w:tabs>
      <w:ind w:left="1680" w:hanging="420"/>
      <w:jc w:val="left"/>
      <w:outlineLvl w:val="3"/>
    </w:pPr>
    <w:rPr>
      <w:rFonts w:eastAsia="黑体"/>
      <w:kern w:val="0"/>
      <w:szCs w:val="20"/>
    </w:rPr>
  </w:style>
  <w:style w:type="character" w:customStyle="1" w:styleId="171">
    <w:name w:val="fo Char"/>
    <w:qFormat/>
    <w:uiPriority w:val="0"/>
    <w:rPr>
      <w:rFonts w:eastAsia="宋体"/>
      <w:kern w:val="2"/>
      <w:sz w:val="18"/>
      <w:szCs w:val="18"/>
      <w:lang w:val="en-US" w:eastAsia="zh-CN" w:bidi="ar-SA"/>
    </w:rPr>
  </w:style>
  <w:style w:type="paragraph" w:customStyle="1" w:styleId="172">
    <w:name w:val="明显引用1"/>
    <w:basedOn w:val="1"/>
    <w:next w:val="1"/>
    <w:link w:val="173"/>
    <w:qFormat/>
    <w:uiPriority w:val="0"/>
    <w:pPr>
      <w:pBdr>
        <w:bottom w:val="single" w:color="4F81BD" w:sz="4" w:space="4"/>
      </w:pBdr>
      <w:spacing w:before="200" w:after="280"/>
      <w:ind w:left="936" w:right="936"/>
    </w:pPr>
    <w:rPr>
      <w:b/>
      <w:bCs/>
      <w:i/>
      <w:iCs/>
      <w:color w:val="4F81BD"/>
    </w:rPr>
  </w:style>
  <w:style w:type="character" w:customStyle="1" w:styleId="173">
    <w:name w:val="明显引用 Char"/>
    <w:link w:val="172"/>
    <w:qFormat/>
    <w:uiPriority w:val="0"/>
    <w:rPr>
      <w:rFonts w:eastAsia="宋体"/>
      <w:b/>
      <w:bCs/>
      <w:i/>
      <w:iCs/>
      <w:color w:val="4F81BD"/>
      <w:kern w:val="2"/>
      <w:sz w:val="21"/>
      <w:szCs w:val="24"/>
      <w:lang w:val="en-US" w:eastAsia="zh-CN" w:bidi="ar-SA"/>
    </w:rPr>
  </w:style>
  <w:style w:type="character" w:customStyle="1" w:styleId="174">
    <w:name w:val="Char Char3"/>
    <w:qFormat/>
    <w:locked/>
    <w:uiPriority w:val="0"/>
    <w:rPr>
      <w:rFonts w:ascii="Arial" w:hAnsi="Arial" w:eastAsia="黑体"/>
      <w:b/>
      <w:bCs/>
      <w:kern w:val="2"/>
      <w:sz w:val="32"/>
      <w:szCs w:val="32"/>
      <w:lang w:val="en-US" w:eastAsia="zh-CN" w:bidi="ar-SA"/>
    </w:rPr>
  </w:style>
  <w:style w:type="character" w:customStyle="1" w:styleId="175">
    <w:name w:val="页眉 字符"/>
    <w:link w:val="37"/>
    <w:qFormat/>
    <w:locked/>
    <w:uiPriority w:val="0"/>
    <w:rPr>
      <w:rFonts w:eastAsia="宋体"/>
      <w:kern w:val="2"/>
      <w:sz w:val="18"/>
      <w:szCs w:val="18"/>
      <w:lang w:val="en-US" w:eastAsia="zh-CN" w:bidi="ar-SA"/>
    </w:rPr>
  </w:style>
  <w:style w:type="character" w:customStyle="1" w:styleId="176">
    <w:name w:val="Char Char1"/>
    <w:qFormat/>
    <w:locked/>
    <w:uiPriority w:val="0"/>
    <w:rPr>
      <w:rFonts w:ascii="宋体" w:hAnsi="宋体" w:eastAsia="宋体"/>
      <w:kern w:val="2"/>
      <w:sz w:val="18"/>
      <w:szCs w:val="18"/>
      <w:lang w:val="en-US" w:eastAsia="zh-CN" w:bidi="ar-SA"/>
    </w:rPr>
  </w:style>
  <w:style w:type="character" w:customStyle="1" w:styleId="177">
    <w:name w:val="文档结构图 字符"/>
    <w:link w:val="17"/>
    <w:semiHidden/>
    <w:qFormat/>
    <w:locked/>
    <w:uiPriority w:val="0"/>
    <w:rPr>
      <w:rFonts w:eastAsia="宋体"/>
      <w:kern w:val="2"/>
      <w:sz w:val="21"/>
      <w:szCs w:val="24"/>
      <w:lang w:val="en-US" w:eastAsia="zh-CN" w:bidi="ar-SA"/>
    </w:rPr>
  </w:style>
  <w:style w:type="character" w:customStyle="1" w:styleId="178">
    <w:name w:val="Char Char2"/>
    <w:qFormat/>
    <w:uiPriority w:val="0"/>
    <w:rPr>
      <w:rFonts w:eastAsia="宋体"/>
      <w:kern w:val="2"/>
      <w:sz w:val="18"/>
      <w:szCs w:val="18"/>
      <w:lang w:val="en-US" w:eastAsia="zh-CN" w:bidi="ar-SA"/>
    </w:rPr>
  </w:style>
  <w:style w:type="paragraph" w:customStyle="1" w:styleId="179">
    <w:name w:val="Char1 Char Char Char Char Char Char Char Char Char Char Char Char"/>
    <w:basedOn w:val="1"/>
    <w:qFormat/>
    <w:uiPriority w:val="0"/>
    <w:rPr>
      <w:rFonts w:ascii="仿宋_GB2312" w:eastAsia="仿宋_GB2312"/>
      <w:b/>
      <w:sz w:val="32"/>
      <w:szCs w:val="32"/>
    </w:rPr>
  </w:style>
  <w:style w:type="character" w:customStyle="1" w:styleId="180">
    <w:name w:val="Char Char9"/>
    <w:qFormat/>
    <w:uiPriority w:val="0"/>
    <w:rPr>
      <w:rFonts w:eastAsia="宋体"/>
      <w:b/>
      <w:bCs/>
      <w:kern w:val="2"/>
      <w:sz w:val="24"/>
      <w:szCs w:val="24"/>
      <w:lang w:val="en-US" w:eastAsia="zh-CN" w:bidi="ar-SA"/>
    </w:rPr>
  </w:style>
  <w:style w:type="paragraph" w:customStyle="1" w:styleId="181">
    <w:name w:val="缩进正文"/>
    <w:basedOn w:val="1"/>
    <w:link w:val="182"/>
    <w:qFormat/>
    <w:uiPriority w:val="0"/>
    <w:pPr>
      <w:ind w:firstLine="560" w:firstLineChars="200"/>
    </w:pPr>
    <w:rPr>
      <w:rFonts w:eastAsia="仿宋_GB2312" w:cs="宋体"/>
      <w:sz w:val="28"/>
      <w:szCs w:val="20"/>
    </w:rPr>
  </w:style>
  <w:style w:type="character" w:customStyle="1" w:styleId="182">
    <w:name w:val="缩进正文 Char"/>
    <w:link w:val="181"/>
    <w:qFormat/>
    <w:uiPriority w:val="0"/>
    <w:rPr>
      <w:rFonts w:eastAsia="仿宋_GB2312" w:cs="宋体"/>
      <w:kern w:val="2"/>
      <w:sz w:val="28"/>
      <w:lang w:val="en-US" w:eastAsia="zh-CN" w:bidi="ar-SA"/>
    </w:rPr>
  </w:style>
  <w:style w:type="paragraph" w:customStyle="1" w:styleId="183">
    <w:name w:val="TOC 标题1"/>
    <w:basedOn w:val="2"/>
    <w:next w:val="1"/>
    <w:qFormat/>
    <w:uiPriority w:val="39"/>
    <w:pPr>
      <w:widowControl/>
      <w:spacing w:before="480" w:after="0" w:line="276" w:lineRule="auto"/>
      <w:jc w:val="left"/>
      <w:outlineLvl w:val="9"/>
    </w:pPr>
    <w:rPr>
      <w:rFonts w:ascii="Cambria" w:hAnsi="Cambria" w:eastAsia="宋体"/>
      <w:color w:val="365F91"/>
      <w:kern w:val="0"/>
      <w:szCs w:val="28"/>
    </w:rPr>
  </w:style>
  <w:style w:type="paragraph" w:customStyle="1" w:styleId="184">
    <w:name w:val="Char1"/>
    <w:basedOn w:val="1"/>
    <w:qFormat/>
    <w:uiPriority w:val="0"/>
    <w:pPr>
      <w:widowControl/>
      <w:spacing w:after="160" w:line="240" w:lineRule="exact"/>
      <w:jc w:val="left"/>
    </w:pPr>
    <w:rPr>
      <w:rFonts w:ascii="Verdana" w:hAnsi="Verdana" w:eastAsia="仿宋_GB2312"/>
      <w:kern w:val="0"/>
      <w:sz w:val="24"/>
      <w:szCs w:val="20"/>
      <w:lang w:eastAsia="en-US"/>
    </w:rPr>
  </w:style>
  <w:style w:type="character" w:customStyle="1" w:styleId="185">
    <w:name w:val="h Char"/>
    <w:qFormat/>
    <w:locked/>
    <w:uiPriority w:val="0"/>
    <w:rPr>
      <w:rFonts w:eastAsia="宋体"/>
      <w:kern w:val="2"/>
      <w:sz w:val="18"/>
      <w:szCs w:val="18"/>
      <w:lang w:val="en-US" w:eastAsia="zh-CN" w:bidi="ar-SA"/>
    </w:rPr>
  </w:style>
  <w:style w:type="character" w:customStyle="1" w:styleId="186">
    <w:name w:val="H2 Char1"/>
    <w:qFormat/>
    <w:uiPriority w:val="0"/>
    <w:rPr>
      <w:rFonts w:ascii="宋体" w:hAnsi="宋体" w:eastAsia="宋体"/>
      <w:b/>
      <w:bCs/>
      <w:sz w:val="24"/>
      <w:lang w:val="en-US" w:eastAsia="zh-CN" w:bidi="ar-SA"/>
    </w:rPr>
  </w:style>
  <w:style w:type="character" w:customStyle="1" w:styleId="187">
    <w:name w:val="EHPT Char1"/>
    <w:qFormat/>
    <w:uiPriority w:val="0"/>
    <w:rPr>
      <w:rFonts w:eastAsia="宋体"/>
      <w:b/>
      <w:bCs/>
      <w:kern w:val="2"/>
      <w:sz w:val="24"/>
      <w:szCs w:val="24"/>
      <w:lang w:val="en-US" w:eastAsia="zh-CN" w:bidi="ar-SA"/>
    </w:rPr>
  </w:style>
  <w:style w:type="paragraph" w:customStyle="1" w:styleId="188">
    <w:name w:val="列出段落1"/>
    <w:basedOn w:val="1"/>
    <w:qFormat/>
    <w:uiPriority w:val="0"/>
    <w:pPr>
      <w:spacing w:line="360" w:lineRule="auto"/>
      <w:ind w:firstLine="420" w:firstLineChars="200"/>
    </w:pPr>
    <w:rPr>
      <w:sz w:val="24"/>
    </w:rPr>
  </w:style>
  <w:style w:type="character" w:customStyle="1" w:styleId="189">
    <w:name w:val="批注框文本 Char"/>
    <w:semiHidden/>
    <w:qFormat/>
    <w:uiPriority w:val="0"/>
    <w:rPr>
      <w:rFonts w:ascii="Times New Roman" w:hAnsi="Times New Roman"/>
      <w:kern w:val="2"/>
      <w:sz w:val="18"/>
      <w:szCs w:val="18"/>
    </w:rPr>
  </w:style>
  <w:style w:type="character" w:customStyle="1" w:styleId="190">
    <w:name w:val="正文1"/>
    <w:qFormat/>
    <w:uiPriority w:val="0"/>
    <w:rPr>
      <w:rFonts w:hint="eastAsia" w:ascii="宋体" w:hAnsi="宋体" w:eastAsia="宋体"/>
      <w:color w:val="000000"/>
      <w:sz w:val="24"/>
      <w:szCs w:val="24"/>
    </w:rPr>
  </w:style>
  <w:style w:type="paragraph" w:customStyle="1" w:styleId="191">
    <w:name w:val="默认段落字体 Para Char Char Char Char Char Char Char Char Char"/>
    <w:basedOn w:val="1"/>
    <w:qFormat/>
    <w:uiPriority w:val="0"/>
    <w:rPr>
      <w:rFonts w:ascii="Tahoma" w:hAnsi="Tahoma"/>
      <w:sz w:val="24"/>
      <w:szCs w:val="20"/>
    </w:rPr>
  </w:style>
  <w:style w:type="paragraph" w:customStyle="1" w:styleId="192">
    <w:name w:val="Char Char8 Char Char Char Char Char Char Char Char Char Char"/>
    <w:basedOn w:val="1"/>
    <w:qFormat/>
    <w:uiPriority w:val="0"/>
    <w:pPr>
      <w:widowControl/>
      <w:spacing w:after="160" w:line="240" w:lineRule="exact"/>
      <w:jc w:val="left"/>
    </w:pPr>
    <w:rPr>
      <w:rFonts w:ascii="Verdana" w:hAnsi="Verdana" w:eastAsia="仿宋_GB2312"/>
      <w:kern w:val="0"/>
      <w:sz w:val="24"/>
      <w:szCs w:val="20"/>
      <w:lang w:eastAsia="en-US"/>
    </w:rPr>
  </w:style>
  <w:style w:type="table" w:customStyle="1" w:styleId="193">
    <w:name w:val="网格型1"/>
    <w:basedOn w:val="54"/>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94">
    <w:name w:val="List Paragraph"/>
    <w:basedOn w:val="1"/>
    <w:qFormat/>
    <w:uiPriority w:val="99"/>
    <w:pPr>
      <w:ind w:firstLine="420" w:firstLineChars="200"/>
    </w:pPr>
  </w:style>
  <w:style w:type="character" w:customStyle="1" w:styleId="195">
    <w:name w:val="明显强调1"/>
    <w:basedOn w:val="58"/>
    <w:qFormat/>
    <w:uiPriority w:val="21"/>
    <w:rPr>
      <w:i/>
      <w:iCs/>
      <w:color w:val="5B9BD5" w:themeColor="accent1"/>
      <w14:textFill>
        <w14:solidFill>
          <w14:schemeClr w14:val="accent1"/>
        </w14:solidFill>
      </w14:textFill>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深圳市清华斯维尔软件科技有限公司</Company>
  <Pages>49</Pages>
  <Words>5254</Words>
  <Characters>29954</Characters>
  <Lines>249</Lines>
  <Paragraphs>70</Paragraphs>
  <TotalTime>16</TotalTime>
  <ScaleCrop>false</ScaleCrop>
  <LinksUpToDate>false</LinksUpToDate>
  <CharactersWithSpaces>35138</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2021-01-11T06:41:00Z</dcterms:created>
  <dc:creator>thsware</dc:creator>
  <cp:lastModifiedBy>lenovo</cp:lastModifiedBy>
  <cp:lastPrinted>2021-01-26T08:44:54Z</cp:lastPrinted>
  <dcterms:modified xsi:type="dcterms:W3CDTF">2021-01-26T08:45:50Z</dcterms:modified>
  <dc:title>招  标　文　件</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