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83" w:type="pct"/>
        <w:jc w:val="center"/>
        <w:tblCellSpacing w:w="0" w:type="dxa"/>
        <w:tblCellMar>
          <w:left w:w="0" w:type="dxa"/>
          <w:right w:w="0" w:type="dxa"/>
        </w:tblCellMar>
        <w:tblLook w:val="04A0"/>
      </w:tblPr>
      <w:tblGrid>
        <w:gridCol w:w="8942"/>
      </w:tblGrid>
      <w:tr w:rsidR="00667FC1" w:rsidRPr="00667FC1" w:rsidTr="00667FC1">
        <w:trPr>
          <w:trHeight w:val="750"/>
          <w:tblCellSpacing w:w="0" w:type="dxa"/>
          <w:jc w:val="center"/>
        </w:trPr>
        <w:tc>
          <w:tcPr>
            <w:tcW w:w="5000" w:type="pct"/>
            <w:vAlign w:val="center"/>
            <w:hideMark/>
          </w:tcPr>
          <w:p w:rsidR="004F7C45" w:rsidRPr="0098187B" w:rsidRDefault="0098187B" w:rsidP="00D3676C">
            <w:pPr>
              <w:widowControl/>
              <w:spacing w:line="408" w:lineRule="auto"/>
              <w:jc w:val="center"/>
              <w:rPr>
                <w:rFonts w:ascii="黑体" w:eastAsia="黑体" w:hAnsi="黑体" w:cs="宋体"/>
                <w:color w:val="222222"/>
                <w:kern w:val="0"/>
                <w:sz w:val="28"/>
                <w:szCs w:val="28"/>
              </w:rPr>
            </w:pPr>
            <w:r w:rsidRPr="0098187B">
              <w:rPr>
                <w:rFonts w:ascii="黑体" w:eastAsia="黑体" w:hAnsi="黑体" w:cs="宋体" w:hint="eastAsia"/>
                <w:color w:val="222222"/>
                <w:kern w:val="0"/>
                <w:sz w:val="28"/>
                <w:szCs w:val="28"/>
              </w:rPr>
              <w:t>教工宿舍区国际学生宿舍装修工程设计服务</w:t>
            </w:r>
          </w:p>
          <w:p w:rsidR="00667FC1" w:rsidRPr="00667FC1" w:rsidRDefault="00D3676C" w:rsidP="00D3676C">
            <w:pPr>
              <w:widowControl/>
              <w:spacing w:line="408" w:lineRule="auto"/>
              <w:jc w:val="center"/>
              <w:rPr>
                <w:rFonts w:ascii="黑体" w:eastAsia="黑体" w:hAnsi="黑体" w:cs="宋体"/>
                <w:color w:val="222222"/>
                <w:kern w:val="0"/>
                <w:sz w:val="28"/>
                <w:szCs w:val="28"/>
              </w:rPr>
            </w:pPr>
            <w:r>
              <w:rPr>
                <w:rFonts w:ascii="黑体" w:eastAsia="黑体" w:hAnsi="黑体" w:cs="宋体"/>
                <w:color w:val="222222"/>
                <w:kern w:val="0"/>
                <w:sz w:val="28"/>
                <w:szCs w:val="28"/>
              </w:rPr>
              <w:t>采购信息公开</w:t>
            </w:r>
            <w:r>
              <w:rPr>
                <w:rFonts w:ascii="黑体" w:eastAsia="黑体" w:hAnsi="黑体" w:cs="宋体" w:hint="eastAsia"/>
                <w:color w:val="222222"/>
                <w:kern w:val="0"/>
                <w:sz w:val="28"/>
                <w:szCs w:val="28"/>
              </w:rPr>
              <w:t>（服务</w:t>
            </w:r>
            <w:r w:rsidR="00667FC1" w:rsidRPr="00667FC1">
              <w:rPr>
                <w:rFonts w:ascii="黑体" w:eastAsia="黑体" w:hAnsi="黑体" w:cs="宋体"/>
                <w:color w:val="222222"/>
                <w:kern w:val="0"/>
                <w:sz w:val="28"/>
                <w:szCs w:val="28"/>
              </w:rPr>
              <w:t>类）</w:t>
            </w:r>
          </w:p>
        </w:tc>
      </w:tr>
      <w:tr w:rsidR="00667FC1" w:rsidRPr="00667FC1" w:rsidTr="00667FC1">
        <w:trPr>
          <w:trHeight w:val="600"/>
          <w:tblCellSpacing w:w="0" w:type="dxa"/>
          <w:jc w:val="center"/>
        </w:trPr>
        <w:tc>
          <w:tcPr>
            <w:tcW w:w="5000" w:type="pct"/>
            <w:vAlign w:val="center"/>
            <w:hideMark/>
          </w:tcPr>
          <w:p w:rsidR="00667FC1" w:rsidRDefault="00667FC1" w:rsidP="00667FC1">
            <w:pPr>
              <w:widowControl/>
              <w:spacing w:line="408" w:lineRule="auto"/>
              <w:rPr>
                <w:rFonts w:ascii="黑体" w:eastAsia="黑体" w:hAnsi="黑体" w:cs="宋体"/>
                <w:color w:val="222222"/>
                <w:kern w:val="0"/>
                <w:sz w:val="28"/>
                <w:szCs w:val="28"/>
              </w:rPr>
            </w:pPr>
          </w:p>
          <w:p w:rsidR="00667FC1" w:rsidRPr="00667FC1" w:rsidRDefault="00667FC1" w:rsidP="00BE07E5">
            <w:pPr>
              <w:widowControl/>
              <w:spacing w:line="408" w:lineRule="auto"/>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一</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采购</w:t>
            </w:r>
            <w:r w:rsidRPr="00667FC1">
              <w:rPr>
                <w:rFonts w:ascii="黑体" w:eastAsia="黑体" w:hAnsi="黑体" w:cs="宋体"/>
                <w:color w:val="222222"/>
                <w:kern w:val="0"/>
                <w:sz w:val="28"/>
                <w:szCs w:val="28"/>
              </w:rPr>
              <w:t>单位：</w:t>
            </w:r>
            <w:r w:rsidR="00E34CD3" w:rsidRPr="00E34CD3">
              <w:rPr>
                <w:rFonts w:asciiTheme="minorEastAsia" w:hAnsiTheme="minorEastAsia" w:cs="宋体" w:hint="eastAsia"/>
                <w:color w:val="222222"/>
                <w:kern w:val="0"/>
                <w:sz w:val="28"/>
                <w:szCs w:val="28"/>
              </w:rPr>
              <w:t>后勤保障部</w:t>
            </w:r>
          </w:p>
        </w:tc>
      </w:tr>
      <w:tr w:rsidR="00667FC1" w:rsidRPr="00667FC1" w:rsidTr="00667FC1">
        <w:trPr>
          <w:tblCellSpacing w:w="0" w:type="dxa"/>
          <w:jc w:val="center"/>
        </w:trPr>
        <w:tc>
          <w:tcPr>
            <w:tcW w:w="5000" w:type="pct"/>
            <w:vAlign w:val="center"/>
            <w:hideMark/>
          </w:tcPr>
          <w:p w:rsidR="00667FC1" w:rsidRDefault="00667FC1" w:rsidP="00667FC1">
            <w:pPr>
              <w:widowControl/>
              <w:spacing w:line="560" w:lineRule="atLeas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二</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项目名称：</w:t>
            </w:r>
            <w:r w:rsidR="0098187B" w:rsidRPr="0098187B">
              <w:rPr>
                <w:rFonts w:asciiTheme="minorEastAsia" w:hAnsiTheme="minorEastAsia" w:cs="宋体" w:hint="eastAsia"/>
                <w:color w:val="222222"/>
                <w:kern w:val="0"/>
                <w:sz w:val="28"/>
                <w:szCs w:val="28"/>
              </w:rPr>
              <w:t>教工宿舍区国际学生宿舍装修工程设计服务</w:t>
            </w:r>
          </w:p>
          <w:p w:rsidR="008D4A59" w:rsidRPr="00667FC1" w:rsidRDefault="008D4A59"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 xml:space="preserve">  </w:t>
            </w:r>
            <w:r w:rsidRPr="0098187B">
              <w:rPr>
                <w:rFonts w:asciiTheme="minorEastAsia" w:hAnsiTheme="minorEastAsia" w:cs="宋体" w:hint="eastAsia"/>
                <w:color w:val="222222"/>
                <w:kern w:val="0"/>
                <w:sz w:val="28"/>
                <w:szCs w:val="28"/>
              </w:rPr>
              <w:t xml:space="preserve">  （采购编号：</w:t>
            </w:r>
            <w:r w:rsidR="0098187B" w:rsidRPr="0098187B">
              <w:rPr>
                <w:rFonts w:asciiTheme="minorEastAsia" w:hAnsiTheme="minorEastAsia" w:cs="宋体"/>
                <w:color w:val="222222"/>
                <w:kern w:val="0"/>
                <w:sz w:val="28"/>
                <w:szCs w:val="28"/>
              </w:rPr>
              <w:t>SZUHQ202304005</w:t>
            </w:r>
            <w:r w:rsidR="0098187B" w:rsidRPr="0098187B">
              <w:rPr>
                <w:rFonts w:asciiTheme="minorEastAsia" w:hAnsiTheme="minorEastAsia" w:cs="宋体" w:hint="eastAsia"/>
                <w:color w:val="222222"/>
                <w:kern w:val="0"/>
                <w:sz w:val="28"/>
                <w:szCs w:val="28"/>
              </w:rPr>
              <w:t>-</w:t>
            </w:r>
            <w:r w:rsidR="0098187B" w:rsidRPr="0098187B">
              <w:rPr>
                <w:rFonts w:asciiTheme="minorEastAsia" w:hAnsiTheme="minorEastAsia" w:cs="宋体"/>
                <w:color w:val="222222"/>
                <w:kern w:val="0"/>
                <w:sz w:val="28"/>
                <w:szCs w:val="28"/>
              </w:rPr>
              <w:t>3</w:t>
            </w:r>
            <w:r w:rsidR="0098187B" w:rsidRPr="0098187B">
              <w:rPr>
                <w:rFonts w:asciiTheme="minorEastAsia" w:hAnsiTheme="minorEastAsia" w:cs="宋体" w:hint="eastAsia"/>
                <w:color w:val="222222"/>
                <w:kern w:val="0"/>
                <w:sz w:val="28"/>
                <w:szCs w:val="28"/>
              </w:rPr>
              <w:t>FW</w:t>
            </w:r>
            <w:r w:rsidRPr="0098187B">
              <w:rPr>
                <w:rFonts w:asciiTheme="minorEastAsia" w:hAnsiTheme="minorEastAsia" w:cs="宋体" w:hint="eastAsia"/>
                <w:color w:val="222222"/>
                <w:kern w:val="0"/>
                <w:sz w:val="28"/>
                <w:szCs w:val="28"/>
              </w:rPr>
              <w:t>）</w:t>
            </w:r>
          </w:p>
          <w:p w:rsidR="00667FC1" w:rsidRDefault="00667FC1" w:rsidP="00667FC1">
            <w:pPr>
              <w:widowControl/>
              <w:spacing w:line="560" w:lineRule="atLeas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三、公开信息：</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1.</w:t>
            </w:r>
            <w:r w:rsidR="00E15692">
              <w:rPr>
                <w:rFonts w:ascii="黑体" w:eastAsia="黑体" w:hAnsi="黑体" w:cs="宋体" w:hint="eastAsia"/>
                <w:color w:val="222222"/>
                <w:kern w:val="0"/>
                <w:sz w:val="28"/>
                <w:szCs w:val="28"/>
              </w:rPr>
              <w:t>服务内容</w:t>
            </w:r>
            <w:r>
              <w:rPr>
                <w:rFonts w:ascii="黑体" w:eastAsia="黑体" w:hAnsi="黑体" w:cs="宋体"/>
                <w:color w:val="222222"/>
                <w:kern w:val="0"/>
                <w:sz w:val="28"/>
                <w:szCs w:val="28"/>
              </w:rPr>
              <w:t>：</w:t>
            </w:r>
            <w:r w:rsidR="0098187B" w:rsidRPr="0098187B">
              <w:rPr>
                <w:rFonts w:asciiTheme="minorEastAsia" w:hAnsiTheme="minorEastAsia" w:cs="宋体" w:hint="eastAsia"/>
                <w:color w:val="222222"/>
                <w:kern w:val="0"/>
                <w:sz w:val="28"/>
                <w:szCs w:val="28"/>
              </w:rPr>
              <w:t>根据工程相关法律法规及技术标准，中标人按照采购方要求进行教工宿舍区国际学生宿舍装修工程设计服务，具体包括但不限于：前期方案设计、初步设计、施工图设计（包括但不限于土建、装修、强弱电、消防、给排水、暖通在内的多种专业）；配合进行设计交底、答疑；处理工程项目实施过程中所出现的变更设计，出具设计变更通知书、设计变更施工图；配合竣工验收及协助采购方完成审计及结算审核相关工作。</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2.</w:t>
            </w:r>
            <w:r w:rsidR="00E15692">
              <w:rPr>
                <w:rFonts w:ascii="黑体" w:eastAsia="黑体" w:hAnsi="黑体" w:cs="宋体" w:hint="eastAsia"/>
                <w:color w:val="222222"/>
                <w:kern w:val="0"/>
                <w:sz w:val="28"/>
                <w:szCs w:val="28"/>
              </w:rPr>
              <w:t>服务</w:t>
            </w:r>
            <w:r w:rsidR="00E15692">
              <w:rPr>
                <w:rFonts w:ascii="黑体" w:eastAsia="黑体" w:hAnsi="黑体" w:cs="宋体"/>
                <w:color w:val="222222"/>
                <w:kern w:val="0"/>
                <w:sz w:val="28"/>
                <w:szCs w:val="28"/>
              </w:rPr>
              <w:t>期限</w:t>
            </w:r>
            <w:r>
              <w:rPr>
                <w:rFonts w:ascii="黑体" w:eastAsia="黑体" w:hAnsi="黑体" w:cs="宋体"/>
                <w:color w:val="222222"/>
                <w:kern w:val="0"/>
                <w:sz w:val="28"/>
                <w:szCs w:val="28"/>
              </w:rPr>
              <w:t>：</w:t>
            </w:r>
            <w:r w:rsidR="0098187B" w:rsidRPr="0098187B">
              <w:rPr>
                <w:rFonts w:asciiTheme="minorEastAsia" w:hAnsiTheme="minorEastAsia" w:cs="宋体" w:hint="eastAsia"/>
                <w:color w:val="222222"/>
                <w:kern w:val="0"/>
                <w:sz w:val="28"/>
                <w:szCs w:val="28"/>
              </w:rPr>
              <w:t>合同签订后至工程项目竣工验收</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3.成交供应商：</w:t>
            </w:r>
            <w:r w:rsidR="0098187B" w:rsidRPr="0098187B">
              <w:rPr>
                <w:rFonts w:asciiTheme="minorEastAsia" w:hAnsiTheme="minorEastAsia" w:cs="宋体"/>
                <w:color w:val="222222"/>
                <w:kern w:val="0"/>
                <w:sz w:val="28"/>
                <w:szCs w:val="28"/>
              </w:rPr>
              <w:t>深圳市东海建设集团有限公司</w:t>
            </w:r>
          </w:p>
          <w:p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4.预算</w:t>
            </w:r>
            <w:r>
              <w:rPr>
                <w:rFonts w:ascii="黑体" w:eastAsia="黑体" w:hAnsi="黑体" w:cs="宋体"/>
                <w:color w:val="222222"/>
                <w:kern w:val="0"/>
                <w:sz w:val="28"/>
                <w:szCs w:val="28"/>
              </w:rPr>
              <w:t>金额：</w:t>
            </w:r>
            <w:r w:rsidR="0098187B" w:rsidRPr="0098187B">
              <w:rPr>
                <w:rFonts w:asciiTheme="minorEastAsia" w:hAnsiTheme="minorEastAsia" w:cs="宋体"/>
                <w:color w:val="222222"/>
                <w:kern w:val="0"/>
                <w:sz w:val="28"/>
                <w:szCs w:val="28"/>
              </w:rPr>
              <w:t>设计费上限为</w:t>
            </w:r>
            <w:r w:rsidR="0098187B" w:rsidRPr="0098187B">
              <w:rPr>
                <w:rFonts w:asciiTheme="minorEastAsia" w:hAnsiTheme="minorEastAsia" w:cs="宋体" w:hint="eastAsia"/>
                <w:color w:val="222222"/>
                <w:kern w:val="0"/>
                <w:sz w:val="28"/>
                <w:szCs w:val="28"/>
              </w:rPr>
              <w:t>50000</w:t>
            </w:r>
            <w:r w:rsidR="0098187B" w:rsidRPr="0098187B">
              <w:rPr>
                <w:rFonts w:asciiTheme="minorEastAsia" w:hAnsiTheme="minorEastAsia" w:cs="宋体"/>
                <w:color w:val="222222"/>
                <w:kern w:val="0"/>
                <w:sz w:val="28"/>
                <w:szCs w:val="28"/>
              </w:rPr>
              <w:t>元（取费标准为</w:t>
            </w:r>
            <w:r w:rsidR="0098187B" w:rsidRPr="0098187B">
              <w:rPr>
                <w:rFonts w:asciiTheme="minorEastAsia" w:hAnsiTheme="minorEastAsia" w:cs="宋体" w:hint="eastAsia"/>
                <w:color w:val="222222"/>
                <w:kern w:val="0"/>
                <w:sz w:val="28"/>
                <w:szCs w:val="28"/>
              </w:rPr>
              <w:t>5</w:t>
            </w:r>
            <w:r w:rsidR="0098187B" w:rsidRPr="0098187B">
              <w:rPr>
                <w:rFonts w:asciiTheme="minorEastAsia" w:hAnsiTheme="minorEastAsia" w:cs="宋体"/>
                <w:color w:val="222222"/>
                <w:kern w:val="0"/>
                <w:sz w:val="28"/>
                <w:szCs w:val="28"/>
              </w:rPr>
              <w:t>％）</w:t>
            </w:r>
          </w:p>
          <w:p w:rsidR="00667FC1" w:rsidRP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color w:val="222222"/>
                <w:kern w:val="0"/>
                <w:sz w:val="28"/>
                <w:szCs w:val="28"/>
              </w:rPr>
              <w:t>5.</w:t>
            </w:r>
            <w:r>
              <w:rPr>
                <w:rFonts w:ascii="黑体" w:eastAsia="黑体" w:hAnsi="黑体" w:cs="宋体" w:hint="eastAsia"/>
                <w:color w:val="222222"/>
                <w:kern w:val="0"/>
                <w:sz w:val="28"/>
                <w:szCs w:val="28"/>
              </w:rPr>
              <w:t>成交</w:t>
            </w:r>
            <w:r>
              <w:rPr>
                <w:rFonts w:ascii="黑体" w:eastAsia="黑体" w:hAnsi="黑体" w:cs="宋体"/>
                <w:color w:val="222222"/>
                <w:kern w:val="0"/>
                <w:sz w:val="28"/>
                <w:szCs w:val="28"/>
              </w:rPr>
              <w:t>价格：</w:t>
            </w:r>
            <w:r w:rsidR="0098187B" w:rsidRPr="0098187B">
              <w:rPr>
                <w:rFonts w:asciiTheme="minorEastAsia" w:hAnsiTheme="minorEastAsia" w:cs="宋体" w:hint="eastAsia"/>
                <w:color w:val="222222"/>
                <w:kern w:val="0"/>
                <w:sz w:val="28"/>
                <w:szCs w:val="28"/>
              </w:rPr>
              <w:t>中标费用为18000元（</w:t>
            </w:r>
            <w:r w:rsidR="0098187B" w:rsidRPr="0098187B">
              <w:rPr>
                <w:rFonts w:asciiTheme="minorEastAsia" w:hAnsiTheme="minorEastAsia" w:cs="宋体"/>
                <w:color w:val="222222"/>
                <w:kern w:val="0"/>
                <w:sz w:val="28"/>
                <w:szCs w:val="28"/>
              </w:rPr>
              <w:t>中标费率为</w:t>
            </w:r>
            <w:r w:rsidR="0098187B" w:rsidRPr="0098187B">
              <w:rPr>
                <w:rFonts w:asciiTheme="minorEastAsia" w:hAnsiTheme="minorEastAsia" w:cs="宋体" w:hint="eastAsia"/>
                <w:color w:val="222222"/>
                <w:kern w:val="0"/>
                <w:sz w:val="28"/>
                <w:szCs w:val="28"/>
              </w:rPr>
              <w:t>1.8%）</w:t>
            </w:r>
          </w:p>
          <w:tbl>
            <w:tblPr>
              <w:tblW w:w="0" w:type="auto"/>
              <w:tblCellMar>
                <w:top w:w="15" w:type="dxa"/>
                <w:left w:w="15" w:type="dxa"/>
                <w:bottom w:w="15" w:type="dxa"/>
                <w:right w:w="15" w:type="dxa"/>
              </w:tblCellMar>
              <w:tblLook w:val="04A0"/>
            </w:tblPr>
            <w:tblGrid>
              <w:gridCol w:w="8306"/>
            </w:tblGrid>
            <w:tr w:rsidR="00667FC1" w:rsidRPr="00667FC1">
              <w:trPr>
                <w:trHeight w:val="298"/>
              </w:trPr>
              <w:tc>
                <w:tcPr>
                  <w:tcW w:w="8306" w:type="dxa"/>
                  <w:vAlign w:val="center"/>
                  <w:hideMark/>
                </w:tcPr>
                <w:p w:rsidR="00667FC1" w:rsidRPr="00667FC1" w:rsidRDefault="00667FC1" w:rsidP="00667FC1">
                  <w:pPr>
                    <w:widowControl/>
                    <w:spacing w:before="100" w:beforeAutospacing="1" w:after="100" w:afterAutospacing="1"/>
                    <w:jc w:val="left"/>
                    <w:rPr>
                      <w:rFonts w:ascii="黑体" w:eastAsia="黑体" w:hAnsi="黑体" w:cs="宋体"/>
                      <w:color w:val="222222"/>
                      <w:kern w:val="0"/>
                      <w:sz w:val="28"/>
                      <w:szCs w:val="28"/>
                    </w:rPr>
                  </w:pPr>
                  <w:bookmarkStart w:id="0" w:name="PO_conclusionTable"/>
                  <w:bookmarkEnd w:id="0"/>
                </w:p>
              </w:tc>
            </w:tr>
          </w:tbl>
          <w:p w:rsidR="00667FC1" w:rsidRPr="00667FC1" w:rsidRDefault="00667FC1" w:rsidP="00667FC1">
            <w:pPr>
              <w:widowControl/>
              <w:spacing w:line="560" w:lineRule="atLeast"/>
              <w:jc w:val="left"/>
              <w:rPr>
                <w:rFonts w:ascii="黑体" w:eastAsia="黑体" w:hAnsi="黑体" w:cs="宋体"/>
                <w:color w:val="222222"/>
                <w:kern w:val="0"/>
                <w:sz w:val="28"/>
                <w:szCs w:val="28"/>
              </w:rPr>
            </w:pPr>
          </w:p>
          <w:p w:rsidR="00667FC1" w:rsidRPr="00667FC1" w:rsidRDefault="004F7C45" w:rsidP="004F7C45">
            <w:pPr>
              <w:widowControl/>
              <w:wordWrap w:val="0"/>
              <w:spacing w:line="560" w:lineRule="atLeast"/>
              <w:jc w:val="right"/>
              <w:rPr>
                <w:rFonts w:ascii="黑体" w:eastAsia="黑体" w:hAnsi="黑体" w:cs="宋体"/>
                <w:color w:val="222222"/>
                <w:kern w:val="0"/>
                <w:sz w:val="28"/>
                <w:szCs w:val="28"/>
              </w:rPr>
            </w:pPr>
            <w:bookmarkStart w:id="1" w:name="_GoBack"/>
            <w:bookmarkEnd w:id="1"/>
            <w:r>
              <w:rPr>
                <w:rFonts w:ascii="黑体" w:eastAsia="黑体" w:hAnsi="黑体" w:cs="宋体" w:hint="eastAsia"/>
                <w:color w:val="222222"/>
                <w:kern w:val="0"/>
                <w:sz w:val="28"/>
                <w:szCs w:val="28"/>
              </w:rPr>
              <w:t xml:space="preserve">后勤保障部  </w:t>
            </w:r>
          </w:p>
          <w:p w:rsidR="00667FC1" w:rsidRPr="00667FC1" w:rsidRDefault="0098187B" w:rsidP="00667FC1">
            <w:pPr>
              <w:widowControl/>
              <w:spacing w:line="560" w:lineRule="atLeast"/>
              <w:jc w:val="right"/>
              <w:rPr>
                <w:rFonts w:ascii="黑体" w:eastAsia="黑体" w:hAnsi="黑体" w:cs="宋体"/>
                <w:color w:val="222222"/>
                <w:kern w:val="0"/>
                <w:sz w:val="28"/>
                <w:szCs w:val="28"/>
              </w:rPr>
            </w:pPr>
            <w:r>
              <w:rPr>
                <w:rFonts w:ascii="黑体" w:eastAsia="黑体" w:hAnsi="黑体" w:cs="宋体" w:hint="eastAsia"/>
                <w:color w:val="222222"/>
                <w:kern w:val="0"/>
                <w:sz w:val="28"/>
                <w:szCs w:val="28"/>
              </w:rPr>
              <w:t>2023</w:t>
            </w:r>
            <w:r w:rsidR="00667FC1" w:rsidRPr="00667FC1">
              <w:rPr>
                <w:rFonts w:ascii="黑体" w:eastAsia="黑体" w:hAnsi="黑体" w:cs="宋体" w:hint="eastAsia"/>
                <w:color w:val="222222"/>
                <w:kern w:val="0"/>
                <w:sz w:val="28"/>
                <w:szCs w:val="28"/>
              </w:rPr>
              <w:t xml:space="preserve">年  </w:t>
            </w:r>
            <w:r>
              <w:rPr>
                <w:rFonts w:ascii="黑体" w:eastAsia="黑体" w:hAnsi="黑体" w:cs="宋体" w:hint="eastAsia"/>
                <w:color w:val="222222"/>
                <w:kern w:val="0"/>
                <w:sz w:val="28"/>
                <w:szCs w:val="28"/>
              </w:rPr>
              <w:t>5</w:t>
            </w:r>
            <w:r w:rsidR="00667FC1" w:rsidRPr="00667FC1">
              <w:rPr>
                <w:rFonts w:ascii="黑体" w:eastAsia="黑体" w:hAnsi="黑体" w:cs="宋体" w:hint="eastAsia"/>
                <w:color w:val="222222"/>
                <w:kern w:val="0"/>
                <w:sz w:val="28"/>
                <w:szCs w:val="28"/>
              </w:rPr>
              <w:t xml:space="preserve"> 月</w:t>
            </w:r>
            <w:r w:rsidR="00787336">
              <w:rPr>
                <w:rFonts w:ascii="黑体" w:eastAsia="黑体" w:hAnsi="黑体" w:cs="宋体" w:hint="eastAsia"/>
                <w:color w:val="222222"/>
                <w:kern w:val="0"/>
                <w:sz w:val="28"/>
                <w:szCs w:val="28"/>
              </w:rPr>
              <w:t>11</w:t>
            </w:r>
            <w:r w:rsidR="00667FC1" w:rsidRPr="00667FC1">
              <w:rPr>
                <w:rFonts w:ascii="黑体" w:eastAsia="黑体" w:hAnsi="黑体" w:cs="宋体" w:hint="eastAsia"/>
                <w:color w:val="222222"/>
                <w:kern w:val="0"/>
                <w:sz w:val="28"/>
                <w:szCs w:val="28"/>
              </w:rPr>
              <w:t>日</w:t>
            </w:r>
          </w:p>
          <w:p w:rsidR="00667FC1" w:rsidRPr="00667FC1" w:rsidRDefault="00667FC1" w:rsidP="00667FC1">
            <w:pPr>
              <w:widowControl/>
              <w:spacing w:line="560" w:lineRule="atLeast"/>
              <w:jc w:val="left"/>
              <w:rPr>
                <w:rFonts w:ascii="黑体" w:eastAsia="黑体" w:hAnsi="黑体" w:cs="宋体"/>
                <w:color w:val="222222"/>
                <w:kern w:val="0"/>
                <w:sz w:val="28"/>
                <w:szCs w:val="28"/>
              </w:rPr>
            </w:pPr>
          </w:p>
        </w:tc>
      </w:tr>
    </w:tbl>
    <w:p w:rsidR="00C513CC" w:rsidRDefault="00C513CC"/>
    <w:sectPr w:rsidR="00C513CC" w:rsidSect="003513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297" w:rsidRDefault="00AB1297" w:rsidP="00667FC1">
      <w:r>
        <w:separator/>
      </w:r>
    </w:p>
  </w:endnote>
  <w:endnote w:type="continuationSeparator" w:id="0">
    <w:p w:rsidR="00AB1297" w:rsidRDefault="00AB1297" w:rsidP="00667F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297" w:rsidRDefault="00AB1297" w:rsidP="00667FC1">
      <w:r>
        <w:separator/>
      </w:r>
    </w:p>
  </w:footnote>
  <w:footnote w:type="continuationSeparator" w:id="0">
    <w:p w:rsidR="00AB1297" w:rsidRDefault="00AB1297" w:rsidP="00667F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7204"/>
    <w:rsid w:val="000025DE"/>
    <w:rsid w:val="00013681"/>
    <w:rsid w:val="0004125B"/>
    <w:rsid w:val="00056342"/>
    <w:rsid w:val="00085CC0"/>
    <w:rsid w:val="0009405F"/>
    <w:rsid w:val="00094E91"/>
    <w:rsid w:val="000A2D07"/>
    <w:rsid w:val="000C4219"/>
    <w:rsid w:val="000D1ABA"/>
    <w:rsid w:val="000E4AC8"/>
    <w:rsid w:val="000F1326"/>
    <w:rsid w:val="001065C5"/>
    <w:rsid w:val="00114D6B"/>
    <w:rsid w:val="001254FE"/>
    <w:rsid w:val="001257C3"/>
    <w:rsid w:val="001437D3"/>
    <w:rsid w:val="00143E41"/>
    <w:rsid w:val="00151ECE"/>
    <w:rsid w:val="00166761"/>
    <w:rsid w:val="001672AE"/>
    <w:rsid w:val="00170ADD"/>
    <w:rsid w:val="001D109B"/>
    <w:rsid w:val="001E47B4"/>
    <w:rsid w:val="001F2A98"/>
    <w:rsid w:val="002057F8"/>
    <w:rsid w:val="00205B69"/>
    <w:rsid w:val="002160D7"/>
    <w:rsid w:val="00221952"/>
    <w:rsid w:val="00222791"/>
    <w:rsid w:val="0023366F"/>
    <w:rsid w:val="00233FFF"/>
    <w:rsid w:val="00253740"/>
    <w:rsid w:val="002629FA"/>
    <w:rsid w:val="00287334"/>
    <w:rsid w:val="002B14C1"/>
    <w:rsid w:val="002C0F5C"/>
    <w:rsid w:val="002C28E1"/>
    <w:rsid w:val="002D1F6F"/>
    <w:rsid w:val="00314EA6"/>
    <w:rsid w:val="003206DB"/>
    <w:rsid w:val="003255DF"/>
    <w:rsid w:val="00342B94"/>
    <w:rsid w:val="00351333"/>
    <w:rsid w:val="00386C1D"/>
    <w:rsid w:val="003A131E"/>
    <w:rsid w:val="003A2C76"/>
    <w:rsid w:val="003E7E0F"/>
    <w:rsid w:val="00407192"/>
    <w:rsid w:val="00415EDB"/>
    <w:rsid w:val="0042784A"/>
    <w:rsid w:val="00447DCA"/>
    <w:rsid w:val="004726D9"/>
    <w:rsid w:val="004A720A"/>
    <w:rsid w:val="004B7204"/>
    <w:rsid w:val="004D1689"/>
    <w:rsid w:val="004D362A"/>
    <w:rsid w:val="004F7C45"/>
    <w:rsid w:val="00503AC6"/>
    <w:rsid w:val="005164C7"/>
    <w:rsid w:val="00540100"/>
    <w:rsid w:val="00542AB7"/>
    <w:rsid w:val="00591F52"/>
    <w:rsid w:val="005D0FB1"/>
    <w:rsid w:val="005D2326"/>
    <w:rsid w:val="005D4ECA"/>
    <w:rsid w:val="005E046B"/>
    <w:rsid w:val="005F773A"/>
    <w:rsid w:val="005F7976"/>
    <w:rsid w:val="006315C0"/>
    <w:rsid w:val="00667FC1"/>
    <w:rsid w:val="006D1284"/>
    <w:rsid w:val="006F656C"/>
    <w:rsid w:val="006F6930"/>
    <w:rsid w:val="007250ED"/>
    <w:rsid w:val="00754083"/>
    <w:rsid w:val="00760AEB"/>
    <w:rsid w:val="00770100"/>
    <w:rsid w:val="00775AD7"/>
    <w:rsid w:val="00787336"/>
    <w:rsid w:val="00791BD1"/>
    <w:rsid w:val="007C3696"/>
    <w:rsid w:val="007E4CBB"/>
    <w:rsid w:val="0080016F"/>
    <w:rsid w:val="008027DE"/>
    <w:rsid w:val="008071A2"/>
    <w:rsid w:val="00821396"/>
    <w:rsid w:val="00844E45"/>
    <w:rsid w:val="008451A2"/>
    <w:rsid w:val="00846861"/>
    <w:rsid w:val="00877C0E"/>
    <w:rsid w:val="00880DC8"/>
    <w:rsid w:val="008D0A27"/>
    <w:rsid w:val="008D245B"/>
    <w:rsid w:val="008D4A59"/>
    <w:rsid w:val="008E0F82"/>
    <w:rsid w:val="008F31E5"/>
    <w:rsid w:val="0091138C"/>
    <w:rsid w:val="009145AA"/>
    <w:rsid w:val="00923174"/>
    <w:rsid w:val="00933347"/>
    <w:rsid w:val="009339AA"/>
    <w:rsid w:val="00940613"/>
    <w:rsid w:val="0094400E"/>
    <w:rsid w:val="00961205"/>
    <w:rsid w:val="0098187B"/>
    <w:rsid w:val="009840A8"/>
    <w:rsid w:val="009D34C5"/>
    <w:rsid w:val="009D6D2E"/>
    <w:rsid w:val="009F43B1"/>
    <w:rsid w:val="00A350E7"/>
    <w:rsid w:val="00A41452"/>
    <w:rsid w:val="00A6672A"/>
    <w:rsid w:val="00A948CA"/>
    <w:rsid w:val="00AA14FE"/>
    <w:rsid w:val="00AB1297"/>
    <w:rsid w:val="00AD43A0"/>
    <w:rsid w:val="00AD6D0C"/>
    <w:rsid w:val="00AE3D2A"/>
    <w:rsid w:val="00AF782D"/>
    <w:rsid w:val="00B12558"/>
    <w:rsid w:val="00B27A38"/>
    <w:rsid w:val="00B32C22"/>
    <w:rsid w:val="00B6374E"/>
    <w:rsid w:val="00B80790"/>
    <w:rsid w:val="00B904A4"/>
    <w:rsid w:val="00BD3185"/>
    <w:rsid w:val="00BE07E5"/>
    <w:rsid w:val="00BE2C3F"/>
    <w:rsid w:val="00C13675"/>
    <w:rsid w:val="00C41C45"/>
    <w:rsid w:val="00C442D0"/>
    <w:rsid w:val="00C513CC"/>
    <w:rsid w:val="00C57A55"/>
    <w:rsid w:val="00C57EAF"/>
    <w:rsid w:val="00C87E70"/>
    <w:rsid w:val="00CA7310"/>
    <w:rsid w:val="00CB076B"/>
    <w:rsid w:val="00CF54D3"/>
    <w:rsid w:val="00D3084F"/>
    <w:rsid w:val="00D357C5"/>
    <w:rsid w:val="00D358B7"/>
    <w:rsid w:val="00D3676C"/>
    <w:rsid w:val="00D37057"/>
    <w:rsid w:val="00D402B4"/>
    <w:rsid w:val="00D4261E"/>
    <w:rsid w:val="00D46A54"/>
    <w:rsid w:val="00D47890"/>
    <w:rsid w:val="00D5401E"/>
    <w:rsid w:val="00D67644"/>
    <w:rsid w:val="00D8632D"/>
    <w:rsid w:val="00DB77C6"/>
    <w:rsid w:val="00DF3024"/>
    <w:rsid w:val="00E04F17"/>
    <w:rsid w:val="00E1467E"/>
    <w:rsid w:val="00E15692"/>
    <w:rsid w:val="00E1660D"/>
    <w:rsid w:val="00E33E12"/>
    <w:rsid w:val="00E34157"/>
    <w:rsid w:val="00E34CD3"/>
    <w:rsid w:val="00E56480"/>
    <w:rsid w:val="00E71120"/>
    <w:rsid w:val="00E81ADB"/>
    <w:rsid w:val="00E8345F"/>
    <w:rsid w:val="00E85449"/>
    <w:rsid w:val="00ED2674"/>
    <w:rsid w:val="00ED6DF1"/>
    <w:rsid w:val="00EE7C76"/>
    <w:rsid w:val="00EF1F9B"/>
    <w:rsid w:val="00EF4B5E"/>
    <w:rsid w:val="00F001D9"/>
    <w:rsid w:val="00F04258"/>
    <w:rsid w:val="00F1552A"/>
    <w:rsid w:val="00F2624D"/>
    <w:rsid w:val="00F3187D"/>
    <w:rsid w:val="00F34593"/>
    <w:rsid w:val="00F42A41"/>
    <w:rsid w:val="00F446A2"/>
    <w:rsid w:val="00F51299"/>
    <w:rsid w:val="00F57041"/>
    <w:rsid w:val="00F83241"/>
    <w:rsid w:val="00F93886"/>
    <w:rsid w:val="00FD3A6D"/>
    <w:rsid w:val="00FF6D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3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7F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7FC1"/>
    <w:rPr>
      <w:sz w:val="18"/>
      <w:szCs w:val="18"/>
    </w:rPr>
  </w:style>
  <w:style w:type="paragraph" w:styleId="a4">
    <w:name w:val="footer"/>
    <w:basedOn w:val="a"/>
    <w:link w:val="Char0"/>
    <w:uiPriority w:val="99"/>
    <w:unhideWhenUsed/>
    <w:rsid w:val="00667FC1"/>
    <w:pPr>
      <w:tabs>
        <w:tab w:val="center" w:pos="4153"/>
        <w:tab w:val="right" w:pos="8306"/>
      </w:tabs>
      <w:snapToGrid w:val="0"/>
      <w:jc w:val="left"/>
    </w:pPr>
    <w:rPr>
      <w:sz w:val="18"/>
      <w:szCs w:val="18"/>
    </w:rPr>
  </w:style>
  <w:style w:type="character" w:customStyle="1" w:styleId="Char0">
    <w:name w:val="页脚 Char"/>
    <w:basedOn w:val="a0"/>
    <w:link w:val="a4"/>
    <w:uiPriority w:val="99"/>
    <w:rsid w:val="00667FC1"/>
    <w:rPr>
      <w:sz w:val="18"/>
      <w:szCs w:val="18"/>
    </w:rPr>
  </w:style>
  <w:style w:type="paragraph" w:styleId="a5">
    <w:name w:val="Normal (Web)"/>
    <w:basedOn w:val="a"/>
    <w:uiPriority w:val="99"/>
    <w:semiHidden/>
    <w:unhideWhenUsed/>
    <w:rsid w:val="00667FC1"/>
    <w:pPr>
      <w:widowControl/>
      <w:spacing w:before="100" w:beforeAutospacing="1" w:after="100" w:afterAutospacing="1" w:line="408" w:lineRule="auto"/>
      <w:jc w:val="left"/>
    </w:pPr>
    <w:rPr>
      <w:rFonts w:ascii="宋体" w:eastAsia="宋体" w:hAnsi="宋体" w:cs="宋体"/>
      <w:kern w:val="0"/>
      <w:sz w:val="24"/>
      <w:szCs w:val="24"/>
    </w:rPr>
  </w:style>
  <w:style w:type="paragraph" w:styleId="a6">
    <w:name w:val="Balloon Text"/>
    <w:basedOn w:val="a"/>
    <w:link w:val="Char1"/>
    <w:uiPriority w:val="99"/>
    <w:semiHidden/>
    <w:unhideWhenUsed/>
    <w:rsid w:val="00D3676C"/>
    <w:rPr>
      <w:sz w:val="18"/>
      <w:szCs w:val="18"/>
    </w:rPr>
  </w:style>
  <w:style w:type="character" w:customStyle="1" w:styleId="Char1">
    <w:name w:val="批注框文本 Char"/>
    <w:basedOn w:val="a0"/>
    <w:link w:val="a6"/>
    <w:uiPriority w:val="99"/>
    <w:semiHidden/>
    <w:rsid w:val="00D3676C"/>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谢武</dc:creator>
  <cp:keywords/>
  <dc:description/>
  <cp:lastModifiedBy>刘程凌</cp:lastModifiedBy>
  <cp:revision>13</cp:revision>
  <cp:lastPrinted>2022-05-31T09:06:00Z</cp:lastPrinted>
  <dcterms:created xsi:type="dcterms:W3CDTF">2022-05-31T07:06:00Z</dcterms:created>
  <dcterms:modified xsi:type="dcterms:W3CDTF">2023-05-12T06:53:00Z</dcterms:modified>
</cp:coreProperties>
</file>