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4B99C8B3" w:rsidR="00346803" w:rsidRDefault="00A327CB" w:rsidP="001411A8">
      <w:pPr>
        <w:jc w:val="center"/>
        <w:rPr>
          <w:color w:val="0000FF"/>
          <w:sz w:val="56"/>
        </w:rPr>
      </w:pPr>
      <w:bookmarkStart w:id="1" w:name="OLE_LINK1"/>
      <w:bookmarkStart w:id="2" w:name="OLE_LINK2"/>
      <w:r>
        <w:rPr>
          <w:rFonts w:hint="eastAsia"/>
          <w:color w:val="0000FF"/>
          <w:sz w:val="56"/>
        </w:rPr>
        <w:t>多维数据分析及辅助决策支持平台</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36371CB8" w:rsidR="00346803" w:rsidRDefault="00346803">
      <w:pPr>
        <w:jc w:val="center"/>
        <w:rPr>
          <w:color w:val="000000"/>
          <w:sz w:val="30"/>
        </w:rPr>
      </w:pPr>
      <w:r w:rsidRPr="00135DB1">
        <w:rPr>
          <w:rFonts w:hint="eastAsia"/>
          <w:color w:val="000000"/>
          <w:sz w:val="30"/>
        </w:rPr>
        <w:t>（采购编号：</w:t>
      </w:r>
      <w:r w:rsidR="00A327CB">
        <w:rPr>
          <w:rFonts w:hint="eastAsia"/>
          <w:color w:val="000000"/>
          <w:sz w:val="28"/>
        </w:rPr>
        <w:t>SZUCG20190377HW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214510ED" w:rsidR="00346803" w:rsidRDefault="00346803" w:rsidP="00D63FFC">
      <w:pPr>
        <w:jc w:val="center"/>
        <w:rPr>
          <w:rFonts w:ascii="华文新魏" w:eastAsia="华文新魏"/>
          <w:b/>
          <w:color w:val="000000"/>
          <w:sz w:val="48"/>
        </w:rPr>
      </w:pPr>
      <w:r>
        <w:rPr>
          <w:rFonts w:hint="eastAsia"/>
          <w:color w:val="000000"/>
          <w:sz w:val="30"/>
        </w:rPr>
        <w:t>二零一</w:t>
      </w:r>
      <w:r w:rsidR="007F1A7C">
        <w:rPr>
          <w:rFonts w:hint="eastAsia"/>
          <w:color w:val="000000"/>
          <w:sz w:val="30"/>
        </w:rPr>
        <w:t>九</w:t>
      </w:r>
      <w:r>
        <w:rPr>
          <w:rFonts w:hint="eastAsia"/>
          <w:color w:val="000000"/>
          <w:sz w:val="30"/>
        </w:rPr>
        <w:t>年</w:t>
      </w:r>
      <w:r w:rsidR="00064B38">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50AD4D8B" w:rsidR="002F46C6" w:rsidRPr="00D804AF" w:rsidRDefault="00A327CB" w:rsidP="00CC3BEA">
      <w:pPr>
        <w:spacing w:beforeLines="50" w:before="156" w:line="360" w:lineRule="auto"/>
        <w:rPr>
          <w:rFonts w:ascii="宋体" w:hAnsi="宋体"/>
          <w:color w:val="FF0000"/>
          <w:sz w:val="28"/>
          <w:szCs w:val="28"/>
        </w:rPr>
      </w:pPr>
      <w:r>
        <w:rPr>
          <w:rFonts w:ascii="宋体" w:hAnsi="宋体" w:hint="eastAsia"/>
          <w:color w:val="FF0000"/>
          <w:sz w:val="28"/>
          <w:szCs w:val="28"/>
        </w:rPr>
        <w:t>上海必盈特软件系统有限公司</w:t>
      </w:r>
    </w:p>
    <w:p w14:paraId="26ADDDD7" w14:textId="72C2DA89" w:rsidR="00346803" w:rsidRPr="00D804AF" w:rsidRDefault="00346803" w:rsidP="00CC3BEA">
      <w:pPr>
        <w:spacing w:beforeLines="50" w:before="156" w:line="360" w:lineRule="auto"/>
        <w:ind w:firstLineChars="200" w:firstLine="480"/>
        <w:jc w:val="left"/>
        <w:rPr>
          <w:color w:val="FF0000"/>
          <w:sz w:val="24"/>
          <w:szCs w:val="24"/>
        </w:rPr>
      </w:pPr>
      <w:r w:rsidRPr="00D804AF">
        <w:rPr>
          <w:rFonts w:ascii="宋体" w:hAnsi="宋体" w:hint="eastAsia"/>
          <w:color w:val="000000"/>
          <w:sz w:val="24"/>
        </w:rPr>
        <w:t>经深圳大学批准，现就</w:t>
      </w:r>
      <w:r w:rsidR="006E27D7" w:rsidRPr="00D804AF">
        <w:rPr>
          <w:rFonts w:ascii="宋体" w:hAnsi="宋体" w:hint="eastAsia"/>
          <w:color w:val="000000"/>
          <w:sz w:val="24"/>
        </w:rPr>
        <w:t xml:space="preserve"> </w:t>
      </w:r>
      <w:r w:rsidR="00A327CB">
        <w:rPr>
          <w:rFonts w:hint="eastAsia"/>
          <w:color w:val="FF0000"/>
          <w:sz w:val="24"/>
          <w:szCs w:val="24"/>
        </w:rPr>
        <w:t>多维数据分析及辅助决策支持平台</w:t>
      </w:r>
      <w:r w:rsidR="00063DA0" w:rsidRPr="00D804AF">
        <w:rPr>
          <w:rFonts w:hint="eastAsia"/>
          <w:color w:val="FF0000"/>
          <w:sz w:val="24"/>
          <w:szCs w:val="24"/>
        </w:rPr>
        <w:t xml:space="preserve"> </w:t>
      </w:r>
      <w:r w:rsidR="00085AB4" w:rsidRPr="00D804AF">
        <w:rPr>
          <w:rFonts w:ascii="宋体" w:hAnsi="宋体" w:hint="eastAsia"/>
          <w:color w:val="000000"/>
          <w:sz w:val="24"/>
        </w:rPr>
        <w:t>项目进行单一来源谈判，欢迎贵公</w:t>
      </w:r>
      <w:r w:rsidRPr="00D804AF">
        <w:rPr>
          <w:rFonts w:ascii="宋体" w:hAnsi="宋体" w:hint="eastAsia"/>
          <w:color w:val="000000"/>
          <w:sz w:val="24"/>
        </w:rPr>
        <w:t>司参加</w:t>
      </w:r>
      <w:r w:rsidRPr="00D804AF">
        <w:rPr>
          <w:rFonts w:ascii="宋体" w:hAnsi="宋体"/>
          <w:color w:val="000000"/>
          <w:sz w:val="24"/>
        </w:rPr>
        <w:t>，具体事项如下：</w:t>
      </w:r>
    </w:p>
    <w:p w14:paraId="772448A9" w14:textId="33396439"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1.</w:t>
      </w:r>
      <w:r w:rsidRPr="00D804AF">
        <w:rPr>
          <w:rFonts w:ascii="宋体" w:hAnsi="宋体" w:hint="eastAsia"/>
          <w:color w:val="FF0000"/>
          <w:sz w:val="24"/>
        </w:rPr>
        <w:t xml:space="preserve"> 采购</w:t>
      </w:r>
      <w:r w:rsidRPr="00D804AF">
        <w:rPr>
          <w:rFonts w:ascii="宋体" w:hAnsi="宋体"/>
          <w:color w:val="FF0000"/>
          <w:sz w:val="24"/>
        </w:rPr>
        <w:t>编号：</w:t>
      </w:r>
      <w:r w:rsidR="00A327CB">
        <w:rPr>
          <w:rFonts w:ascii="宋体" w:hAnsi="宋体"/>
          <w:color w:val="FF0000"/>
          <w:sz w:val="24"/>
        </w:rPr>
        <w:t>SZUCG20190377HW</w:t>
      </w:r>
    </w:p>
    <w:p w14:paraId="46046724" w14:textId="0AE0C813"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2. 项目名称：</w:t>
      </w:r>
      <w:r w:rsidR="00A327CB">
        <w:rPr>
          <w:rFonts w:hint="eastAsia"/>
          <w:color w:val="FF0000"/>
          <w:sz w:val="24"/>
          <w:szCs w:val="24"/>
        </w:rPr>
        <w:t>多维数据分析及辅助决策支持平台</w:t>
      </w:r>
    </w:p>
    <w:p w14:paraId="31F5B1B6" w14:textId="4CFD2B3D"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hint="eastAsia"/>
          <w:color w:val="FF0000"/>
          <w:sz w:val="24"/>
        </w:rPr>
        <w:t>3. 项目预算</w:t>
      </w:r>
      <w:r w:rsidR="00D16552" w:rsidRPr="00D804AF">
        <w:rPr>
          <w:rFonts w:ascii="宋体" w:hAnsi="宋体"/>
          <w:color w:val="FF0000"/>
          <w:sz w:val="24"/>
        </w:rPr>
        <w:t>：</w:t>
      </w:r>
      <w:r w:rsidR="002C106F" w:rsidRPr="002C106F">
        <w:t xml:space="preserve"> </w:t>
      </w:r>
      <w:r w:rsidR="00A327CB">
        <w:rPr>
          <w:rFonts w:ascii="宋体" w:hAnsi="宋体"/>
          <w:color w:val="FF0000"/>
          <w:sz w:val="24"/>
        </w:rPr>
        <w:t>600</w:t>
      </w:r>
      <w:r w:rsidR="002C106F">
        <w:rPr>
          <w:rFonts w:ascii="宋体" w:hAnsi="宋体"/>
          <w:color w:val="FF0000"/>
          <w:sz w:val="24"/>
        </w:rPr>
        <w:t>,</w:t>
      </w:r>
      <w:r w:rsidR="00A327CB">
        <w:rPr>
          <w:rFonts w:ascii="宋体" w:hAnsi="宋体"/>
          <w:color w:val="FF0000"/>
          <w:sz w:val="24"/>
        </w:rPr>
        <w:t>000</w:t>
      </w:r>
      <w:r w:rsidR="00092D92" w:rsidRPr="00D804AF">
        <w:rPr>
          <w:rFonts w:ascii="宋体" w:hAnsi="宋体"/>
          <w:color w:val="FF0000"/>
          <w:sz w:val="24"/>
        </w:rPr>
        <w:t>.</w:t>
      </w:r>
      <w:r w:rsidR="00017219" w:rsidRPr="00D804AF">
        <w:rPr>
          <w:rFonts w:ascii="宋体" w:hAnsi="宋体"/>
          <w:color w:val="FF0000"/>
          <w:sz w:val="24"/>
        </w:rPr>
        <w:t>00</w:t>
      </w:r>
      <w:r w:rsidR="00F021B1" w:rsidRPr="00D804AF">
        <w:rPr>
          <w:rFonts w:ascii="宋体" w:hAnsi="宋体" w:hint="eastAsia"/>
          <w:color w:val="FF0000"/>
          <w:sz w:val="24"/>
        </w:rPr>
        <w:t>元</w:t>
      </w:r>
      <w:r w:rsidRPr="00D804AF">
        <w:rPr>
          <w:rFonts w:ascii="宋体" w:hAnsi="宋体" w:hint="eastAsia"/>
          <w:color w:val="FF0000"/>
          <w:sz w:val="24"/>
        </w:rPr>
        <w:t>(人民币)</w:t>
      </w:r>
    </w:p>
    <w:p w14:paraId="39AF6098" w14:textId="315C93B4" w:rsidR="00165BC6"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 xml:space="preserve">4. </w:t>
      </w:r>
      <w:r w:rsidRPr="00D804AF">
        <w:rPr>
          <w:rFonts w:ascii="宋体" w:hAnsi="宋体" w:hint="eastAsia"/>
          <w:color w:val="FF0000"/>
          <w:sz w:val="24"/>
        </w:rPr>
        <w:t>谈判邀请对象：</w:t>
      </w:r>
      <w:bookmarkStart w:id="3" w:name="OLE_LINK8"/>
      <w:bookmarkStart w:id="4" w:name="OLE_LINK9"/>
      <w:bookmarkStart w:id="5" w:name="OLE_LINK10"/>
      <w:r w:rsidR="00A327CB">
        <w:rPr>
          <w:rFonts w:ascii="宋体" w:hAnsi="宋体" w:hint="eastAsia"/>
          <w:color w:val="FF0000"/>
          <w:sz w:val="24"/>
        </w:rPr>
        <w:t>上海必盈特软件系统有限公司</w:t>
      </w:r>
      <w:bookmarkStart w:id="6" w:name="_GoBack"/>
      <w:bookmarkEnd w:id="6"/>
    </w:p>
    <w:bookmarkEnd w:id="3"/>
    <w:bookmarkEnd w:id="4"/>
    <w:bookmarkEnd w:id="5"/>
    <w:p w14:paraId="18197A04" w14:textId="33384D5A" w:rsidR="00905FA0" w:rsidRPr="00D804AF" w:rsidRDefault="00905FA0" w:rsidP="00905FA0">
      <w:pPr>
        <w:spacing w:line="360" w:lineRule="auto"/>
        <w:jc w:val="left"/>
        <w:rPr>
          <w:rFonts w:cs="宋体"/>
          <w:color w:val="222222"/>
          <w:kern w:val="0"/>
          <w:sz w:val="24"/>
          <w:szCs w:val="24"/>
        </w:rPr>
      </w:pPr>
      <w:r w:rsidRPr="00D804AF">
        <w:rPr>
          <w:rFonts w:ascii="宋体" w:hAnsi="宋体" w:hint="eastAsia"/>
          <w:color w:val="000000"/>
          <w:sz w:val="24"/>
        </w:rPr>
        <w:t>5.</w:t>
      </w:r>
      <w:r w:rsidR="00036099" w:rsidRPr="00D804AF">
        <w:rPr>
          <w:rFonts w:ascii="宋体" w:hAnsi="宋体" w:hint="eastAsia"/>
          <w:color w:val="000000"/>
          <w:sz w:val="24"/>
        </w:rPr>
        <w:t xml:space="preserve"> </w:t>
      </w:r>
      <w:r w:rsidRPr="00D804AF">
        <w:rPr>
          <w:rFonts w:cs="宋体" w:hint="eastAsia"/>
          <w:color w:val="222222"/>
          <w:kern w:val="0"/>
          <w:sz w:val="24"/>
          <w:szCs w:val="24"/>
        </w:rPr>
        <w:t>报名时投标人须自行打印投标报名表</w:t>
      </w:r>
      <w:r w:rsidRPr="00D804AF">
        <w:rPr>
          <w:rFonts w:cs="宋体" w:hint="eastAsia"/>
          <w:color w:val="222222"/>
          <w:kern w:val="0"/>
          <w:sz w:val="24"/>
          <w:szCs w:val="24"/>
        </w:rPr>
        <w:t>(</w:t>
      </w:r>
      <w:r w:rsidRPr="00D804AF">
        <w:rPr>
          <w:rFonts w:cs="宋体" w:hint="eastAsia"/>
          <w:color w:val="222222"/>
          <w:kern w:val="0"/>
          <w:sz w:val="24"/>
          <w:szCs w:val="24"/>
        </w:rPr>
        <w:t>加盖公章</w:t>
      </w:r>
      <w:r w:rsidRPr="00D804AF">
        <w:rPr>
          <w:rFonts w:cs="宋体" w:hint="eastAsia"/>
          <w:color w:val="222222"/>
          <w:kern w:val="0"/>
          <w:sz w:val="24"/>
          <w:szCs w:val="24"/>
        </w:rPr>
        <w:t>)(</w:t>
      </w:r>
      <w:r w:rsidRPr="00D804AF">
        <w:rPr>
          <w:rFonts w:cs="宋体" w:hint="eastAsia"/>
          <w:color w:val="222222"/>
          <w:kern w:val="0"/>
          <w:sz w:val="24"/>
          <w:szCs w:val="24"/>
        </w:rPr>
        <w:t>投标报名表下载链接：</w:t>
      </w:r>
      <w:r w:rsidRPr="00D804AF">
        <w:rPr>
          <w:rFonts w:cs="宋体"/>
          <w:color w:val="222222"/>
          <w:kern w:val="0"/>
          <w:sz w:val="24"/>
          <w:szCs w:val="24"/>
        </w:rPr>
        <w:t>http://bidding.szu.edu.cn/listfile.asp</w:t>
      </w:r>
      <w:r w:rsidRPr="00D804AF">
        <w:rPr>
          <w:rFonts w:cs="宋体" w:hint="eastAsia"/>
          <w:color w:val="222222"/>
          <w:kern w:val="0"/>
          <w:sz w:val="24"/>
          <w:szCs w:val="24"/>
        </w:rPr>
        <w:t>），并在开标前将公司营业执照原件、投标报名表（盖章</w:t>
      </w:r>
      <w:r w:rsidR="00036720">
        <w:rPr>
          <w:rFonts w:cs="宋体" w:hint="eastAsia"/>
          <w:color w:val="222222"/>
          <w:kern w:val="0"/>
          <w:sz w:val="24"/>
          <w:szCs w:val="24"/>
        </w:rPr>
        <w:t>签字</w:t>
      </w:r>
      <w:r w:rsidRPr="00D804AF">
        <w:rPr>
          <w:rFonts w:cs="宋体" w:hint="eastAsia"/>
          <w:color w:val="222222"/>
          <w:kern w:val="0"/>
          <w:sz w:val="24"/>
          <w:szCs w:val="24"/>
        </w:rPr>
        <w:t>）及</w:t>
      </w:r>
      <w:r w:rsidRPr="00D804AF">
        <w:rPr>
          <w:rFonts w:cs="宋体" w:hint="eastAsia"/>
          <w:color w:val="222222"/>
          <w:kern w:val="0"/>
          <w:sz w:val="24"/>
          <w:szCs w:val="24"/>
        </w:rPr>
        <w:t>150</w:t>
      </w:r>
      <w:r w:rsidRPr="00D804AF">
        <w:rPr>
          <w:rFonts w:cs="宋体" w:hint="eastAsia"/>
          <w:color w:val="222222"/>
          <w:kern w:val="0"/>
          <w:sz w:val="24"/>
          <w:szCs w:val="24"/>
        </w:rPr>
        <w:t>元报名费缴纳（非</w:t>
      </w:r>
      <w:r w:rsidRPr="00D804AF">
        <w:rPr>
          <w:rFonts w:cs="宋体" w:hint="eastAsia"/>
          <w:color w:val="222222"/>
          <w:kern w:val="0"/>
          <w:sz w:val="24"/>
          <w:szCs w:val="24"/>
        </w:rPr>
        <w:t>ATM</w:t>
      </w:r>
      <w:r w:rsidRPr="00D804AF">
        <w:rPr>
          <w:rFonts w:cs="宋体" w:hint="eastAsia"/>
          <w:color w:val="222222"/>
          <w:kern w:val="0"/>
          <w:sz w:val="24"/>
          <w:szCs w:val="24"/>
        </w:rPr>
        <w:t>转账）相关原始凭证扫描件发至邮箱：</w:t>
      </w:r>
      <w:hyperlink r:id="rId8" w:history="1">
        <w:r w:rsidR="00B51C2B" w:rsidRPr="00D804AF">
          <w:rPr>
            <w:rStyle w:val="a8"/>
            <w:rFonts w:cs="宋体"/>
            <w:kern w:val="0"/>
            <w:sz w:val="24"/>
            <w:szCs w:val="24"/>
          </w:rPr>
          <w:t>zhaobiao</w:t>
        </w:r>
        <w:r w:rsidR="00B51C2B" w:rsidRPr="00D804AF">
          <w:rPr>
            <w:rStyle w:val="a8"/>
            <w:rFonts w:cs="宋体" w:hint="eastAsia"/>
            <w:kern w:val="0"/>
            <w:sz w:val="24"/>
            <w:szCs w:val="24"/>
          </w:rPr>
          <w:t>@szu.edu.cn</w:t>
        </w:r>
      </w:hyperlink>
      <w:r w:rsidRPr="00D804AF">
        <w:rPr>
          <w:rFonts w:cs="宋体" w:hint="eastAsia"/>
          <w:color w:val="222222"/>
          <w:kern w:val="0"/>
          <w:sz w:val="24"/>
          <w:szCs w:val="24"/>
        </w:rPr>
        <w:t>。</w:t>
      </w:r>
    </w:p>
    <w:p w14:paraId="246ABA48" w14:textId="2B1E39C3" w:rsidR="00905FA0" w:rsidRPr="00D804AF" w:rsidRDefault="00905FA0" w:rsidP="00905FA0">
      <w:pPr>
        <w:spacing w:line="360" w:lineRule="auto"/>
        <w:jc w:val="left"/>
        <w:rPr>
          <w:rFonts w:ascii="宋体" w:hAnsi="宋体"/>
          <w:color w:val="000000"/>
          <w:sz w:val="24"/>
        </w:rPr>
      </w:pPr>
      <w:r w:rsidRPr="00D804AF">
        <w:rPr>
          <w:rFonts w:ascii="宋体" w:hAnsi="宋体" w:hint="eastAsia"/>
          <w:color w:val="000000"/>
          <w:sz w:val="24"/>
        </w:rPr>
        <w:t>6</w:t>
      </w:r>
      <w:r w:rsidRPr="00D804AF">
        <w:rPr>
          <w:rFonts w:ascii="宋体" w:hAnsi="宋体"/>
          <w:color w:val="000000"/>
          <w:sz w:val="24"/>
        </w:rPr>
        <w:t>.</w:t>
      </w:r>
      <w:r w:rsidR="00036099" w:rsidRPr="00D804AF">
        <w:rPr>
          <w:rFonts w:ascii="宋体" w:hAnsi="宋体" w:hint="eastAsia"/>
          <w:color w:val="000000"/>
          <w:sz w:val="24"/>
        </w:rPr>
        <w:t xml:space="preserve"> </w:t>
      </w:r>
      <w:r w:rsidRPr="00D804AF">
        <w:rPr>
          <w:rFonts w:ascii="宋体" w:hAnsi="宋体" w:hint="eastAsia"/>
          <w:color w:val="FF0000"/>
          <w:sz w:val="24"/>
        </w:rPr>
        <w:t>谈判</w:t>
      </w:r>
      <w:r w:rsidRPr="00D804AF">
        <w:rPr>
          <w:rFonts w:ascii="宋体" w:hAnsi="宋体"/>
          <w:color w:val="FF0000"/>
          <w:sz w:val="24"/>
        </w:rPr>
        <w:t>时间：201</w:t>
      </w:r>
      <w:r w:rsidR="00036720">
        <w:rPr>
          <w:rFonts w:ascii="宋体" w:hAnsi="宋体"/>
          <w:color w:val="FF0000"/>
          <w:sz w:val="24"/>
        </w:rPr>
        <w:t>9</w:t>
      </w:r>
      <w:r w:rsidRPr="00D804AF">
        <w:rPr>
          <w:rFonts w:ascii="宋体" w:hAnsi="宋体"/>
          <w:color w:val="FF0000"/>
          <w:sz w:val="24"/>
        </w:rPr>
        <w:t>年</w:t>
      </w:r>
      <w:r w:rsidR="00ED7C43">
        <w:rPr>
          <w:rFonts w:ascii="宋体" w:hAnsi="宋体"/>
          <w:color w:val="FF0000"/>
          <w:sz w:val="24"/>
        </w:rPr>
        <w:t>07</w:t>
      </w:r>
      <w:r w:rsidRPr="00D804AF">
        <w:rPr>
          <w:rFonts w:ascii="宋体" w:hAnsi="宋体"/>
          <w:color w:val="FF0000"/>
          <w:sz w:val="24"/>
        </w:rPr>
        <w:t>月</w:t>
      </w:r>
      <w:r w:rsidR="00ED7C43">
        <w:rPr>
          <w:rFonts w:ascii="宋体" w:hAnsi="宋体"/>
          <w:color w:val="FF0000"/>
          <w:sz w:val="24"/>
        </w:rPr>
        <w:t>16</w:t>
      </w:r>
      <w:r w:rsidRPr="00D804AF">
        <w:rPr>
          <w:rFonts w:ascii="宋体" w:hAnsi="宋体"/>
          <w:color w:val="FF0000"/>
          <w:sz w:val="24"/>
        </w:rPr>
        <w:t>日（星期</w:t>
      </w:r>
      <w:r w:rsidR="00ED7C43">
        <w:rPr>
          <w:rFonts w:ascii="宋体" w:hAnsi="宋体" w:hint="eastAsia"/>
          <w:color w:val="FF0000"/>
          <w:sz w:val="24"/>
        </w:rPr>
        <w:t>二</w:t>
      </w:r>
      <w:r w:rsidRPr="00D804AF">
        <w:rPr>
          <w:rFonts w:ascii="宋体" w:hAnsi="宋体"/>
          <w:color w:val="FF0000"/>
          <w:sz w:val="24"/>
        </w:rPr>
        <w:t>）</w:t>
      </w:r>
      <w:r w:rsidR="00036720">
        <w:rPr>
          <w:rFonts w:ascii="宋体" w:hAnsi="宋体" w:hint="eastAsia"/>
          <w:color w:val="FF0000"/>
          <w:sz w:val="24"/>
        </w:rPr>
        <w:t>15</w:t>
      </w:r>
      <w:r w:rsidR="008E30C3" w:rsidRPr="00D804AF">
        <w:rPr>
          <w:rFonts w:ascii="宋体" w:hAnsi="宋体"/>
          <w:color w:val="FF0000"/>
          <w:sz w:val="24"/>
        </w:rPr>
        <w:t>:</w:t>
      </w:r>
      <w:r w:rsidR="00036720">
        <w:rPr>
          <w:rFonts w:ascii="宋体" w:hAnsi="宋体" w:hint="eastAsia"/>
          <w:color w:val="FF0000"/>
          <w:sz w:val="24"/>
        </w:rPr>
        <w:t>0</w:t>
      </w:r>
      <w:r w:rsidRPr="00D804AF">
        <w:rPr>
          <w:rFonts w:ascii="宋体" w:hAnsi="宋体"/>
          <w:color w:val="FF0000"/>
          <w:sz w:val="24"/>
        </w:rPr>
        <w:t>0 （北京时间）</w:t>
      </w:r>
    </w:p>
    <w:p w14:paraId="2D7912EE" w14:textId="2EBF29C4" w:rsidR="00905FA0" w:rsidRPr="00D804AF" w:rsidRDefault="00905FA0" w:rsidP="00905FA0">
      <w:pPr>
        <w:spacing w:beforeLines="50" w:before="156"/>
        <w:jc w:val="left"/>
        <w:rPr>
          <w:rFonts w:ascii="宋体" w:hAnsi="宋体"/>
          <w:color w:val="000000"/>
          <w:sz w:val="24"/>
        </w:rPr>
      </w:pPr>
      <w:r w:rsidRPr="00D804AF">
        <w:rPr>
          <w:rFonts w:ascii="宋体" w:hAnsi="宋体" w:hint="eastAsia"/>
          <w:color w:val="000000"/>
          <w:sz w:val="24"/>
        </w:rPr>
        <w:t>7</w:t>
      </w:r>
      <w:r w:rsidRPr="00D804AF">
        <w:rPr>
          <w:rFonts w:ascii="宋体" w:hAnsi="宋体"/>
          <w:color w:val="000000"/>
          <w:sz w:val="24"/>
        </w:rPr>
        <w:t xml:space="preserve">. </w:t>
      </w:r>
      <w:r w:rsidRPr="00D804AF">
        <w:rPr>
          <w:rFonts w:ascii="宋体" w:hAnsi="宋体" w:hint="eastAsia"/>
          <w:color w:val="000000"/>
          <w:sz w:val="24"/>
        </w:rPr>
        <w:t>谈判</w:t>
      </w:r>
      <w:r w:rsidRPr="00D804AF">
        <w:rPr>
          <w:rFonts w:ascii="宋体" w:hAnsi="宋体"/>
          <w:color w:val="000000"/>
          <w:sz w:val="24"/>
        </w:rPr>
        <w:t>地点：深圳大学</w:t>
      </w:r>
      <w:r w:rsidRPr="00D804AF">
        <w:rPr>
          <w:rFonts w:ascii="宋体" w:hAnsi="宋体" w:hint="eastAsia"/>
          <w:color w:val="000000"/>
          <w:sz w:val="24"/>
        </w:rPr>
        <w:t>办公楼241</w:t>
      </w:r>
      <w:r w:rsidRPr="00D804AF">
        <w:rPr>
          <w:rFonts w:ascii="宋体" w:hAnsi="宋体"/>
          <w:color w:val="000000"/>
          <w:sz w:val="24"/>
        </w:rPr>
        <w:t>室。</w:t>
      </w:r>
      <w:r w:rsidRPr="00D804AF">
        <w:rPr>
          <w:rFonts w:ascii="宋体" w:hAnsi="宋体" w:hint="eastAsia"/>
          <w:color w:val="000000"/>
          <w:sz w:val="24"/>
        </w:rPr>
        <w:t>谈判</w:t>
      </w:r>
      <w:r w:rsidRPr="00D804AF">
        <w:rPr>
          <w:rFonts w:ascii="宋体" w:hAnsi="宋体"/>
          <w:color w:val="000000"/>
          <w:sz w:val="24"/>
        </w:rPr>
        <w:t>书直接送至开标室</w:t>
      </w:r>
      <w:r w:rsidR="00036099" w:rsidRPr="00D804AF">
        <w:rPr>
          <w:rFonts w:ascii="宋体" w:hAnsi="宋体" w:hint="eastAsia"/>
          <w:color w:val="000000"/>
          <w:sz w:val="24"/>
        </w:rPr>
        <w:t>241</w:t>
      </w:r>
      <w:r w:rsidRPr="00D804AF">
        <w:rPr>
          <w:rFonts w:ascii="宋体" w:hAnsi="宋体"/>
          <w:color w:val="000000"/>
          <w:sz w:val="24"/>
        </w:rPr>
        <w:t>。</w:t>
      </w:r>
    </w:p>
    <w:p w14:paraId="18D805D6" w14:textId="77777777" w:rsidR="00905FA0" w:rsidRPr="00D804AF" w:rsidRDefault="00905FA0" w:rsidP="00905FA0">
      <w:pPr>
        <w:spacing w:beforeLines="50" w:before="156"/>
        <w:jc w:val="right"/>
        <w:rPr>
          <w:rFonts w:ascii="宋体" w:hAnsi="宋体"/>
          <w:color w:val="000000"/>
          <w:sz w:val="24"/>
        </w:rPr>
      </w:pPr>
    </w:p>
    <w:p w14:paraId="3264A042"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招标机构名称：深圳大学招投标管理中心</w:t>
      </w:r>
    </w:p>
    <w:p w14:paraId="5964E2AF" w14:textId="13B25B92"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联</w:t>
      </w:r>
      <w:r w:rsidRPr="00D804AF">
        <w:rPr>
          <w:rFonts w:ascii="宋体" w:hAnsi="宋体"/>
          <w:color w:val="000000"/>
          <w:sz w:val="24"/>
        </w:rPr>
        <w:t xml:space="preserve"> 系 人</w:t>
      </w:r>
      <w:r w:rsidR="00036099" w:rsidRPr="00D804AF">
        <w:rPr>
          <w:rFonts w:ascii="宋体" w:hAnsi="宋体" w:hint="eastAsia"/>
          <w:color w:val="000000"/>
          <w:sz w:val="24"/>
        </w:rPr>
        <w:t>：徐</w:t>
      </w:r>
      <w:r w:rsidRPr="00D804AF">
        <w:rPr>
          <w:rFonts w:ascii="宋体" w:hAnsi="宋体"/>
          <w:color w:val="000000"/>
          <w:sz w:val="24"/>
        </w:rPr>
        <w:t>老师  电  话：（0755）</w:t>
      </w:r>
      <w:r w:rsidR="00806471" w:rsidRPr="00D804AF">
        <w:rPr>
          <w:rFonts w:ascii="宋体" w:hAnsi="宋体" w:hint="eastAsia"/>
          <w:color w:val="000000"/>
          <w:sz w:val="24"/>
        </w:rPr>
        <w:t>2691</w:t>
      </w:r>
      <w:r w:rsidRPr="00D804AF">
        <w:rPr>
          <w:rFonts w:ascii="宋体" w:hAnsi="宋体"/>
          <w:color w:val="000000"/>
          <w:sz w:val="24"/>
        </w:rPr>
        <w:t xml:space="preserve"> </w:t>
      </w:r>
      <w:r w:rsidR="00806471" w:rsidRPr="00D804AF">
        <w:rPr>
          <w:rFonts w:ascii="宋体" w:hAnsi="宋体" w:hint="eastAsia"/>
          <w:color w:val="000000"/>
          <w:sz w:val="24"/>
        </w:rPr>
        <w:t>8136</w:t>
      </w:r>
      <w:r w:rsidRPr="00D804AF">
        <w:rPr>
          <w:rFonts w:ascii="宋体" w:hAnsi="宋体"/>
          <w:color w:val="000000"/>
          <w:sz w:val="24"/>
        </w:rPr>
        <w:t xml:space="preserve"> </w:t>
      </w:r>
    </w:p>
    <w:p w14:paraId="0E594432" w14:textId="77777777" w:rsidR="00905FA0" w:rsidRPr="00D804AF" w:rsidRDefault="00905FA0" w:rsidP="00905FA0">
      <w:pPr>
        <w:spacing w:beforeLines="50" w:before="156"/>
        <w:jc w:val="right"/>
        <w:rPr>
          <w:rFonts w:ascii="宋体" w:hAnsi="宋体"/>
          <w:color w:val="000000"/>
          <w:sz w:val="24"/>
        </w:rPr>
      </w:pPr>
    </w:p>
    <w:p w14:paraId="1199E5DE"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招投标投诉电话：</w:t>
      </w:r>
      <w:r w:rsidRPr="00D804AF">
        <w:rPr>
          <w:rFonts w:ascii="宋体" w:hAnsi="宋体"/>
          <w:color w:val="000000"/>
          <w:sz w:val="24"/>
        </w:rPr>
        <w:t>0755-26535738   投诉邮箱：ChenJC@SZU.EDU.CN</w:t>
      </w:r>
    </w:p>
    <w:p w14:paraId="581435DC"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受理单位</w:t>
      </w:r>
      <w:r w:rsidRPr="00D804AF">
        <w:rPr>
          <w:rFonts w:ascii="宋体" w:hAnsi="宋体"/>
          <w:color w:val="000000"/>
          <w:sz w:val="24"/>
        </w:rPr>
        <w:t>:   深圳大学招投标管理中心</w:t>
      </w:r>
    </w:p>
    <w:p w14:paraId="1A632C50" w14:textId="77777777" w:rsidR="00346803"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纪委监督电话：</w:t>
      </w:r>
      <w:r w:rsidRPr="00D804AF">
        <w:rPr>
          <w:rFonts w:ascii="宋体" w:hAnsi="宋体"/>
          <w:color w:val="000000"/>
          <w:sz w:val="24"/>
        </w:rPr>
        <w:t>(0755)2653 4925</w:t>
      </w:r>
    </w:p>
    <w:p w14:paraId="69A7C869" w14:textId="77777777" w:rsidR="00346803" w:rsidRPr="00D804AF" w:rsidRDefault="00346803">
      <w:pPr>
        <w:widowControl/>
        <w:jc w:val="left"/>
        <w:rPr>
          <w:rFonts w:ascii="宋体" w:hAnsi="宋体"/>
          <w:color w:val="000000"/>
          <w:sz w:val="24"/>
        </w:rPr>
      </w:pPr>
      <w:r w:rsidRPr="00D804AF">
        <w:rPr>
          <w:rFonts w:ascii="宋体" w:hAnsi="宋体"/>
          <w:color w:val="000000"/>
          <w:sz w:val="24"/>
        </w:rPr>
        <w:br w:type="page"/>
      </w:r>
    </w:p>
    <w:p w14:paraId="64C04BB2" w14:textId="77777777" w:rsidR="00346803" w:rsidRPr="00D804AF" w:rsidRDefault="00346803" w:rsidP="00CC3BEA">
      <w:pPr>
        <w:spacing w:beforeLines="50" w:before="156"/>
        <w:jc w:val="center"/>
        <w:rPr>
          <w:rFonts w:ascii="华文新魏" w:eastAsia="华文新魏" w:hAnsi="宋体"/>
          <w:b/>
          <w:color w:val="000000"/>
          <w:sz w:val="48"/>
        </w:rPr>
      </w:pPr>
      <w:r w:rsidRPr="00D804AF">
        <w:rPr>
          <w:rFonts w:ascii="华文新魏" w:eastAsia="华文新魏" w:hAnsi="宋体" w:hint="eastAsia"/>
          <w:b/>
          <w:color w:val="000000"/>
          <w:sz w:val="48"/>
        </w:rPr>
        <w:lastRenderedPageBreak/>
        <w:t>谈判人须知</w:t>
      </w:r>
    </w:p>
    <w:p w14:paraId="4024C68D" w14:textId="77640AEF" w:rsidR="00346803" w:rsidRDefault="00346803" w:rsidP="00CC3BEA">
      <w:pPr>
        <w:spacing w:beforeLines="50" w:before="156"/>
        <w:jc w:val="left"/>
        <w:rPr>
          <w:rFonts w:ascii="宋体" w:hAnsi="宋体"/>
          <w:color w:val="000000"/>
          <w:sz w:val="24"/>
        </w:rPr>
      </w:pPr>
      <w:r w:rsidRPr="00D804AF">
        <w:rPr>
          <w:rFonts w:ascii="仿宋" w:eastAsia="仿宋" w:hAnsi="仿宋" w:hint="eastAsia"/>
          <w:b/>
          <w:color w:val="000000"/>
          <w:sz w:val="24"/>
        </w:rPr>
        <w:t>一、</w:t>
      </w:r>
      <w:r w:rsidRPr="00D804AF">
        <w:rPr>
          <w:rFonts w:ascii="仿宋" w:eastAsia="仿宋" w:hAnsi="仿宋" w:hint="eastAsia"/>
          <w:b/>
          <w:sz w:val="24"/>
        </w:rPr>
        <w:t>谈判邀请对象：</w:t>
      </w:r>
      <w:r w:rsidR="00A327CB">
        <w:rPr>
          <w:rFonts w:ascii="仿宋" w:eastAsia="仿宋" w:hAnsi="仿宋" w:hint="eastAsia"/>
          <w:b/>
          <w:sz w:val="24"/>
        </w:rPr>
        <w:t>上海必盈特软件系统有限公司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0E28EEF8" w14:textId="77777777" w:rsidR="00346803" w:rsidRDefault="00346803">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B683F64" w14:textId="4BB50252" w:rsidR="00346803" w:rsidRDefault="000A2728" w:rsidP="000A2728">
      <w:pPr>
        <w:spacing w:line="360" w:lineRule="auto"/>
        <w:ind w:firstLineChars="200" w:firstLine="480"/>
        <w:rPr>
          <w:rFonts w:ascii="仿宋" w:eastAsia="仿宋" w:hAnsi="仿宋"/>
          <w:sz w:val="24"/>
        </w:rPr>
      </w:pPr>
      <w:r w:rsidRPr="000A2728">
        <w:rPr>
          <w:rFonts w:ascii="仿宋" w:eastAsia="仿宋" w:hAnsi="仿宋" w:hint="eastAsia"/>
          <w:sz w:val="24"/>
        </w:rPr>
        <w:t>系统安装部署到采购方服务器后，经校内审批，采购方向供应商支付合同总价的50%；项目验收合格后，经校内审批，供应商向采购方支付合同总价的5%作为质保金，采购方再向供应商支付剩余合同总价的50%。在付款的同时</w:t>
      </w:r>
      <w:r w:rsidR="008C5725">
        <w:rPr>
          <w:rFonts w:ascii="仿宋" w:eastAsia="仿宋" w:hAnsi="仿宋" w:hint="eastAsia"/>
          <w:sz w:val="24"/>
        </w:rPr>
        <w:t>供应商</w:t>
      </w:r>
      <w:r w:rsidRPr="000A2728">
        <w:rPr>
          <w:rFonts w:ascii="仿宋" w:eastAsia="仿宋" w:hAnsi="仿宋" w:hint="eastAsia"/>
          <w:sz w:val="24"/>
        </w:rPr>
        <w:t>提供发票。质保金期满后，如无质量、服务问题，则无息全额退回质保金。</w:t>
      </w:r>
    </w:p>
    <w:p w14:paraId="7954CDC5" w14:textId="77777777" w:rsidR="00346803"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6F0768C8"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w:t>
      </w:r>
      <w:r>
        <w:rPr>
          <w:rFonts w:ascii="仿宋" w:eastAsia="仿宋" w:hAnsi="仿宋" w:hint="eastAsia"/>
          <w:sz w:val="24"/>
        </w:rPr>
        <w:lastRenderedPageBreak/>
        <w:t>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0AEE7758" w14:textId="77777777" w:rsidR="00370257" w:rsidRPr="00EF2646" w:rsidRDefault="00370257" w:rsidP="00370257">
      <w:pPr>
        <w:ind w:firstLineChars="268" w:firstLine="565"/>
        <w:outlineLvl w:val="0"/>
        <w:rPr>
          <w:b/>
          <w:szCs w:val="21"/>
        </w:rPr>
      </w:pPr>
      <w:r w:rsidRPr="00EF2646">
        <w:rPr>
          <w:rFonts w:hint="eastAsia"/>
          <w:b/>
          <w:szCs w:val="21"/>
        </w:rPr>
        <w:t>一、采购清单：</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327"/>
        <w:gridCol w:w="3124"/>
        <w:gridCol w:w="900"/>
        <w:gridCol w:w="785"/>
        <w:gridCol w:w="838"/>
      </w:tblGrid>
      <w:tr w:rsidR="00370257" w14:paraId="5ECC47CF" w14:textId="77777777" w:rsidTr="00E71A42">
        <w:trPr>
          <w:trHeight w:val="524"/>
          <w:jc w:val="center"/>
        </w:trPr>
        <w:tc>
          <w:tcPr>
            <w:tcW w:w="818" w:type="dxa"/>
            <w:vAlign w:val="center"/>
          </w:tcPr>
          <w:p w14:paraId="79652869" w14:textId="77777777" w:rsidR="00370257" w:rsidRDefault="00370257" w:rsidP="000C1439">
            <w:pPr>
              <w:jc w:val="center"/>
              <w:rPr>
                <w:b/>
                <w:szCs w:val="21"/>
              </w:rPr>
            </w:pPr>
            <w:r>
              <w:rPr>
                <w:rFonts w:hint="eastAsia"/>
                <w:b/>
                <w:szCs w:val="21"/>
              </w:rPr>
              <w:t>序号</w:t>
            </w:r>
          </w:p>
        </w:tc>
        <w:tc>
          <w:tcPr>
            <w:tcW w:w="1327" w:type="dxa"/>
            <w:vAlign w:val="center"/>
          </w:tcPr>
          <w:p w14:paraId="38CC32E1" w14:textId="77777777" w:rsidR="00370257" w:rsidRDefault="00370257" w:rsidP="000C1439">
            <w:pPr>
              <w:jc w:val="center"/>
              <w:rPr>
                <w:b/>
                <w:szCs w:val="21"/>
              </w:rPr>
            </w:pPr>
            <w:r>
              <w:rPr>
                <w:rFonts w:hint="eastAsia"/>
                <w:b/>
                <w:szCs w:val="21"/>
              </w:rPr>
              <w:t>名称</w:t>
            </w:r>
          </w:p>
        </w:tc>
        <w:tc>
          <w:tcPr>
            <w:tcW w:w="3124" w:type="dxa"/>
            <w:vAlign w:val="center"/>
          </w:tcPr>
          <w:p w14:paraId="0CC8BE47" w14:textId="77777777" w:rsidR="00370257" w:rsidRDefault="00370257" w:rsidP="000C1439">
            <w:pPr>
              <w:jc w:val="center"/>
              <w:rPr>
                <w:b/>
                <w:szCs w:val="21"/>
              </w:rPr>
            </w:pPr>
            <w:r>
              <w:rPr>
                <w:rFonts w:hint="eastAsia"/>
                <w:b/>
                <w:szCs w:val="21"/>
              </w:rPr>
              <w:t>内容说明</w:t>
            </w:r>
          </w:p>
        </w:tc>
        <w:tc>
          <w:tcPr>
            <w:tcW w:w="900" w:type="dxa"/>
            <w:vAlign w:val="center"/>
          </w:tcPr>
          <w:p w14:paraId="0C3869C9" w14:textId="77777777" w:rsidR="00370257" w:rsidRDefault="00370257" w:rsidP="000C1439">
            <w:pPr>
              <w:jc w:val="center"/>
              <w:rPr>
                <w:b/>
                <w:szCs w:val="21"/>
              </w:rPr>
            </w:pPr>
            <w:r>
              <w:rPr>
                <w:rFonts w:hint="eastAsia"/>
                <w:b/>
                <w:szCs w:val="21"/>
              </w:rPr>
              <w:t>数量</w:t>
            </w:r>
          </w:p>
        </w:tc>
        <w:tc>
          <w:tcPr>
            <w:tcW w:w="785" w:type="dxa"/>
            <w:vAlign w:val="center"/>
          </w:tcPr>
          <w:p w14:paraId="6B3EFC23" w14:textId="77777777" w:rsidR="00370257" w:rsidRDefault="00370257" w:rsidP="000C1439">
            <w:pPr>
              <w:ind w:firstLineChars="49" w:firstLine="103"/>
              <w:jc w:val="center"/>
              <w:rPr>
                <w:b/>
                <w:szCs w:val="21"/>
              </w:rPr>
            </w:pPr>
            <w:r>
              <w:rPr>
                <w:rFonts w:hint="eastAsia"/>
                <w:b/>
                <w:szCs w:val="21"/>
              </w:rPr>
              <w:t>单位</w:t>
            </w:r>
          </w:p>
        </w:tc>
        <w:tc>
          <w:tcPr>
            <w:tcW w:w="838" w:type="dxa"/>
            <w:vAlign w:val="center"/>
          </w:tcPr>
          <w:p w14:paraId="6A5BCCCA" w14:textId="77777777" w:rsidR="00370257" w:rsidRDefault="00370257" w:rsidP="000C1439">
            <w:pPr>
              <w:ind w:firstLineChars="49" w:firstLine="103"/>
              <w:jc w:val="center"/>
              <w:rPr>
                <w:b/>
                <w:szCs w:val="21"/>
              </w:rPr>
            </w:pPr>
            <w:r>
              <w:rPr>
                <w:rFonts w:hint="eastAsia"/>
                <w:b/>
                <w:szCs w:val="21"/>
              </w:rPr>
              <w:t>备注</w:t>
            </w:r>
          </w:p>
        </w:tc>
      </w:tr>
      <w:tr w:rsidR="00370257" w14:paraId="3D29193F" w14:textId="77777777" w:rsidTr="00E71A42">
        <w:trPr>
          <w:trHeight w:val="1167"/>
          <w:jc w:val="center"/>
        </w:trPr>
        <w:tc>
          <w:tcPr>
            <w:tcW w:w="818" w:type="dxa"/>
            <w:vAlign w:val="center"/>
          </w:tcPr>
          <w:p w14:paraId="36A49F43" w14:textId="6AE98F88" w:rsidR="00370257" w:rsidRDefault="00370257" w:rsidP="00E71A42">
            <w:pPr>
              <w:jc w:val="center"/>
              <w:rPr>
                <w:szCs w:val="21"/>
              </w:rPr>
            </w:pPr>
            <w:r>
              <w:rPr>
                <w:rFonts w:hint="eastAsia"/>
                <w:szCs w:val="21"/>
              </w:rPr>
              <w:t>1</w:t>
            </w:r>
          </w:p>
        </w:tc>
        <w:tc>
          <w:tcPr>
            <w:tcW w:w="1327" w:type="dxa"/>
            <w:vAlign w:val="center"/>
          </w:tcPr>
          <w:p w14:paraId="647E8DC7" w14:textId="761A0E94" w:rsidR="00370257" w:rsidRPr="0019443B" w:rsidRDefault="00E71A42" w:rsidP="000C1439">
            <w:pPr>
              <w:jc w:val="center"/>
              <w:rPr>
                <w:szCs w:val="21"/>
              </w:rPr>
            </w:pPr>
            <w:r w:rsidRPr="00E71A42">
              <w:rPr>
                <w:rFonts w:ascii="宋体" w:hAnsi="宋体" w:hint="eastAsia"/>
                <w:b/>
                <w:szCs w:val="21"/>
              </w:rPr>
              <w:t>多维数据分析及辅助决策支持平台</w:t>
            </w:r>
          </w:p>
        </w:tc>
        <w:tc>
          <w:tcPr>
            <w:tcW w:w="3124" w:type="dxa"/>
            <w:vAlign w:val="center"/>
          </w:tcPr>
          <w:p w14:paraId="541E3AC3" w14:textId="24B637C7" w:rsidR="00370257" w:rsidRPr="00B9228C" w:rsidRDefault="00E71A42" w:rsidP="00E71A42">
            <w:pPr>
              <w:snapToGrid w:val="0"/>
              <w:spacing w:line="360" w:lineRule="auto"/>
              <w:rPr>
                <w:rFonts w:ascii="宋体" w:hAnsi="宋体"/>
                <w:szCs w:val="21"/>
              </w:rPr>
            </w:pPr>
            <w:r>
              <w:rPr>
                <w:rFonts w:hint="eastAsia"/>
              </w:rPr>
              <w:t>详见</w:t>
            </w:r>
            <w:r>
              <w:t>下文</w:t>
            </w:r>
            <w:r w:rsidRPr="00E71A42">
              <w:rPr>
                <w:rFonts w:hint="eastAsia"/>
              </w:rPr>
              <w:t>软件平台需求</w:t>
            </w:r>
            <w:r>
              <w:rPr>
                <w:rFonts w:hint="eastAsia"/>
              </w:rPr>
              <w:t>及</w:t>
            </w:r>
            <w:r w:rsidRPr="00E71A42">
              <w:rPr>
                <w:rFonts w:hint="eastAsia"/>
              </w:rPr>
              <w:t>数据服务需求</w:t>
            </w:r>
          </w:p>
        </w:tc>
        <w:tc>
          <w:tcPr>
            <w:tcW w:w="900" w:type="dxa"/>
            <w:vAlign w:val="center"/>
          </w:tcPr>
          <w:p w14:paraId="26C11B2A" w14:textId="77777777" w:rsidR="00370257" w:rsidRPr="0019443B" w:rsidRDefault="00370257" w:rsidP="000C1439">
            <w:pPr>
              <w:jc w:val="center"/>
              <w:rPr>
                <w:szCs w:val="21"/>
              </w:rPr>
            </w:pPr>
            <w:r>
              <w:rPr>
                <w:rFonts w:hint="eastAsia"/>
                <w:szCs w:val="21"/>
              </w:rPr>
              <w:t>1</w:t>
            </w:r>
          </w:p>
        </w:tc>
        <w:tc>
          <w:tcPr>
            <w:tcW w:w="785" w:type="dxa"/>
            <w:vAlign w:val="center"/>
          </w:tcPr>
          <w:p w14:paraId="593BE94E" w14:textId="476F0230" w:rsidR="00370257" w:rsidRPr="0019443B" w:rsidRDefault="00E71A42" w:rsidP="000C1439">
            <w:pPr>
              <w:jc w:val="center"/>
              <w:rPr>
                <w:szCs w:val="21"/>
              </w:rPr>
            </w:pPr>
            <w:r>
              <w:rPr>
                <w:rFonts w:hint="eastAsia"/>
                <w:szCs w:val="21"/>
              </w:rPr>
              <w:t>套</w:t>
            </w:r>
          </w:p>
        </w:tc>
        <w:tc>
          <w:tcPr>
            <w:tcW w:w="838" w:type="dxa"/>
            <w:vAlign w:val="center"/>
          </w:tcPr>
          <w:p w14:paraId="6A724760" w14:textId="184A14A7" w:rsidR="00370257" w:rsidRPr="002C2653" w:rsidRDefault="00370257" w:rsidP="000C1439">
            <w:pPr>
              <w:rPr>
                <w:rFonts w:ascii="宋体" w:hAnsi="宋体"/>
              </w:rPr>
            </w:pPr>
          </w:p>
        </w:tc>
      </w:tr>
    </w:tbl>
    <w:p w14:paraId="6CBA6AE3" w14:textId="77777777" w:rsidR="00370257" w:rsidRDefault="00370257" w:rsidP="00370257">
      <w:pPr>
        <w:ind w:right="480" w:firstLineChars="245" w:firstLine="517"/>
        <w:rPr>
          <w:b/>
          <w:szCs w:val="21"/>
        </w:rPr>
      </w:pPr>
    </w:p>
    <w:p w14:paraId="46A380F9" w14:textId="00557EAE" w:rsidR="00370257" w:rsidRPr="00EF2646" w:rsidRDefault="00E71A42" w:rsidP="00370257">
      <w:pPr>
        <w:ind w:right="480" w:firstLineChars="268" w:firstLine="565"/>
        <w:rPr>
          <w:b/>
          <w:szCs w:val="21"/>
        </w:rPr>
      </w:pPr>
      <w:r>
        <w:rPr>
          <w:rFonts w:hint="eastAsia"/>
          <w:b/>
          <w:szCs w:val="21"/>
        </w:rPr>
        <w:t>二</w:t>
      </w:r>
      <w:r w:rsidRPr="00E71A42">
        <w:rPr>
          <w:rFonts w:hint="eastAsia"/>
          <w:b/>
          <w:szCs w:val="21"/>
        </w:rPr>
        <w:t>、软件平台需求</w:t>
      </w:r>
    </w:p>
    <w:p w14:paraId="3A819FBB"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软件采用JAVA技术，并使用J2EE平台的开源框架，数据库服务器采用Oracle 10g及以上版本。能够支持目前通用的各类操作系统环境，包括Windows 2000server,windows server 2003,Linux, Solaris, HP-UX, SCO Unix等主流操作系统。系统最大登录用户数为40000，最大并发登录用户数为2000。系统不间断工作、无故障率达到99%以上。软件平台包括三大功能：</w:t>
      </w:r>
    </w:p>
    <w:p w14:paraId="19D99091"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1.数据仓库</w:t>
      </w:r>
    </w:p>
    <w:p w14:paraId="4A8BD707"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数据仓库依托国家质量监测平台数据标准，可采集国家质量监测平台数据、校内各类评估数据、专业认证、专业对标数据等常态监测数据；还可灵活扩展数据表、数据字段、数据校验规则满足后续多种基于国家质量监测平台数据标准的采集任务，并通过数据复用与元数据管理、数据表拆分，减少数据填报工作量；</w:t>
      </w:r>
    </w:p>
    <w:p w14:paraId="71C504E7"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2.校内评估</w:t>
      </w:r>
    </w:p>
    <w:p w14:paraId="2E59F832"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可设置多种评估体系、评估类型、评估流程、专家审阅界面、专家打分界面，评估基础数据来源数据仓库，支持定量与定性评价，并针对评估中发现的问题整改进度进行追踪；</w:t>
      </w:r>
    </w:p>
    <w:p w14:paraId="4C936DC1"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3.数据分析</w:t>
      </w:r>
    </w:p>
    <w:p w14:paraId="4EE66BEA" w14:textId="77777777" w:rsidR="00E71A42" w:rsidRPr="00E71A42" w:rsidRDefault="00E71A42" w:rsidP="0021369C">
      <w:pPr>
        <w:spacing w:line="360" w:lineRule="auto"/>
        <w:rPr>
          <w:rFonts w:asciiTheme="minorEastAsia" w:hAnsiTheme="minorEastAsia"/>
          <w:szCs w:val="21"/>
        </w:rPr>
      </w:pPr>
      <w:r w:rsidRPr="00E71A42">
        <w:rPr>
          <w:rFonts w:asciiTheme="minorEastAsia" w:hAnsiTheme="minorEastAsia" w:hint="eastAsia"/>
          <w:szCs w:val="21"/>
        </w:rPr>
        <w:t>（1）专业的数据分析工具、报表工具、交互式仪表盘；</w:t>
      </w:r>
    </w:p>
    <w:p w14:paraId="78C6D1F0" w14:textId="77777777" w:rsidR="00E71A42" w:rsidRPr="00E71A42" w:rsidRDefault="00E71A42" w:rsidP="0021369C">
      <w:pPr>
        <w:spacing w:line="360" w:lineRule="auto"/>
        <w:rPr>
          <w:rFonts w:asciiTheme="minorEastAsia" w:hAnsiTheme="minorEastAsia"/>
          <w:szCs w:val="21"/>
        </w:rPr>
      </w:pPr>
      <w:r w:rsidRPr="00E71A42">
        <w:rPr>
          <w:rFonts w:asciiTheme="minorEastAsia" w:hAnsiTheme="minorEastAsia" w:hint="eastAsia"/>
          <w:szCs w:val="21"/>
        </w:rPr>
        <w:t>（2）提供数据字典功能，可方便的实现各类指标的统一定义、计算、管理；</w:t>
      </w:r>
    </w:p>
    <w:p w14:paraId="7E70CD89" w14:textId="77777777" w:rsidR="00E71A42" w:rsidRPr="00E71A42" w:rsidRDefault="00E71A42" w:rsidP="0021369C">
      <w:pPr>
        <w:spacing w:line="360" w:lineRule="auto"/>
        <w:rPr>
          <w:rFonts w:asciiTheme="minorEastAsia" w:hAnsiTheme="minorEastAsia"/>
          <w:szCs w:val="21"/>
        </w:rPr>
      </w:pPr>
      <w:r w:rsidRPr="00E71A42">
        <w:rPr>
          <w:rFonts w:asciiTheme="minorEastAsia" w:hAnsiTheme="minorEastAsia" w:hint="eastAsia"/>
          <w:szCs w:val="21"/>
        </w:rPr>
        <w:t>（3）丰富的图表控件，支持多角度钻取分析，并可实现拖拽式的即席查询和交互式报表功能，具有很高易用度；</w:t>
      </w:r>
    </w:p>
    <w:p w14:paraId="4889E998" w14:textId="6BD55997" w:rsidR="00E71A42" w:rsidRPr="00E71A42" w:rsidRDefault="00E71A42" w:rsidP="0021369C">
      <w:pPr>
        <w:spacing w:line="360" w:lineRule="auto"/>
        <w:rPr>
          <w:rFonts w:asciiTheme="minorEastAsia" w:hAnsiTheme="minorEastAsia"/>
          <w:szCs w:val="21"/>
        </w:rPr>
      </w:pPr>
      <w:r w:rsidRPr="00E71A42">
        <w:rPr>
          <w:rFonts w:asciiTheme="minorEastAsia" w:hAnsiTheme="minorEastAsia" w:hint="eastAsia"/>
          <w:szCs w:val="21"/>
        </w:rPr>
        <w:t>（4）支持复杂计算逻辑的业务报表；</w:t>
      </w:r>
    </w:p>
    <w:p w14:paraId="6DD34A8D"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lastRenderedPageBreak/>
        <w:t>1）支持定制各类型报告；</w:t>
      </w:r>
    </w:p>
    <w:p w14:paraId="5DDFF75C"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2）报表组件可嵌入Excel、PPT、Word格式的文档中；</w:t>
      </w:r>
    </w:p>
    <w:p w14:paraId="7421733D" w14:textId="77777777" w:rsidR="00E71A42" w:rsidRPr="00E71A42" w:rsidRDefault="00E71A42" w:rsidP="0021369C">
      <w:pPr>
        <w:spacing w:line="360" w:lineRule="auto"/>
        <w:rPr>
          <w:rFonts w:asciiTheme="minorEastAsia" w:hAnsiTheme="minorEastAsia"/>
          <w:szCs w:val="21"/>
        </w:rPr>
      </w:pPr>
      <w:r w:rsidRPr="00E71A42">
        <w:rPr>
          <w:rFonts w:asciiTheme="minorEastAsia" w:hAnsiTheme="minorEastAsia" w:hint="eastAsia"/>
          <w:szCs w:val="21"/>
        </w:rPr>
        <w:t>（5）提供假设分析评估功能，假设如果采取不同的策略方案会产生何种结果，以便作最佳的决策；</w:t>
      </w:r>
    </w:p>
    <w:p w14:paraId="424EDDCD" w14:textId="77777777" w:rsidR="00E71A42" w:rsidRPr="00E71A42" w:rsidRDefault="00E71A42" w:rsidP="0021369C">
      <w:pPr>
        <w:spacing w:line="360" w:lineRule="auto"/>
        <w:rPr>
          <w:rFonts w:asciiTheme="minorEastAsia" w:hAnsiTheme="minorEastAsia"/>
          <w:szCs w:val="21"/>
        </w:rPr>
      </w:pPr>
      <w:r w:rsidRPr="00E71A42">
        <w:rPr>
          <w:rFonts w:asciiTheme="minorEastAsia" w:hAnsiTheme="minorEastAsia" w:hint="eastAsia"/>
          <w:szCs w:val="21"/>
        </w:rPr>
        <w:t>（6）可以与ETL数据处理功能无缝集成，为状态数据库、高基表、质量报告提供可视化的数据一致性校验与预警功能，显著提高数据质量控制能力；</w:t>
      </w:r>
    </w:p>
    <w:p w14:paraId="669FD803" w14:textId="77777777" w:rsidR="00E71A42" w:rsidRPr="00E71A42" w:rsidRDefault="00E71A42" w:rsidP="0021369C">
      <w:pPr>
        <w:spacing w:line="360" w:lineRule="auto"/>
        <w:rPr>
          <w:rFonts w:asciiTheme="minorEastAsia" w:hAnsiTheme="minorEastAsia"/>
          <w:szCs w:val="21"/>
        </w:rPr>
      </w:pPr>
      <w:r w:rsidRPr="00E71A42">
        <w:rPr>
          <w:rFonts w:asciiTheme="minorEastAsia" w:hAnsiTheme="minorEastAsia" w:hint="eastAsia"/>
          <w:szCs w:val="21"/>
        </w:rPr>
        <w:t>（7）提供报表的批量化自动分发功能，支持可视化配置分发目标、格式、数据授权。</w:t>
      </w:r>
    </w:p>
    <w:p w14:paraId="14AA3196" w14:textId="77777777" w:rsidR="00E71A42" w:rsidRPr="00E71A42" w:rsidRDefault="00E71A42" w:rsidP="00E71A42">
      <w:pPr>
        <w:spacing w:line="360" w:lineRule="auto"/>
        <w:ind w:firstLineChars="200" w:firstLine="420"/>
        <w:rPr>
          <w:rFonts w:asciiTheme="minorEastAsia" w:hAnsiTheme="minorEastAsia"/>
          <w:szCs w:val="21"/>
        </w:rPr>
      </w:pPr>
    </w:p>
    <w:p w14:paraId="1D2EE36D" w14:textId="032DD42D" w:rsidR="00E71A42" w:rsidRPr="00E71A42" w:rsidRDefault="00E71A42" w:rsidP="00E71A42">
      <w:pPr>
        <w:ind w:right="480" w:firstLineChars="268" w:firstLine="565"/>
        <w:rPr>
          <w:b/>
          <w:szCs w:val="21"/>
        </w:rPr>
      </w:pPr>
      <w:r w:rsidRPr="00E71A42">
        <w:rPr>
          <w:rFonts w:hint="eastAsia"/>
          <w:b/>
          <w:szCs w:val="21"/>
        </w:rPr>
        <w:t>三、数据服务需求</w:t>
      </w:r>
    </w:p>
    <w:p w14:paraId="2AD79B80"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1.基于数据仓库的数据对学校办学条件指标进行动态监测和预警；</w:t>
      </w:r>
    </w:p>
    <w:p w14:paraId="2C753B3E"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2.释疑数据分析报告指标项目，为规范和优化各项数据填报提供业务咨询和指导，提高数据的精准度和效用度；负责学校原始数据的调整纠错，保障数据填报的便捷性和一致性；</w:t>
      </w:r>
    </w:p>
    <w:p w14:paraId="286E86C7"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3.校内评估数据服务</w:t>
      </w:r>
    </w:p>
    <w:p w14:paraId="33353E2F"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（1）提供评估指标库并与学校共同分析评估指标体系，协助学校确定指标的数据来源、计算规则；</w:t>
      </w:r>
    </w:p>
    <w:p w14:paraId="1C9F6C44"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（2）协助学校设计完成采集数据项的扩展，可在数据仓库中扩展或复用数据，协助完成数据内涵与校验规则定义；</w:t>
      </w:r>
    </w:p>
    <w:p w14:paraId="2B09225A"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（3）提供算法库，工程师建立指标体系并设置数据算法；</w:t>
      </w:r>
    </w:p>
    <w:p w14:paraId="1877B2A3"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（4）提供校内评估实施工作方案模板。</w:t>
      </w:r>
    </w:p>
    <w:p w14:paraId="430CC5D2"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4.数据分析与报告服务</w:t>
      </w:r>
    </w:p>
    <w:p w14:paraId="5C0DE261"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（1）生成多维度数据分析报告：</w:t>
      </w:r>
    </w:p>
    <w:p w14:paraId="1BB27BF5"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1套，《学校数据分析报告》；</w:t>
      </w:r>
    </w:p>
    <w:p w14:paraId="294A1BE1"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25套，《院系数据分析报告》；</w:t>
      </w:r>
    </w:p>
    <w:p w14:paraId="1B1C5138"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106套，《专业数据分析报告》；</w:t>
      </w:r>
    </w:p>
    <w:p w14:paraId="286499F3"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1套，《数据分析报告数据解读》；</w:t>
      </w:r>
    </w:p>
    <w:p w14:paraId="3672D97E"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8套，《师范类专业认证专业教学状态数据分析报告》；</w:t>
      </w:r>
    </w:p>
    <w:p w14:paraId="6F0E84EC"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（2）校内评估结束后，生成评估总结报告与各专业报告：</w:t>
      </w:r>
    </w:p>
    <w:p w14:paraId="1B0E3CE2"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1套，《校内评估总结报告》；</w:t>
      </w:r>
    </w:p>
    <w:p w14:paraId="0C427A5A"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106套，《专业评估报告》；</w:t>
      </w:r>
    </w:p>
    <w:p w14:paraId="6D5C96C6"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lastRenderedPageBreak/>
        <w:t>（3）生成相关支撑数据报告：</w:t>
      </w:r>
    </w:p>
    <w:p w14:paraId="14112018"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1套，《本科教学质量报告支撑数据》；</w:t>
      </w:r>
    </w:p>
    <w:p w14:paraId="7008FD6D"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106套，《专业对标报告》；</w:t>
      </w:r>
    </w:p>
    <w:p w14:paraId="23EF2E18"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（4）报表定制服务。</w:t>
      </w:r>
    </w:p>
    <w:p w14:paraId="38FC7E3E" w14:textId="77777777" w:rsidR="00E71A42" w:rsidRPr="00E71A42" w:rsidRDefault="00E71A42" w:rsidP="00E71A42">
      <w:pPr>
        <w:spacing w:line="360" w:lineRule="auto"/>
        <w:ind w:firstLineChars="200" w:firstLine="420"/>
        <w:rPr>
          <w:rFonts w:asciiTheme="minorEastAsia" w:hAnsiTheme="minorEastAsia"/>
          <w:szCs w:val="21"/>
        </w:rPr>
      </w:pPr>
    </w:p>
    <w:p w14:paraId="427DAF32" w14:textId="05EC347B" w:rsidR="00E71A42" w:rsidRPr="00E71A42" w:rsidRDefault="00E71A42" w:rsidP="00E71A42">
      <w:pPr>
        <w:ind w:right="480" w:firstLineChars="268" w:firstLine="565"/>
        <w:rPr>
          <w:b/>
          <w:szCs w:val="21"/>
        </w:rPr>
      </w:pPr>
      <w:r w:rsidRPr="00E71A42">
        <w:rPr>
          <w:rFonts w:hint="eastAsia"/>
          <w:b/>
          <w:szCs w:val="21"/>
        </w:rPr>
        <w:t>四、售后服务需求</w:t>
      </w:r>
    </w:p>
    <w:p w14:paraId="7AA6F736"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1.通过远程或现场等形式，对系统进行定期的巡检，每季度一次；</w:t>
      </w:r>
    </w:p>
    <w:p w14:paraId="7266C062"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2.当系统出现系统故障、软件错误等问题时，供应商需派工程师及时响应问题，并在问题处理后提交问题处理报告；</w:t>
      </w:r>
    </w:p>
    <w:p w14:paraId="6AEF73D9"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3.质保期内，供应商接到维修通知，供应商人员在2小时内做出回应，应于24小时内到达现场处理，如软件在检修24小时后故障仍无法排除，供应商需提供备用系统供校方使用；</w:t>
      </w:r>
    </w:p>
    <w:p w14:paraId="7F3C3C98"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4.供应商需协助校方做好数据采集、上报等工作。如遇校方重大活动，供应商可派遣工程师提供驻场服务；</w:t>
      </w:r>
    </w:p>
    <w:p w14:paraId="44EDA1A8"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5.软件终身免费升级服务，如供应商公司的系统在免费维护期内有新版本发布，需免费为校方更新系统，确保学校使用最新版本的系统；</w:t>
      </w:r>
    </w:p>
    <w:p w14:paraId="6B5F8F68"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6.校方初次使用系统时，供应商需对校方相关人员提供系统操作使用培训，校方系统管理员可以熟练使用本系统软件。系统正常使用后，如遇供应商系统升级或校方系统管理员变更，在免费维护期内供应商可应校方要求提供不超过三次的现场免费培训；</w:t>
      </w:r>
    </w:p>
    <w:p w14:paraId="4C0D7FC4" w14:textId="77777777" w:rsidR="00E71A42" w:rsidRPr="00E71A42" w:rsidRDefault="00E71A42" w:rsidP="00E71A42">
      <w:pPr>
        <w:spacing w:line="360" w:lineRule="auto"/>
        <w:ind w:firstLineChars="200" w:firstLine="420"/>
        <w:rPr>
          <w:rFonts w:asciiTheme="minorEastAsia" w:hAnsiTheme="minorEastAsia"/>
          <w:szCs w:val="21"/>
        </w:rPr>
      </w:pPr>
      <w:r w:rsidRPr="00E71A42">
        <w:rPr>
          <w:rFonts w:asciiTheme="minorEastAsia" w:hAnsiTheme="minorEastAsia" w:hint="eastAsia"/>
          <w:szCs w:val="21"/>
        </w:rPr>
        <w:t>7.质保期服务方式为供应商派员到校方使用现场或采用远程方式进行保修，免费维护期内产生的一切费用均由供应商承担；</w:t>
      </w:r>
    </w:p>
    <w:p w14:paraId="6166C578" w14:textId="7BEEDB37" w:rsidR="00C172FF" w:rsidRPr="00C172FF" w:rsidRDefault="00E71A42" w:rsidP="00C172FF">
      <w:pPr>
        <w:spacing w:line="360" w:lineRule="auto"/>
        <w:ind w:firstLineChars="200" w:firstLine="420"/>
        <w:rPr>
          <w:rFonts w:asciiTheme="minorEastAsia" w:hAnsiTheme="minorEastAsia"/>
          <w:szCs w:val="21"/>
        </w:rPr>
      </w:pPr>
      <w:r w:rsidRPr="00E71A42">
        <w:rPr>
          <w:rFonts w:asciiTheme="minorEastAsia" w:hAnsiTheme="minorEastAsia" w:hint="eastAsia"/>
          <w:szCs w:val="21"/>
        </w:rPr>
        <w:t>8.</w:t>
      </w:r>
      <w:r w:rsidR="00C172FF" w:rsidRPr="00C172FF">
        <w:rPr>
          <w:rFonts w:asciiTheme="minorEastAsia" w:hAnsiTheme="minorEastAsia" w:hint="eastAsia"/>
          <w:szCs w:val="21"/>
        </w:rPr>
        <w:t>供应商提供12个月免费维护期，免费维护期结束后</w:t>
      </w:r>
      <w:r w:rsidR="00C172FF">
        <w:rPr>
          <w:rFonts w:asciiTheme="minorEastAsia" w:hAnsiTheme="minorEastAsia" w:hint="eastAsia"/>
          <w:szCs w:val="21"/>
        </w:rPr>
        <w:t>的年维护服务费用</w:t>
      </w:r>
      <w:r w:rsidR="00C172FF">
        <w:rPr>
          <w:rFonts w:asciiTheme="minorEastAsia" w:hAnsiTheme="minorEastAsia"/>
          <w:szCs w:val="21"/>
        </w:rPr>
        <w:t>不高于</w:t>
      </w:r>
      <w:r w:rsidR="00C172FF">
        <w:rPr>
          <w:rFonts w:asciiTheme="minorEastAsia" w:hAnsiTheme="minorEastAsia" w:hint="eastAsia"/>
          <w:szCs w:val="21"/>
        </w:rPr>
        <w:t>此项目</w:t>
      </w:r>
      <w:r w:rsidR="00C172FF" w:rsidRPr="00C172FF">
        <w:rPr>
          <w:rFonts w:asciiTheme="minorEastAsia" w:hAnsiTheme="minorEastAsia" w:hint="eastAsia"/>
          <w:szCs w:val="21"/>
        </w:rPr>
        <w:t>合同额的15%。</w:t>
      </w:r>
    </w:p>
    <w:p w14:paraId="2EC6462F" w14:textId="77777777" w:rsidR="00E71A42" w:rsidRPr="00C172FF" w:rsidRDefault="00E71A42" w:rsidP="00E71A42">
      <w:pPr>
        <w:spacing w:line="360" w:lineRule="auto"/>
        <w:ind w:firstLine="200"/>
        <w:rPr>
          <w:rFonts w:asciiTheme="minorEastAsia" w:hAnsiTheme="minorEastAsia"/>
          <w:sz w:val="24"/>
          <w:szCs w:val="24"/>
        </w:rPr>
      </w:pPr>
    </w:p>
    <w:p w14:paraId="077F3F96" w14:textId="77777777" w:rsidR="00E71A42" w:rsidRDefault="00E71A42" w:rsidP="00E71A42"/>
    <w:p w14:paraId="6FC80B4D" w14:textId="4F7553B3" w:rsidR="00E9504E" w:rsidRPr="00410BB7" w:rsidRDefault="00410BB7" w:rsidP="006C08C9">
      <w:pPr>
        <w:pStyle w:val="af"/>
        <w:adjustRightInd w:val="0"/>
        <w:snapToGrid w:val="0"/>
        <w:spacing w:before="0" w:beforeAutospacing="0" w:after="0" w:afterAutospacing="0" w:line="360" w:lineRule="auto"/>
        <w:ind w:firstLineChars="200" w:firstLine="480"/>
      </w:pPr>
      <w:r w:rsidRPr="00410BB7">
        <w:rPr>
          <w:rFonts w:hint="eastAsia"/>
        </w:rPr>
        <w:br/>
      </w:r>
      <w:r w:rsidR="00E9504E" w:rsidRPr="00410BB7">
        <w:br w:type="page"/>
      </w:r>
    </w:p>
    <w:p w14:paraId="49400718" w14:textId="58EF4F74"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3FBF8A36"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367B8E">
        <w:rPr>
          <w:rFonts w:hint="eastAsia"/>
          <w:bCs/>
          <w:color w:val="000000"/>
          <w:sz w:val="28"/>
        </w:rPr>
        <w:t>一览</w:t>
      </w:r>
      <w:r>
        <w:rPr>
          <w:rFonts w:hint="eastAsia"/>
          <w:bCs/>
          <w:color w:val="000000"/>
          <w:sz w:val="28"/>
        </w:rPr>
        <w:t>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F2411A">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F2411A">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367B8E" w14:paraId="63F6DA9F" w14:textId="77777777" w:rsidTr="00367B8E">
        <w:trPr>
          <w:cantSplit/>
          <w:trHeight w:val="680"/>
          <w:jc w:val="center"/>
        </w:trPr>
        <w:tc>
          <w:tcPr>
            <w:tcW w:w="1040" w:type="dxa"/>
            <w:vAlign w:val="center"/>
          </w:tcPr>
          <w:p w14:paraId="7F6CA030"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054A40C9"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729547F8"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67B8E" w14:paraId="2E2D082C" w14:textId="77777777" w:rsidTr="00367B8E">
        <w:trPr>
          <w:cantSplit/>
          <w:trHeight w:val="680"/>
          <w:jc w:val="center"/>
        </w:trPr>
        <w:tc>
          <w:tcPr>
            <w:tcW w:w="1040" w:type="dxa"/>
            <w:vAlign w:val="center"/>
          </w:tcPr>
          <w:p w14:paraId="102DE466"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024E403B"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367B8E">
        <w:rPr>
          <w:rFonts w:hint="eastAsia"/>
          <w:color w:val="000000"/>
          <w:sz w:val="24"/>
          <w:u w:val="single"/>
          <w:lang w:val="en-GB"/>
        </w:rPr>
        <w:t>或签章</w:t>
      </w:r>
      <w:r>
        <w:rPr>
          <w:rFonts w:hint="eastAsia"/>
          <w:color w:val="000000"/>
          <w:sz w:val="24"/>
          <w:u w:val="single"/>
          <w:lang w:val="en-GB"/>
        </w:rPr>
        <w:t>）</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4B6B294D"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r w:rsidR="00367B8E">
        <w:rPr>
          <w:rFonts w:hint="eastAsia"/>
          <w:color w:val="000000"/>
          <w:sz w:val="24"/>
          <w:u w:val="single"/>
        </w:rPr>
        <w:t>或</w:t>
      </w:r>
      <w:r w:rsidR="00367B8E">
        <w:rPr>
          <w:color w:val="000000"/>
          <w:sz w:val="24"/>
          <w:u w:val="single"/>
        </w:rPr>
        <w:t>签章</w:t>
      </w:r>
      <w:r>
        <w:rPr>
          <w:rFonts w:hint="eastAsia"/>
          <w:color w:val="000000"/>
          <w:sz w:val="24"/>
          <w:u w:val="single"/>
        </w:rPr>
        <w:t>）</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69F9F" w14:textId="77777777" w:rsidR="00F2411A" w:rsidRDefault="00F2411A">
      <w:r>
        <w:separator/>
      </w:r>
    </w:p>
  </w:endnote>
  <w:endnote w:type="continuationSeparator" w:id="0">
    <w:p w14:paraId="7A675452" w14:textId="77777777" w:rsidR="00F2411A" w:rsidRDefault="00F2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EB1DE8">
      <w:rPr>
        <w:rStyle w:val="a3"/>
        <w:noProof/>
      </w:rPr>
      <w:t>3</w:t>
    </w:r>
    <w:r w:rsidR="00E0550D">
      <w:fldChar w:fldCharType="end"/>
    </w:r>
    <w:r>
      <w:rPr>
        <w:rStyle w:val="a3"/>
      </w:rPr>
      <w:t xml:space="preserve"> / </w:t>
    </w:r>
    <w:fldSimple w:instr=" NUMPAGES  \* Arabic  \* MERGEFORMAT ">
      <w:r w:rsidR="00EB1DE8" w:rsidRPr="00EB1DE8">
        <w:rPr>
          <w:rStyle w:val="a3"/>
          <w:noProof/>
        </w:rPr>
        <w:t>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2EC98" w14:textId="77777777" w:rsidR="00F2411A" w:rsidRDefault="00F2411A">
      <w:r>
        <w:separator/>
      </w:r>
    </w:p>
  </w:footnote>
  <w:footnote w:type="continuationSeparator" w:id="0">
    <w:p w14:paraId="36131D7C" w14:textId="77777777" w:rsidR="00F2411A" w:rsidRDefault="00F24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50553388" w:rsidR="00346803" w:rsidRDefault="00346803" w:rsidP="008B3BC1">
    <w:pPr>
      <w:pStyle w:val="a6"/>
      <w:jc w:val="both"/>
    </w:pPr>
    <w:r>
      <w:rPr>
        <w:rFonts w:hint="eastAsia"/>
      </w:rPr>
      <w:t>深</w:t>
    </w:r>
    <w:r w:rsidR="008B3BC1">
      <w:rPr>
        <w:rFonts w:hint="eastAsia"/>
      </w:rPr>
      <w:t xml:space="preserve">圳大学招投标管理中心招标文件　　　　　　　　　　　　　　　</w:t>
    </w:r>
    <w:r w:rsidR="00B95EB1">
      <w:rPr>
        <w:rFonts w:hint="eastAsia"/>
      </w:rPr>
      <w:t xml:space="preserve"> </w:t>
    </w:r>
    <w:r>
      <w:rPr>
        <w:rFonts w:hint="eastAsia"/>
      </w:rPr>
      <w:t>采购编号：</w:t>
    </w:r>
    <w:r w:rsidR="00A327CB">
      <w:rPr>
        <w:rFonts w:hint="eastAsia"/>
      </w:rPr>
      <w:t>SZUCG20190377HW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536C"/>
    <w:rsid w:val="000075EA"/>
    <w:rsid w:val="00017219"/>
    <w:rsid w:val="00024985"/>
    <w:rsid w:val="00036099"/>
    <w:rsid w:val="00036720"/>
    <w:rsid w:val="00037CAB"/>
    <w:rsid w:val="00043C86"/>
    <w:rsid w:val="0005772A"/>
    <w:rsid w:val="00063DA0"/>
    <w:rsid w:val="00064306"/>
    <w:rsid w:val="00064B38"/>
    <w:rsid w:val="000825C1"/>
    <w:rsid w:val="00085AB4"/>
    <w:rsid w:val="00092D92"/>
    <w:rsid w:val="000944CC"/>
    <w:rsid w:val="00097C0C"/>
    <w:rsid w:val="000A2728"/>
    <w:rsid w:val="000B0A40"/>
    <w:rsid w:val="000B1F84"/>
    <w:rsid w:val="000B2874"/>
    <w:rsid w:val="000B5ED4"/>
    <w:rsid w:val="000C544D"/>
    <w:rsid w:val="000C5E52"/>
    <w:rsid w:val="000D178B"/>
    <w:rsid w:val="000E0696"/>
    <w:rsid w:val="000E31CC"/>
    <w:rsid w:val="000F71A7"/>
    <w:rsid w:val="0010182C"/>
    <w:rsid w:val="001033CD"/>
    <w:rsid w:val="00105AF0"/>
    <w:rsid w:val="00106A92"/>
    <w:rsid w:val="001127B2"/>
    <w:rsid w:val="00120D1E"/>
    <w:rsid w:val="00122123"/>
    <w:rsid w:val="00124001"/>
    <w:rsid w:val="001259DD"/>
    <w:rsid w:val="00130784"/>
    <w:rsid w:val="00133C9D"/>
    <w:rsid w:val="00135DB1"/>
    <w:rsid w:val="001411A8"/>
    <w:rsid w:val="00157628"/>
    <w:rsid w:val="00160816"/>
    <w:rsid w:val="00165BC6"/>
    <w:rsid w:val="001713A2"/>
    <w:rsid w:val="001777DA"/>
    <w:rsid w:val="00181F21"/>
    <w:rsid w:val="001820F3"/>
    <w:rsid w:val="001866F1"/>
    <w:rsid w:val="001913F7"/>
    <w:rsid w:val="00192EB4"/>
    <w:rsid w:val="001A43C4"/>
    <w:rsid w:val="001C2EE5"/>
    <w:rsid w:val="001C641C"/>
    <w:rsid w:val="001D429F"/>
    <w:rsid w:val="001E0524"/>
    <w:rsid w:val="001E428B"/>
    <w:rsid w:val="001E562B"/>
    <w:rsid w:val="001E7E12"/>
    <w:rsid w:val="001F02D2"/>
    <w:rsid w:val="001F2261"/>
    <w:rsid w:val="001F3D39"/>
    <w:rsid w:val="00203FF2"/>
    <w:rsid w:val="00205045"/>
    <w:rsid w:val="0020702D"/>
    <w:rsid w:val="0021369C"/>
    <w:rsid w:val="0021645F"/>
    <w:rsid w:val="00232433"/>
    <w:rsid w:val="00232A1A"/>
    <w:rsid w:val="00254ABF"/>
    <w:rsid w:val="0027349B"/>
    <w:rsid w:val="00280709"/>
    <w:rsid w:val="002857EE"/>
    <w:rsid w:val="0029051A"/>
    <w:rsid w:val="002B2598"/>
    <w:rsid w:val="002C0C63"/>
    <w:rsid w:val="002C106F"/>
    <w:rsid w:val="002C1544"/>
    <w:rsid w:val="002C570F"/>
    <w:rsid w:val="002C5873"/>
    <w:rsid w:val="002C5FC2"/>
    <w:rsid w:val="002D32DB"/>
    <w:rsid w:val="002D7C1D"/>
    <w:rsid w:val="002E27DA"/>
    <w:rsid w:val="002E59BE"/>
    <w:rsid w:val="002F46C6"/>
    <w:rsid w:val="00300721"/>
    <w:rsid w:val="00300CA4"/>
    <w:rsid w:val="003230F2"/>
    <w:rsid w:val="00323461"/>
    <w:rsid w:val="00332302"/>
    <w:rsid w:val="00332604"/>
    <w:rsid w:val="00334AF9"/>
    <w:rsid w:val="00346803"/>
    <w:rsid w:val="00352811"/>
    <w:rsid w:val="00355351"/>
    <w:rsid w:val="00356A70"/>
    <w:rsid w:val="00363498"/>
    <w:rsid w:val="00367B8E"/>
    <w:rsid w:val="00370257"/>
    <w:rsid w:val="0037157A"/>
    <w:rsid w:val="00376343"/>
    <w:rsid w:val="003804A8"/>
    <w:rsid w:val="00383796"/>
    <w:rsid w:val="00384CA4"/>
    <w:rsid w:val="003B07B6"/>
    <w:rsid w:val="003C03DA"/>
    <w:rsid w:val="003C4FF3"/>
    <w:rsid w:val="003D62BE"/>
    <w:rsid w:val="003D66A3"/>
    <w:rsid w:val="003D73B1"/>
    <w:rsid w:val="003D7730"/>
    <w:rsid w:val="003F23C7"/>
    <w:rsid w:val="003F59E1"/>
    <w:rsid w:val="004072ED"/>
    <w:rsid w:val="00410BB7"/>
    <w:rsid w:val="00414F13"/>
    <w:rsid w:val="00415C00"/>
    <w:rsid w:val="0042508D"/>
    <w:rsid w:val="004260F6"/>
    <w:rsid w:val="004276D4"/>
    <w:rsid w:val="00433468"/>
    <w:rsid w:val="0044102A"/>
    <w:rsid w:val="0044128A"/>
    <w:rsid w:val="00443A66"/>
    <w:rsid w:val="00454996"/>
    <w:rsid w:val="00455F9D"/>
    <w:rsid w:val="00457064"/>
    <w:rsid w:val="00457524"/>
    <w:rsid w:val="004615A2"/>
    <w:rsid w:val="00471419"/>
    <w:rsid w:val="00471A6E"/>
    <w:rsid w:val="00472726"/>
    <w:rsid w:val="00473944"/>
    <w:rsid w:val="004759CB"/>
    <w:rsid w:val="00476425"/>
    <w:rsid w:val="004906E9"/>
    <w:rsid w:val="00491C90"/>
    <w:rsid w:val="0049363B"/>
    <w:rsid w:val="00494FEC"/>
    <w:rsid w:val="004A1C2B"/>
    <w:rsid w:val="004B25EC"/>
    <w:rsid w:val="004B32A0"/>
    <w:rsid w:val="004B39CE"/>
    <w:rsid w:val="004C175E"/>
    <w:rsid w:val="004C7564"/>
    <w:rsid w:val="004D4E91"/>
    <w:rsid w:val="004D4F38"/>
    <w:rsid w:val="004D7CEE"/>
    <w:rsid w:val="004E31C1"/>
    <w:rsid w:val="004E461A"/>
    <w:rsid w:val="004E7473"/>
    <w:rsid w:val="0050333E"/>
    <w:rsid w:val="005071AB"/>
    <w:rsid w:val="00510421"/>
    <w:rsid w:val="005255E3"/>
    <w:rsid w:val="005336C4"/>
    <w:rsid w:val="00536C18"/>
    <w:rsid w:val="00536C5E"/>
    <w:rsid w:val="0054104F"/>
    <w:rsid w:val="00553362"/>
    <w:rsid w:val="00553E46"/>
    <w:rsid w:val="005713E1"/>
    <w:rsid w:val="005731EC"/>
    <w:rsid w:val="00575819"/>
    <w:rsid w:val="00580848"/>
    <w:rsid w:val="005860DE"/>
    <w:rsid w:val="00586CD8"/>
    <w:rsid w:val="005873A7"/>
    <w:rsid w:val="00595AEB"/>
    <w:rsid w:val="005A45BD"/>
    <w:rsid w:val="005A605C"/>
    <w:rsid w:val="005A6ECC"/>
    <w:rsid w:val="005A7E8E"/>
    <w:rsid w:val="005B3F2B"/>
    <w:rsid w:val="005B58E1"/>
    <w:rsid w:val="005C4D41"/>
    <w:rsid w:val="005C5D5B"/>
    <w:rsid w:val="005E4BA8"/>
    <w:rsid w:val="005E6EF0"/>
    <w:rsid w:val="005E77BA"/>
    <w:rsid w:val="005F2F38"/>
    <w:rsid w:val="005F5B6F"/>
    <w:rsid w:val="0060597F"/>
    <w:rsid w:val="00626262"/>
    <w:rsid w:val="0062646B"/>
    <w:rsid w:val="006329F6"/>
    <w:rsid w:val="006346C7"/>
    <w:rsid w:val="0064167F"/>
    <w:rsid w:val="00641BC8"/>
    <w:rsid w:val="00642AE0"/>
    <w:rsid w:val="00643709"/>
    <w:rsid w:val="006520E7"/>
    <w:rsid w:val="00663002"/>
    <w:rsid w:val="006649D4"/>
    <w:rsid w:val="006702E0"/>
    <w:rsid w:val="00675526"/>
    <w:rsid w:val="00676080"/>
    <w:rsid w:val="006862F7"/>
    <w:rsid w:val="006927D9"/>
    <w:rsid w:val="006934B9"/>
    <w:rsid w:val="006C08C9"/>
    <w:rsid w:val="006C1FD8"/>
    <w:rsid w:val="006C2C68"/>
    <w:rsid w:val="006D2240"/>
    <w:rsid w:val="006E27D7"/>
    <w:rsid w:val="006F11B3"/>
    <w:rsid w:val="00704EA8"/>
    <w:rsid w:val="00712347"/>
    <w:rsid w:val="00712946"/>
    <w:rsid w:val="00713F6E"/>
    <w:rsid w:val="00717AF0"/>
    <w:rsid w:val="00721484"/>
    <w:rsid w:val="00723284"/>
    <w:rsid w:val="007251B2"/>
    <w:rsid w:val="00726026"/>
    <w:rsid w:val="0072662F"/>
    <w:rsid w:val="00730D96"/>
    <w:rsid w:val="00734001"/>
    <w:rsid w:val="0073576F"/>
    <w:rsid w:val="00745D6D"/>
    <w:rsid w:val="007607DB"/>
    <w:rsid w:val="0077435E"/>
    <w:rsid w:val="00776699"/>
    <w:rsid w:val="00780EC8"/>
    <w:rsid w:val="00786FC6"/>
    <w:rsid w:val="0078705F"/>
    <w:rsid w:val="00787207"/>
    <w:rsid w:val="00793EBB"/>
    <w:rsid w:val="007A6D05"/>
    <w:rsid w:val="007B11A3"/>
    <w:rsid w:val="007B1317"/>
    <w:rsid w:val="007B6FDF"/>
    <w:rsid w:val="007B7D95"/>
    <w:rsid w:val="007E283D"/>
    <w:rsid w:val="007E5F17"/>
    <w:rsid w:val="007E644B"/>
    <w:rsid w:val="007F1A7C"/>
    <w:rsid w:val="00800C5F"/>
    <w:rsid w:val="00802E9B"/>
    <w:rsid w:val="0080337F"/>
    <w:rsid w:val="00806471"/>
    <w:rsid w:val="00813181"/>
    <w:rsid w:val="00815923"/>
    <w:rsid w:val="00817AD7"/>
    <w:rsid w:val="00823D72"/>
    <w:rsid w:val="00827B88"/>
    <w:rsid w:val="00834499"/>
    <w:rsid w:val="00843D58"/>
    <w:rsid w:val="00844927"/>
    <w:rsid w:val="00845620"/>
    <w:rsid w:val="00847967"/>
    <w:rsid w:val="00852C70"/>
    <w:rsid w:val="00872277"/>
    <w:rsid w:val="0088621E"/>
    <w:rsid w:val="008901C7"/>
    <w:rsid w:val="008921BC"/>
    <w:rsid w:val="00892C04"/>
    <w:rsid w:val="00897CF0"/>
    <w:rsid w:val="008A1E0A"/>
    <w:rsid w:val="008B2B76"/>
    <w:rsid w:val="008B3BC1"/>
    <w:rsid w:val="008B5526"/>
    <w:rsid w:val="008C407F"/>
    <w:rsid w:val="008C46AA"/>
    <w:rsid w:val="008C5725"/>
    <w:rsid w:val="008C74CF"/>
    <w:rsid w:val="008E2E9C"/>
    <w:rsid w:val="008E30C3"/>
    <w:rsid w:val="008E7A66"/>
    <w:rsid w:val="008F7624"/>
    <w:rsid w:val="00905FA0"/>
    <w:rsid w:val="009071C8"/>
    <w:rsid w:val="00917C5B"/>
    <w:rsid w:val="00930D01"/>
    <w:rsid w:val="00942070"/>
    <w:rsid w:val="0094502C"/>
    <w:rsid w:val="009523F9"/>
    <w:rsid w:val="009530EF"/>
    <w:rsid w:val="009532C7"/>
    <w:rsid w:val="00963924"/>
    <w:rsid w:val="009847D8"/>
    <w:rsid w:val="00985EB2"/>
    <w:rsid w:val="00987558"/>
    <w:rsid w:val="00994FE9"/>
    <w:rsid w:val="00997295"/>
    <w:rsid w:val="00997629"/>
    <w:rsid w:val="009A26A8"/>
    <w:rsid w:val="009A49FB"/>
    <w:rsid w:val="009B506E"/>
    <w:rsid w:val="009B6496"/>
    <w:rsid w:val="009C0335"/>
    <w:rsid w:val="009C210F"/>
    <w:rsid w:val="009D04A4"/>
    <w:rsid w:val="009D3084"/>
    <w:rsid w:val="009D7A3E"/>
    <w:rsid w:val="009E6D47"/>
    <w:rsid w:val="009E79FA"/>
    <w:rsid w:val="009E7A8F"/>
    <w:rsid w:val="009F3160"/>
    <w:rsid w:val="00A0155D"/>
    <w:rsid w:val="00A055BE"/>
    <w:rsid w:val="00A10A69"/>
    <w:rsid w:val="00A16A14"/>
    <w:rsid w:val="00A2476A"/>
    <w:rsid w:val="00A2510D"/>
    <w:rsid w:val="00A273C4"/>
    <w:rsid w:val="00A327CB"/>
    <w:rsid w:val="00A32A1F"/>
    <w:rsid w:val="00A33A25"/>
    <w:rsid w:val="00A40CFD"/>
    <w:rsid w:val="00A43DB6"/>
    <w:rsid w:val="00A61627"/>
    <w:rsid w:val="00A64B00"/>
    <w:rsid w:val="00A64EC7"/>
    <w:rsid w:val="00A706E0"/>
    <w:rsid w:val="00A7165A"/>
    <w:rsid w:val="00A72DA9"/>
    <w:rsid w:val="00A7320B"/>
    <w:rsid w:val="00A76F70"/>
    <w:rsid w:val="00A8016B"/>
    <w:rsid w:val="00A81F1C"/>
    <w:rsid w:val="00A856D4"/>
    <w:rsid w:val="00AA5F54"/>
    <w:rsid w:val="00AB327B"/>
    <w:rsid w:val="00AB3E13"/>
    <w:rsid w:val="00AB7B8E"/>
    <w:rsid w:val="00AD391C"/>
    <w:rsid w:val="00AD5A96"/>
    <w:rsid w:val="00AE2F27"/>
    <w:rsid w:val="00AE7D40"/>
    <w:rsid w:val="00B068CE"/>
    <w:rsid w:val="00B151CF"/>
    <w:rsid w:val="00B16249"/>
    <w:rsid w:val="00B201FD"/>
    <w:rsid w:val="00B21653"/>
    <w:rsid w:val="00B23E35"/>
    <w:rsid w:val="00B33131"/>
    <w:rsid w:val="00B343BA"/>
    <w:rsid w:val="00B34CB3"/>
    <w:rsid w:val="00B51C2B"/>
    <w:rsid w:val="00B5297C"/>
    <w:rsid w:val="00B631EA"/>
    <w:rsid w:val="00B64476"/>
    <w:rsid w:val="00B66244"/>
    <w:rsid w:val="00B7764A"/>
    <w:rsid w:val="00B80F9A"/>
    <w:rsid w:val="00B832C7"/>
    <w:rsid w:val="00B84518"/>
    <w:rsid w:val="00B906B5"/>
    <w:rsid w:val="00B95EB1"/>
    <w:rsid w:val="00BA0638"/>
    <w:rsid w:val="00BA224C"/>
    <w:rsid w:val="00BA58D3"/>
    <w:rsid w:val="00BB782F"/>
    <w:rsid w:val="00BC02C0"/>
    <w:rsid w:val="00BC2194"/>
    <w:rsid w:val="00BC702D"/>
    <w:rsid w:val="00BE4E1E"/>
    <w:rsid w:val="00BF1073"/>
    <w:rsid w:val="00BF2C06"/>
    <w:rsid w:val="00BF6A70"/>
    <w:rsid w:val="00C00E86"/>
    <w:rsid w:val="00C15356"/>
    <w:rsid w:val="00C172B6"/>
    <w:rsid w:val="00C172FF"/>
    <w:rsid w:val="00C17F63"/>
    <w:rsid w:val="00C24251"/>
    <w:rsid w:val="00C2461D"/>
    <w:rsid w:val="00C31F17"/>
    <w:rsid w:val="00C31F32"/>
    <w:rsid w:val="00C40240"/>
    <w:rsid w:val="00C43329"/>
    <w:rsid w:val="00C43456"/>
    <w:rsid w:val="00C44576"/>
    <w:rsid w:val="00C44804"/>
    <w:rsid w:val="00C521F6"/>
    <w:rsid w:val="00C75589"/>
    <w:rsid w:val="00C76B14"/>
    <w:rsid w:val="00C82A02"/>
    <w:rsid w:val="00C83E81"/>
    <w:rsid w:val="00C94714"/>
    <w:rsid w:val="00C973B9"/>
    <w:rsid w:val="00CA2889"/>
    <w:rsid w:val="00CA4C16"/>
    <w:rsid w:val="00CA7E67"/>
    <w:rsid w:val="00CB0CB2"/>
    <w:rsid w:val="00CB4493"/>
    <w:rsid w:val="00CB6B86"/>
    <w:rsid w:val="00CC3BEA"/>
    <w:rsid w:val="00CD4F42"/>
    <w:rsid w:val="00CE5258"/>
    <w:rsid w:val="00CE6059"/>
    <w:rsid w:val="00CE76FA"/>
    <w:rsid w:val="00CF3E72"/>
    <w:rsid w:val="00D020EB"/>
    <w:rsid w:val="00D06D40"/>
    <w:rsid w:val="00D1072C"/>
    <w:rsid w:val="00D16552"/>
    <w:rsid w:val="00D23794"/>
    <w:rsid w:val="00D31271"/>
    <w:rsid w:val="00D407CA"/>
    <w:rsid w:val="00D46C57"/>
    <w:rsid w:val="00D53325"/>
    <w:rsid w:val="00D5690F"/>
    <w:rsid w:val="00D63251"/>
    <w:rsid w:val="00D637BE"/>
    <w:rsid w:val="00D63E4B"/>
    <w:rsid w:val="00D63FFC"/>
    <w:rsid w:val="00D75C16"/>
    <w:rsid w:val="00D802F8"/>
    <w:rsid w:val="00D804AF"/>
    <w:rsid w:val="00D82030"/>
    <w:rsid w:val="00D85F2B"/>
    <w:rsid w:val="00D908AE"/>
    <w:rsid w:val="00D91907"/>
    <w:rsid w:val="00D92A47"/>
    <w:rsid w:val="00D92CEB"/>
    <w:rsid w:val="00D97B33"/>
    <w:rsid w:val="00DA0C1C"/>
    <w:rsid w:val="00DB0A84"/>
    <w:rsid w:val="00DB184C"/>
    <w:rsid w:val="00DB3388"/>
    <w:rsid w:val="00DB6C99"/>
    <w:rsid w:val="00DD6037"/>
    <w:rsid w:val="00DE6BB1"/>
    <w:rsid w:val="00DF257B"/>
    <w:rsid w:val="00DF68DC"/>
    <w:rsid w:val="00DF69CD"/>
    <w:rsid w:val="00E0550D"/>
    <w:rsid w:val="00E070BA"/>
    <w:rsid w:val="00E12D63"/>
    <w:rsid w:val="00E1634A"/>
    <w:rsid w:val="00E2035C"/>
    <w:rsid w:val="00E2583D"/>
    <w:rsid w:val="00E314D3"/>
    <w:rsid w:val="00E71A42"/>
    <w:rsid w:val="00E868BC"/>
    <w:rsid w:val="00E93F03"/>
    <w:rsid w:val="00E9504E"/>
    <w:rsid w:val="00EB1DE8"/>
    <w:rsid w:val="00EC1000"/>
    <w:rsid w:val="00EC54C1"/>
    <w:rsid w:val="00ED7C43"/>
    <w:rsid w:val="00ED7F53"/>
    <w:rsid w:val="00EE248F"/>
    <w:rsid w:val="00EF2A7C"/>
    <w:rsid w:val="00EF678A"/>
    <w:rsid w:val="00F021B1"/>
    <w:rsid w:val="00F02683"/>
    <w:rsid w:val="00F0658F"/>
    <w:rsid w:val="00F1614B"/>
    <w:rsid w:val="00F2411A"/>
    <w:rsid w:val="00F2431E"/>
    <w:rsid w:val="00F2734A"/>
    <w:rsid w:val="00F31988"/>
    <w:rsid w:val="00F362D7"/>
    <w:rsid w:val="00F454FB"/>
    <w:rsid w:val="00F46025"/>
    <w:rsid w:val="00F462B6"/>
    <w:rsid w:val="00F54E42"/>
    <w:rsid w:val="00F57B4A"/>
    <w:rsid w:val="00F6146A"/>
    <w:rsid w:val="00F64AB5"/>
    <w:rsid w:val="00F74347"/>
    <w:rsid w:val="00F80E56"/>
    <w:rsid w:val="00F846D9"/>
    <w:rsid w:val="00F85AB2"/>
    <w:rsid w:val="00F86334"/>
    <w:rsid w:val="00F93560"/>
    <w:rsid w:val="00F9531D"/>
    <w:rsid w:val="00F967BE"/>
    <w:rsid w:val="00F97D28"/>
    <w:rsid w:val="00F97DE0"/>
    <w:rsid w:val="00FB0EB0"/>
    <w:rsid w:val="00FB3CDA"/>
    <w:rsid w:val="00FB6F57"/>
    <w:rsid w:val="00FC1B97"/>
    <w:rsid w:val="00FC1C28"/>
    <w:rsid w:val="00FC21F6"/>
    <w:rsid w:val="00FC3A20"/>
    <w:rsid w:val="00FC3AC2"/>
    <w:rsid w:val="00FD0870"/>
    <w:rsid w:val="00FD24D4"/>
    <w:rsid w:val="00FE247F"/>
    <w:rsid w:val="00FE3E81"/>
    <w:rsid w:val="00FE50DC"/>
    <w:rsid w:val="00FE62A1"/>
    <w:rsid w:val="00FE6C8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
    <w:name w:val="Normal (Web)"/>
    <w:basedOn w:val="a"/>
    <w:uiPriority w:val="99"/>
    <w:unhideWhenUsed/>
    <w:qFormat/>
    <w:rsid w:val="00410BB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26720167">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FD9263-EE71-45AD-925F-06AA01D5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17</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潘世炜</dc:creator>
  <cp:lastModifiedBy>xlh</cp:lastModifiedBy>
  <cp:revision>140</cp:revision>
  <cp:lastPrinted>2018-09-21T03:52:00Z</cp:lastPrinted>
  <dcterms:created xsi:type="dcterms:W3CDTF">2018-05-28T07:43:00Z</dcterms:created>
  <dcterms:modified xsi:type="dcterms:W3CDTF">2019-07-11T03:41:00Z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