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rPr>
          <w:rFonts w:hAnsi="宋体" w:eastAsia="宋体"/>
        </w:rPr>
      </w:pPr>
    </w:p>
    <w:p>
      <w:pPr>
        <w:tabs>
          <w:tab w:val="center" w:pos="4153"/>
          <w:tab w:val="left" w:pos="6660"/>
        </w:tabs>
        <w:spacing w:after="160"/>
        <w:jc w:val="left"/>
        <w:rPr>
          <w:rFonts w:hAnsi="宋体" w:eastAsia="宋体"/>
          <w:color w:val="0000FF"/>
          <w:sz w:val="56"/>
          <w:szCs w:val="56"/>
        </w:rPr>
      </w:pPr>
    </w:p>
    <w:p>
      <w:pPr>
        <w:spacing w:after="160"/>
        <w:jc w:val="center"/>
        <w:rPr>
          <w:rFonts w:ascii="宋体" w:hAnsi="宋体" w:eastAsia="宋体"/>
          <w:color w:val="0000FF"/>
          <w:sz w:val="52"/>
          <w:szCs w:val="52"/>
        </w:rPr>
      </w:pPr>
      <w:r>
        <w:rPr>
          <w:rFonts w:ascii="宋体" w:hAnsi="宋体" w:eastAsia="宋体"/>
          <w:color w:val="0000FF"/>
          <w:sz w:val="52"/>
          <w:szCs w:val="52"/>
        </w:rPr>
        <w:t>A6-402、403、410实验室漏水修补</w:t>
      </w:r>
    </w:p>
    <w:p>
      <w:pPr>
        <w:spacing w:after="160"/>
        <w:jc w:val="center"/>
        <w:rPr>
          <w:rFonts w:hAnsi="宋体" w:eastAsia="宋体"/>
          <w:b/>
          <w:color w:val="000000"/>
          <w:sz w:val="90"/>
          <w:szCs w:val="90"/>
        </w:rPr>
      </w:pPr>
      <w:r>
        <w:rPr>
          <w:rFonts w:hAnsi="宋体" w:eastAsia="宋体"/>
          <w:b/>
          <w:color w:val="000000"/>
          <w:sz w:val="90"/>
          <w:szCs w:val="90"/>
        </w:rPr>
        <w:t>招 标 文 件</w:t>
      </w:r>
    </w:p>
    <w:p>
      <w:pPr>
        <w:spacing w:after="160"/>
        <w:jc w:val="center"/>
        <w:rPr>
          <w:rFonts w:hAnsi="宋体" w:eastAsia="宋体"/>
          <w:color w:val="FF0000"/>
          <w:sz w:val="30"/>
          <w:szCs w:val="30"/>
        </w:rPr>
      </w:pPr>
      <w:r>
        <w:rPr>
          <w:rFonts w:hAnsi="宋体" w:eastAsia="宋体"/>
          <w:color w:val="000000"/>
          <w:sz w:val="30"/>
          <w:szCs w:val="30"/>
        </w:rPr>
        <w:t>（招标编号：</w:t>
      </w:r>
      <w:r>
        <w:rPr>
          <w:rFonts w:hAnsi="宋体" w:eastAsia="宋体"/>
          <w:color w:val="FF0000"/>
        </w:rPr>
        <w:t xml:space="preserve">SZULHXQB202207004GC </w:t>
      </w:r>
      <w:r>
        <w:rPr>
          <w:rFonts w:hAnsi="宋体" w:eastAsia="宋体"/>
          <w:color w:val="000000"/>
          <w:sz w:val="30"/>
          <w:szCs w:val="30"/>
        </w:rPr>
        <w:t>）</w:t>
      </w:r>
    </w:p>
    <w:p>
      <w:pPr>
        <w:spacing w:after="160"/>
        <w:jc w:val="center"/>
        <w:rPr>
          <w:rFonts w:hAnsi="宋体" w:eastAsia="宋体"/>
          <w:color w:val="000000"/>
          <w:sz w:val="90"/>
          <w:szCs w:val="90"/>
        </w:rPr>
      </w:pPr>
    </w:p>
    <w:p>
      <w:pPr>
        <w:spacing w:after="160"/>
        <w:rPr>
          <w:rFonts w:hAnsi="宋体" w:eastAsia="宋体"/>
          <w:color w:val="000000"/>
          <w:sz w:val="90"/>
          <w:szCs w:val="90"/>
        </w:rPr>
      </w:pPr>
    </w:p>
    <w:p>
      <w:pPr>
        <w:spacing w:after="160"/>
        <w:rPr>
          <w:rFonts w:hAnsi="宋体" w:eastAsia="宋体"/>
          <w:color w:val="000000"/>
          <w:sz w:val="90"/>
          <w:szCs w:val="90"/>
        </w:rPr>
      </w:pPr>
    </w:p>
    <w:p>
      <w:pPr>
        <w:spacing w:after="160"/>
        <w:jc w:val="center"/>
        <w:rPr>
          <w:rFonts w:hAnsi="宋体" w:eastAsia="宋体"/>
          <w:color w:val="000000"/>
          <w:sz w:val="30"/>
          <w:szCs w:val="30"/>
        </w:rPr>
      </w:pPr>
      <w:r>
        <w:rPr>
          <w:rFonts w:hAnsi="宋体" w:eastAsia="宋体"/>
          <w:color w:val="000000"/>
          <w:sz w:val="30"/>
          <w:szCs w:val="30"/>
        </w:rPr>
        <w:t>深圳大学</w:t>
      </w:r>
      <w:r>
        <w:rPr>
          <w:rFonts w:hint="eastAsia" w:hAnsi="宋体" w:eastAsia="宋体"/>
          <w:color w:val="000000"/>
          <w:sz w:val="30"/>
          <w:szCs w:val="30"/>
        </w:rPr>
        <w:t>丽湖校区</w:t>
      </w:r>
      <w:r>
        <w:rPr>
          <w:rFonts w:hAnsi="宋体" w:eastAsia="宋体"/>
          <w:color w:val="000000"/>
          <w:sz w:val="30"/>
          <w:szCs w:val="30"/>
        </w:rPr>
        <w:t>管理办公室</w:t>
      </w:r>
    </w:p>
    <w:p>
      <w:pPr>
        <w:spacing w:after="160"/>
        <w:jc w:val="center"/>
        <w:rPr>
          <w:rFonts w:hAnsi="宋体" w:eastAsia="宋体"/>
          <w:color w:val="000000"/>
          <w:sz w:val="30"/>
          <w:szCs w:val="30"/>
        </w:rPr>
      </w:pPr>
      <w:r>
        <w:rPr>
          <w:rFonts w:hAnsi="宋体" w:eastAsia="宋体"/>
          <w:color w:val="FF0000"/>
          <w:sz w:val="30"/>
          <w:szCs w:val="30"/>
        </w:rPr>
        <w:t>二零</w:t>
      </w:r>
      <w:r>
        <w:rPr>
          <w:rFonts w:hint="eastAsia" w:hAnsi="宋体" w:eastAsia="宋体"/>
          <w:color w:val="FF0000"/>
          <w:sz w:val="30"/>
          <w:szCs w:val="30"/>
        </w:rPr>
        <w:t>二二</w:t>
      </w:r>
      <w:r>
        <w:rPr>
          <w:rFonts w:hAnsi="宋体" w:eastAsia="宋体"/>
          <w:color w:val="FF0000"/>
          <w:sz w:val="30"/>
          <w:szCs w:val="30"/>
        </w:rPr>
        <w:t>年</w:t>
      </w:r>
      <w:r>
        <w:rPr>
          <w:rFonts w:hint="eastAsia" w:hAnsi="宋体" w:eastAsia="宋体"/>
          <w:color w:val="FF0000"/>
          <w:sz w:val="30"/>
          <w:szCs w:val="30"/>
        </w:rPr>
        <w:t>玖</w:t>
      </w:r>
      <w:r>
        <w:rPr>
          <w:rFonts w:hAnsi="宋体" w:eastAsia="宋体"/>
          <w:color w:val="FF0000"/>
          <w:sz w:val="30"/>
          <w:szCs w:val="30"/>
        </w:rPr>
        <w:t>月</w:t>
      </w:r>
    </w:p>
    <w:p>
      <w:pPr>
        <w:pStyle w:val="24"/>
      </w:pPr>
      <w:r>
        <w:br w:type="page"/>
      </w:r>
      <w:r>
        <w:rPr>
          <w:rFonts w:hint="eastAsia"/>
        </w:rPr>
        <w:t>招标公告</w:t>
      </w:r>
    </w:p>
    <w:p>
      <w:pPr>
        <w:snapToGrid w:val="0"/>
        <w:spacing w:before="120" w:line="440" w:lineRule="exact"/>
        <w:ind w:firstLine="420"/>
        <w:rPr>
          <w:color w:val="000000"/>
        </w:rPr>
      </w:pPr>
      <w:r>
        <w:rPr>
          <w:rFonts w:hint="eastAsia"/>
          <w:color w:val="000000"/>
        </w:rPr>
        <w:t>现就</w:t>
      </w:r>
      <w:r>
        <w:rPr>
          <w:rFonts w:eastAsiaTheme="minorEastAsia"/>
          <w:color w:val="FF0000"/>
        </w:rPr>
        <w:t>A6-402、403、410实验室漏水修补</w:t>
      </w:r>
      <w:r>
        <w:rPr>
          <w:rFonts w:hint="eastAsia"/>
          <w:color w:val="000000"/>
        </w:rPr>
        <w:t>进行</w:t>
      </w:r>
      <w:r>
        <w:rPr>
          <w:rFonts w:hint="eastAsia"/>
          <w:color w:val="FF0000"/>
        </w:rPr>
        <w:t>公开招标</w:t>
      </w:r>
      <w:r>
        <w:rPr>
          <w:rFonts w:hint="eastAsia"/>
          <w:color w:val="000000"/>
        </w:rPr>
        <w:t>，欢迎资质符合要求的单位进行报名。敬请贵方根据我方提供的有关资料结合现场情况进行报价，工程具体要求如下：</w:t>
      </w:r>
    </w:p>
    <w:p>
      <w:pPr>
        <w:numPr>
          <w:ilvl w:val="0"/>
          <w:numId w:val="1"/>
        </w:numPr>
        <w:tabs>
          <w:tab w:val="left" w:pos="420"/>
        </w:tabs>
        <w:snapToGrid w:val="0"/>
        <w:spacing w:line="360" w:lineRule="exact"/>
        <w:rPr>
          <w:color w:val="000000"/>
          <w:u w:val="single"/>
        </w:rPr>
      </w:pPr>
      <w:r>
        <w:rPr>
          <w:color w:val="000000"/>
        </w:rPr>
        <w:t>工程名称：</w:t>
      </w:r>
      <w:r>
        <w:rPr>
          <w:rFonts w:eastAsiaTheme="minorEastAsia"/>
          <w:color w:val="FF0000"/>
        </w:rPr>
        <w:t>A6-402、403、410实验室漏水修补</w:t>
      </w:r>
    </w:p>
    <w:p>
      <w:pPr>
        <w:numPr>
          <w:ilvl w:val="0"/>
          <w:numId w:val="1"/>
        </w:numPr>
        <w:tabs>
          <w:tab w:val="left" w:pos="420"/>
        </w:tabs>
        <w:snapToGrid w:val="0"/>
        <w:spacing w:line="360" w:lineRule="exact"/>
        <w:rPr>
          <w:color w:val="000000"/>
          <w:u w:val="single"/>
        </w:rPr>
      </w:pPr>
      <w:r>
        <w:rPr>
          <w:color w:val="000000"/>
        </w:rPr>
        <w:t>工程编号:</w:t>
      </w:r>
      <w:r>
        <w:t xml:space="preserve"> </w:t>
      </w:r>
      <w:r>
        <w:rPr>
          <w:color w:val="000000"/>
        </w:rPr>
        <w:t xml:space="preserve">SZULHXQB202207004GC </w:t>
      </w:r>
    </w:p>
    <w:p>
      <w:pPr>
        <w:numPr>
          <w:ilvl w:val="0"/>
          <w:numId w:val="1"/>
        </w:numPr>
        <w:tabs>
          <w:tab w:val="left" w:pos="420"/>
        </w:tabs>
        <w:snapToGrid w:val="0"/>
        <w:spacing w:line="360" w:lineRule="exact"/>
        <w:rPr>
          <w:color w:val="000000"/>
          <w:u w:val="single"/>
        </w:rPr>
      </w:pPr>
      <w:r>
        <w:rPr>
          <w:color w:val="000000"/>
        </w:rPr>
        <w:t>工程概况：详见“技术需求”，</w:t>
      </w:r>
      <w:r>
        <w:rPr>
          <w:rFonts w:hint="eastAsia" w:eastAsiaTheme="minorEastAsia"/>
          <w:color w:val="FF0000"/>
        </w:rPr>
        <w:t>原则</w:t>
      </w:r>
      <w:r>
        <w:rPr>
          <w:rFonts w:eastAsiaTheme="minorEastAsia"/>
          <w:color w:val="FF0000"/>
        </w:rPr>
        <w:t>上</w:t>
      </w:r>
      <w:r>
        <w:rPr>
          <w:color w:val="FF0000"/>
        </w:rPr>
        <w:t>报价前</w:t>
      </w:r>
      <w:r>
        <w:rPr>
          <w:rFonts w:hint="eastAsia" w:eastAsiaTheme="minorEastAsia"/>
          <w:color w:val="FF0000"/>
        </w:rPr>
        <w:t>投标人</w:t>
      </w:r>
      <w:r>
        <w:rPr>
          <w:color w:val="FF0000"/>
        </w:rPr>
        <w:t>必须先进行现场踏勘</w:t>
      </w:r>
      <w:r>
        <w:rPr>
          <w:rFonts w:hint="eastAsia" w:eastAsiaTheme="minorEastAsia"/>
          <w:color w:val="FF0000"/>
        </w:rPr>
        <w:t>，</w:t>
      </w:r>
      <w:r>
        <w:rPr>
          <w:rFonts w:eastAsiaTheme="minorEastAsia"/>
          <w:color w:val="FF0000"/>
        </w:rPr>
        <w:t>由于学校疫情管控，</w:t>
      </w:r>
      <w:r>
        <w:rPr>
          <w:rFonts w:hint="eastAsia" w:eastAsiaTheme="minorEastAsia"/>
          <w:color w:val="FF0000"/>
        </w:rPr>
        <w:t>本项目</w:t>
      </w:r>
      <w:r>
        <w:rPr>
          <w:rFonts w:eastAsiaTheme="minorEastAsia"/>
          <w:color w:val="FF0000"/>
        </w:rPr>
        <w:t>暂</w:t>
      </w:r>
      <w:r>
        <w:rPr>
          <w:rFonts w:hint="eastAsia" w:eastAsiaTheme="minorEastAsia"/>
          <w:color w:val="FF0000"/>
        </w:rPr>
        <w:t>不需</w:t>
      </w:r>
      <w:r>
        <w:rPr>
          <w:rFonts w:eastAsiaTheme="minorEastAsia"/>
          <w:color w:val="FF0000"/>
        </w:rPr>
        <w:t>进行踏勘，但</w:t>
      </w:r>
      <w:r>
        <w:rPr>
          <w:rFonts w:hint="eastAsia" w:eastAsiaTheme="minorEastAsia"/>
          <w:color w:val="FF0000"/>
        </w:rPr>
        <w:t>参与开标</w:t>
      </w:r>
      <w:r>
        <w:rPr>
          <w:rFonts w:eastAsiaTheme="minorEastAsia"/>
          <w:color w:val="FF0000"/>
        </w:rPr>
        <w:t>的</w:t>
      </w:r>
      <w:r>
        <w:rPr>
          <w:rFonts w:hint="eastAsia" w:eastAsiaTheme="minorEastAsia"/>
          <w:color w:val="FF0000"/>
        </w:rPr>
        <w:t>法定代表人合法授权代理人需满足</w:t>
      </w:r>
      <w:r>
        <w:rPr>
          <w:rFonts w:eastAsiaTheme="minorEastAsia"/>
          <w:color w:val="FF0000"/>
        </w:rPr>
        <w:t>三天核酸检测阴性证明，并</w:t>
      </w:r>
      <w:r>
        <w:rPr>
          <w:rFonts w:hint="eastAsia" w:eastAsiaTheme="minorEastAsia"/>
          <w:color w:val="FF0000"/>
        </w:rPr>
        <w:t>持2</w:t>
      </w:r>
      <w:r>
        <w:rPr>
          <w:rFonts w:eastAsiaTheme="minorEastAsia"/>
          <w:color w:val="FF0000"/>
        </w:rPr>
        <w:t>4h核酸检测阴性报告入校</w:t>
      </w:r>
      <w:r>
        <w:rPr>
          <w:color w:val="000000"/>
        </w:rPr>
        <w:t>。</w:t>
      </w:r>
    </w:p>
    <w:p>
      <w:pPr>
        <w:numPr>
          <w:ilvl w:val="0"/>
          <w:numId w:val="1"/>
        </w:numPr>
        <w:tabs>
          <w:tab w:val="left" w:pos="420"/>
        </w:tabs>
        <w:snapToGrid w:val="0"/>
        <w:spacing w:line="360" w:lineRule="exact"/>
        <w:ind w:left="420" w:hanging="420"/>
        <w:rPr>
          <w:color w:val="000000"/>
        </w:rPr>
      </w:pPr>
      <w:r>
        <w:rPr>
          <w:color w:val="000000"/>
        </w:rPr>
        <w:t>建设地点：深大</w:t>
      </w:r>
      <w:r>
        <w:rPr>
          <w:rFonts w:hint="eastAsia" w:eastAsiaTheme="minorEastAsia"/>
          <w:color w:val="000000"/>
        </w:rPr>
        <w:t>丽湖</w:t>
      </w:r>
      <w:r>
        <w:rPr>
          <w:rFonts w:eastAsiaTheme="minorEastAsia"/>
          <w:color w:val="000000"/>
        </w:rPr>
        <w:t>校区</w:t>
      </w:r>
      <w:r>
        <w:rPr>
          <w:color w:val="000000"/>
        </w:rPr>
        <w:t>内</w:t>
      </w:r>
    </w:p>
    <w:p>
      <w:pPr>
        <w:numPr>
          <w:ilvl w:val="0"/>
          <w:numId w:val="1"/>
        </w:numPr>
        <w:tabs>
          <w:tab w:val="left" w:pos="420"/>
        </w:tabs>
        <w:snapToGrid w:val="0"/>
        <w:spacing w:line="360" w:lineRule="exact"/>
        <w:ind w:left="420" w:hanging="420"/>
        <w:rPr>
          <w:rFonts w:eastAsia="宋体"/>
          <w:color w:val="000000"/>
        </w:rPr>
      </w:pPr>
      <w:r>
        <w:rPr>
          <w:rFonts w:eastAsia="宋体"/>
          <w:color w:val="000000"/>
        </w:rPr>
        <w:t>投标人的资格要求：</w:t>
      </w:r>
    </w:p>
    <w:p>
      <w:pPr>
        <w:tabs>
          <w:tab w:val="left" w:pos="420"/>
        </w:tabs>
        <w:snapToGrid w:val="0"/>
        <w:spacing w:line="360" w:lineRule="exact"/>
        <w:ind w:left="420" w:leftChars="200"/>
        <w:rPr>
          <w:rFonts w:eastAsia="宋体"/>
          <w:color w:val="000000"/>
        </w:rPr>
      </w:pPr>
      <w:r>
        <w:rPr>
          <w:rFonts w:hint="eastAsia" w:eastAsia="宋体"/>
          <w:color w:val="000000"/>
        </w:rPr>
        <w:t>（1）具有独立法人资格或具有独立承担民事责任的能力的其它组织（提供营业执照或事业单位法人证等法人证明扫描件，原件备查）。</w:t>
      </w:r>
    </w:p>
    <w:p>
      <w:pPr>
        <w:tabs>
          <w:tab w:val="left" w:pos="420"/>
        </w:tabs>
        <w:snapToGrid w:val="0"/>
        <w:spacing w:line="360" w:lineRule="exact"/>
        <w:ind w:left="420" w:leftChars="200"/>
        <w:rPr>
          <w:rFonts w:eastAsia="宋体"/>
          <w:color w:val="000000"/>
        </w:rPr>
      </w:pPr>
      <w:r>
        <w:rPr>
          <w:rFonts w:hint="eastAsia" w:eastAsia="宋体"/>
          <w:color w:val="000000"/>
        </w:rPr>
        <w:t>（2）</w:t>
      </w:r>
      <w:r>
        <w:t>投标人</w:t>
      </w:r>
      <w:r>
        <w:rPr>
          <w:rFonts w:hint="eastAsia"/>
        </w:rPr>
        <w:t>具有</w:t>
      </w:r>
      <w:r>
        <w:rPr>
          <w:rFonts w:hint="eastAsia"/>
          <w:color w:val="FF0000"/>
        </w:rPr>
        <w:t>建筑装修装饰工程专业承包贰级资质及</w:t>
      </w:r>
      <w:r>
        <w:rPr>
          <w:rFonts w:hint="eastAsia" w:eastAsiaTheme="minorEastAsia"/>
          <w:color w:val="FF0000"/>
        </w:rPr>
        <w:t>以上</w:t>
      </w:r>
      <w:r>
        <w:rPr>
          <w:rFonts w:eastAsiaTheme="minorEastAsia"/>
          <w:color w:val="FF0000"/>
        </w:rPr>
        <w:t>，且</w:t>
      </w:r>
      <w:r>
        <w:rPr>
          <w:rFonts w:hint="eastAsia"/>
          <w:color w:val="FF0000"/>
        </w:rPr>
        <w:t>有效期内的安全生产许可证。（提供相关证书扫描件，原件备查）</w:t>
      </w:r>
      <w:r>
        <w:rPr>
          <w:rFonts w:hint="eastAsia"/>
        </w:rPr>
        <w:t>。</w:t>
      </w:r>
    </w:p>
    <w:p>
      <w:pPr>
        <w:tabs>
          <w:tab w:val="left" w:pos="420"/>
        </w:tabs>
        <w:snapToGrid w:val="0"/>
        <w:spacing w:line="360" w:lineRule="exact"/>
        <w:ind w:left="420" w:leftChars="200"/>
        <w:rPr>
          <w:rFonts w:eastAsia="宋体"/>
          <w:color w:val="000000"/>
        </w:rPr>
      </w:pPr>
      <w:r>
        <w:rPr>
          <w:rFonts w:hint="eastAsia" w:eastAsia="宋体"/>
          <w:color w:val="000000"/>
        </w:rPr>
        <w:t>（3）参与本项目投标前三年内，在经营活动中没有重大违法记录（由投标人在《投标及履约承诺函》中作出声明）；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4</w:t>
      </w:r>
      <w:r>
        <w:rPr>
          <w:rFonts w:hint="eastAsia" w:eastAsia="宋体"/>
          <w:color w:val="000000"/>
        </w:rPr>
        <w:t>）参与本项目采购活动时不存在被有关部门禁止参与政府采购活动且在有效期内的情况（由投标人在《投标及履约承诺函》中作出声明）。</w:t>
      </w:r>
    </w:p>
    <w:p>
      <w:pPr>
        <w:tabs>
          <w:tab w:val="left" w:pos="420"/>
        </w:tabs>
        <w:snapToGrid w:val="0"/>
        <w:spacing w:line="360" w:lineRule="exact"/>
        <w:ind w:left="420" w:leftChars="200"/>
        <w:rPr>
          <w:rFonts w:eastAsia="宋体"/>
          <w:color w:val="000000"/>
        </w:rPr>
      </w:pPr>
      <w:r>
        <w:rPr>
          <w:rFonts w:hint="eastAsia" w:eastAsia="宋体"/>
          <w:color w:val="000000"/>
        </w:rPr>
        <w:t>（</w:t>
      </w:r>
      <w:r>
        <w:rPr>
          <w:rFonts w:eastAsia="宋体"/>
          <w:color w:val="000000"/>
        </w:rPr>
        <w:t>5</w:t>
      </w:r>
      <w:r>
        <w:rPr>
          <w:rFonts w:hint="eastAsia" w:eastAsia="宋体"/>
          <w:color w:val="000000"/>
        </w:rPr>
        <w:t>）参与本采购项目投标的投标人未被列入失信被执行人、重大税收违法案件当事人名单、政府采购严重违法失信行为记录名单（由投标人在《投标及履约承诺函》中作出声明）。</w:t>
      </w:r>
    </w:p>
    <w:p>
      <w:pPr>
        <w:spacing w:line="360" w:lineRule="auto"/>
        <w:ind w:firstLine="420" w:firstLineChars="200"/>
        <w:jc w:val="left"/>
        <w:rPr>
          <w:color w:val="00B050"/>
        </w:rPr>
      </w:pPr>
      <w:r>
        <w:rPr>
          <w:rFonts w:hint="eastAsia"/>
          <w:color w:val="00B050"/>
        </w:rPr>
        <w:t>注：“信用中国”、“中国政府采购网”以及“深圳市政府采购监管网”为</w:t>
      </w:r>
      <w:r>
        <w:rPr>
          <w:rFonts w:hint="eastAsia" w:ascii="宋体" w:hAnsi="宋体" w:eastAsia="宋体" w:cs="宋体"/>
          <w:color w:val="00B050"/>
        </w:rPr>
        <w:t>投标人</w:t>
      </w:r>
      <w:r>
        <w:rPr>
          <w:rFonts w:hint="eastAsia"/>
          <w:color w:val="00B050"/>
        </w:rPr>
        <w:t>信用信息的查询渠道，相关信息以中标通知书发出前的查询结果为准。</w:t>
      </w:r>
    </w:p>
    <w:p>
      <w:pPr>
        <w:tabs>
          <w:tab w:val="left" w:pos="420"/>
        </w:tabs>
        <w:snapToGrid w:val="0"/>
        <w:spacing w:line="360" w:lineRule="exact"/>
        <w:ind w:left="420" w:leftChars="200"/>
        <w:rPr>
          <w:rFonts w:eastAsiaTheme="minorEastAsia"/>
          <w:color w:val="00B050"/>
        </w:rPr>
      </w:pPr>
      <w:r>
        <w:rPr>
          <w:rFonts w:hint="eastAsia" w:eastAsia="宋体"/>
          <w:color w:val="000000"/>
        </w:rPr>
        <w:t>（</w:t>
      </w:r>
      <w:r>
        <w:rPr>
          <w:rFonts w:eastAsia="宋体"/>
          <w:color w:val="000000"/>
        </w:rPr>
        <w:t>6</w:t>
      </w:r>
      <w:r>
        <w:rPr>
          <w:rFonts w:hint="eastAsia" w:eastAsia="宋体"/>
          <w:color w:val="000000"/>
        </w:rPr>
        <w:t>）</w:t>
      </w:r>
      <w:r>
        <w:rPr>
          <w:rFonts w:hint="eastAsia"/>
          <w:color w:val="00B050"/>
        </w:rPr>
        <w:t>本项目</w:t>
      </w:r>
      <w:r>
        <w:rPr>
          <w:rFonts w:hint="eastAsia"/>
          <w:color w:val="00B0F0"/>
        </w:rPr>
        <w:t>不接受</w:t>
      </w:r>
      <w:r>
        <w:rPr>
          <w:rFonts w:hint="eastAsia"/>
          <w:color w:val="00B050"/>
        </w:rPr>
        <w:t>投标人选用进口产品参与投标。</w:t>
      </w:r>
    </w:p>
    <w:p>
      <w:pPr>
        <w:tabs>
          <w:tab w:val="left" w:pos="420"/>
        </w:tabs>
        <w:snapToGrid w:val="0"/>
        <w:spacing w:line="360" w:lineRule="exact"/>
        <w:ind w:left="420" w:leftChars="200"/>
        <w:rPr>
          <w:rFonts w:eastAsiaTheme="minorEastAsia"/>
          <w:color w:val="000000"/>
        </w:rPr>
      </w:pPr>
      <w:r>
        <w:rPr>
          <w:rFonts w:hint="eastAsia" w:eastAsia="宋体"/>
          <w:color w:val="000000"/>
        </w:rPr>
        <w:t>（</w:t>
      </w:r>
      <w:r>
        <w:rPr>
          <w:rFonts w:eastAsia="宋体"/>
          <w:color w:val="000000"/>
        </w:rPr>
        <w:t>7</w:t>
      </w:r>
      <w:r>
        <w:rPr>
          <w:rFonts w:hint="eastAsia" w:eastAsia="宋体"/>
          <w:color w:val="000000"/>
        </w:rPr>
        <w:t>）</w:t>
      </w:r>
      <w:r>
        <w:rPr>
          <w:rFonts w:hint="eastAsia"/>
        </w:rPr>
        <w:t>本项目</w:t>
      </w:r>
      <w:r>
        <w:rPr>
          <w:rFonts w:hint="eastAsia"/>
          <w:color w:val="00B0F0"/>
        </w:rPr>
        <w:t>不接受</w:t>
      </w:r>
      <w:r>
        <w:rPr>
          <w:rFonts w:hint="eastAsia"/>
        </w:rPr>
        <w:t>联合体投标</w:t>
      </w:r>
      <w:r>
        <w:rPr>
          <w:rFonts w:hint="eastAsia" w:eastAsia="宋体"/>
        </w:rPr>
        <w:t>。</w:t>
      </w:r>
    </w:p>
    <w:p>
      <w:pPr>
        <w:numPr>
          <w:ilvl w:val="0"/>
          <w:numId w:val="1"/>
        </w:numPr>
        <w:tabs>
          <w:tab w:val="left" w:pos="420"/>
        </w:tabs>
        <w:snapToGrid w:val="0"/>
        <w:spacing w:line="360" w:lineRule="exact"/>
        <w:ind w:left="420" w:hanging="420"/>
        <w:rPr>
          <w:color w:val="000000"/>
        </w:rPr>
      </w:pPr>
      <w:r>
        <w:rPr>
          <w:rFonts w:hint="eastAsia" w:eastAsiaTheme="minorEastAsia"/>
          <w:color w:val="000000"/>
        </w:rPr>
        <w:t>采购预算</w:t>
      </w:r>
      <w:r>
        <w:rPr>
          <w:rFonts w:eastAsiaTheme="minorEastAsia"/>
          <w:color w:val="000000"/>
        </w:rPr>
        <w:t>：</w:t>
      </w:r>
    </w:p>
    <w:p>
      <w:pPr>
        <w:tabs>
          <w:tab w:val="left" w:pos="420"/>
        </w:tabs>
        <w:snapToGrid w:val="0"/>
        <w:spacing w:line="360" w:lineRule="exact"/>
        <w:ind w:left="420"/>
        <w:rPr>
          <w:color w:val="000000"/>
        </w:rPr>
      </w:pPr>
      <w:r>
        <w:rPr>
          <w:rFonts w:hint="eastAsia" w:eastAsiaTheme="minorEastAsia"/>
          <w:color w:val="000000"/>
        </w:rPr>
        <w:t>合计：</w:t>
      </w:r>
      <w:r>
        <w:rPr>
          <w:rFonts w:eastAsiaTheme="minorEastAsia"/>
          <w:color w:val="FF0000"/>
        </w:rPr>
        <w:t>48046.20</w:t>
      </w:r>
      <w:r>
        <w:rPr>
          <w:rFonts w:hint="eastAsia" w:eastAsiaTheme="minorEastAsia"/>
          <w:color w:val="000000"/>
        </w:rPr>
        <w:t>元</w:t>
      </w:r>
      <w:r>
        <w:rPr>
          <w:rFonts w:eastAsiaTheme="minorEastAsia"/>
          <w:color w:val="000000"/>
        </w:rPr>
        <w:t>（</w:t>
      </w:r>
      <w:r>
        <w:rPr>
          <w:rFonts w:hint="eastAsia" w:eastAsiaTheme="minorEastAsia"/>
          <w:color w:val="000000"/>
        </w:rPr>
        <w:t>人民币</w:t>
      </w:r>
      <w:r>
        <w:rPr>
          <w:rFonts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评标办法</w:t>
      </w:r>
      <w:r>
        <w:rPr>
          <w:rFonts w:hint="eastAsia"/>
          <w:color w:val="000000"/>
        </w:rPr>
        <w:t>：</w:t>
      </w:r>
      <w:r>
        <w:rPr>
          <w:rFonts w:hint="eastAsia" w:eastAsia="宋体"/>
          <w:color w:val="000000"/>
        </w:rPr>
        <w:t>抽签</w:t>
      </w:r>
      <w:r>
        <w:rPr>
          <w:rFonts w:hint="eastAsia"/>
          <w:color w:val="000000"/>
        </w:rPr>
        <w:t>法</w:t>
      </w:r>
    </w:p>
    <w:p>
      <w:pPr>
        <w:pStyle w:val="40"/>
        <w:numPr>
          <w:ilvl w:val="0"/>
          <w:numId w:val="1"/>
        </w:numPr>
        <w:tabs>
          <w:tab w:val="left" w:pos="420"/>
        </w:tabs>
        <w:snapToGrid w:val="0"/>
        <w:spacing w:line="360" w:lineRule="exact"/>
        <w:rPr>
          <w:color w:val="000000"/>
        </w:rPr>
      </w:pPr>
      <w:r>
        <w:rPr>
          <w:color w:val="000000"/>
        </w:rPr>
        <w:t>投标报名时间:</w:t>
      </w:r>
      <w:r>
        <w:rPr>
          <w:rFonts w:hint="eastAsia"/>
          <w:color w:val="FF0000"/>
          <w:u w:val="single"/>
        </w:rPr>
        <w:t>2022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10</w:t>
      </w:r>
      <w:r>
        <w:rPr>
          <w:rFonts w:hint="eastAsia" w:eastAsia="宋体" w:cs="宋体"/>
          <w:color w:val="FF0000"/>
        </w:rPr>
        <w:t>日（星期六）</w:t>
      </w:r>
      <w:r>
        <w:rPr>
          <w:rFonts w:eastAsia="宋体" w:cs="宋体"/>
          <w:color w:val="FF0000"/>
        </w:rPr>
        <w:t>8</w:t>
      </w:r>
      <w:r>
        <w:rPr>
          <w:rFonts w:hint="eastAsia" w:eastAsia="宋体" w:cs="宋体"/>
          <w:color w:val="FF0000"/>
        </w:rPr>
        <w:t>:00</w:t>
      </w:r>
      <w:r>
        <w:rPr>
          <w:rFonts w:hint="eastAsia" w:eastAsia="宋体" w:cs="宋体"/>
          <w:color w:val="000000"/>
        </w:rPr>
        <w:t>起至</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ascii="Times New Roman" w:hAnsi="Times New Roman" w:eastAsiaTheme="minorEastAsia"/>
          <w:color w:val="FF0000"/>
          <w:u w:val="single"/>
        </w:rPr>
        <w:t>9</w:t>
      </w:r>
      <w:r>
        <w:rPr>
          <w:rFonts w:hint="eastAsia" w:eastAsia="宋体" w:cs="宋体"/>
          <w:color w:val="FF0000"/>
        </w:rPr>
        <w:t>月</w:t>
      </w:r>
      <w:r>
        <w:rPr>
          <w:rFonts w:ascii="Times New Roman" w:hAnsi="Times New Roman" w:eastAsiaTheme="minorEastAsia"/>
          <w:color w:val="FF0000"/>
          <w:u w:val="single"/>
        </w:rPr>
        <w:t>13</w:t>
      </w:r>
      <w:r>
        <w:rPr>
          <w:rFonts w:hint="eastAsia" w:eastAsia="宋体" w:cs="宋体"/>
          <w:color w:val="FF0000"/>
        </w:rPr>
        <w:t>日（星期二）8:00</w:t>
      </w:r>
      <w:r>
        <w:rPr>
          <w:rFonts w:hint="eastAsia" w:ascii="Times New Roman" w:hAnsi="Times New Roman" w:eastAsiaTheme="minorEastAsia"/>
          <w:color w:val="FF0000"/>
        </w:rPr>
        <w:t>（</w:t>
      </w:r>
      <w:r>
        <w:rPr>
          <w:rFonts w:hint="eastAsia" w:eastAsia="宋体" w:cs="宋体"/>
          <w:color w:val="FF0000"/>
        </w:rPr>
        <w:t>北京时间）。</w:t>
      </w:r>
      <w:r>
        <w:rPr>
          <w:rFonts w:hint="eastAsia" w:ascii="Times New Roman" w:hAnsi="Times New Roman" w:eastAsia="宋体"/>
          <w:color w:val="000000"/>
        </w:rPr>
        <w:t>供应商请自行</w:t>
      </w:r>
      <w:r>
        <w:rPr>
          <w:rFonts w:ascii="Times New Roman" w:hAnsi="Times New Roman" w:eastAsia="宋体"/>
          <w:color w:val="000000"/>
        </w:rPr>
        <w:t>填写</w:t>
      </w:r>
      <w:r>
        <w:rPr>
          <w:rFonts w:ascii="Times New Roman" w:hAnsi="Times New Roman" w:eastAsia="宋体"/>
          <w:color w:val="FF0000"/>
        </w:rPr>
        <w:t>入校申请模板</w:t>
      </w:r>
      <w:r>
        <w:rPr>
          <w:color w:val="000000"/>
        </w:rPr>
        <w:t>（加盖公章）</w:t>
      </w:r>
      <w:r>
        <w:rPr>
          <w:rFonts w:hint="eastAsia" w:eastAsiaTheme="minorEastAsia"/>
          <w:color w:val="000000"/>
        </w:rPr>
        <w:t>，</w:t>
      </w:r>
      <w:r>
        <w:rPr>
          <w:rFonts w:eastAsiaTheme="minorEastAsia"/>
          <w:color w:val="000000"/>
        </w:rPr>
        <w:t>扫描件</w:t>
      </w:r>
      <w:r>
        <w:rPr>
          <w:rFonts w:hint="eastAsia" w:ascii="Times New Roman" w:hAnsi="Times New Roman" w:eastAsia="宋体"/>
          <w:color w:val="000000"/>
        </w:rPr>
        <w:t>于</w:t>
      </w:r>
      <w:r>
        <w:rPr>
          <w:rFonts w:ascii="Times New Roman" w:hAnsi="Times New Roman" w:eastAsia="宋体"/>
          <w:color w:val="FF0000"/>
        </w:rPr>
        <w:t>2022</w:t>
      </w:r>
      <w:r>
        <w:rPr>
          <w:rFonts w:hint="eastAsia" w:ascii="Times New Roman" w:hAnsi="Times New Roman" w:eastAsia="宋体"/>
          <w:color w:val="FF0000"/>
        </w:rPr>
        <w:t>年</w:t>
      </w:r>
      <w:r>
        <w:rPr>
          <w:rFonts w:ascii="Times New Roman" w:hAnsi="Times New Roman" w:eastAsia="宋体"/>
          <w:color w:val="FF0000"/>
        </w:rPr>
        <w:t>9</w:t>
      </w:r>
      <w:r>
        <w:rPr>
          <w:rFonts w:hint="eastAsia" w:ascii="Times New Roman" w:hAnsi="Times New Roman" w:eastAsia="宋体"/>
          <w:color w:val="FF0000"/>
        </w:rPr>
        <w:t>月</w:t>
      </w:r>
      <w:r>
        <w:rPr>
          <w:rFonts w:ascii="Times New Roman" w:hAnsi="Times New Roman" w:eastAsia="宋体"/>
          <w:color w:val="FF0000"/>
        </w:rPr>
        <w:t>13</w:t>
      </w:r>
      <w:r>
        <w:rPr>
          <w:rFonts w:hint="eastAsia" w:ascii="Times New Roman" w:hAnsi="Times New Roman" w:eastAsia="宋体"/>
          <w:color w:val="FF0000"/>
        </w:rPr>
        <w:t>日（星期三）</w:t>
      </w:r>
      <w:r>
        <w:rPr>
          <w:rFonts w:ascii="Times New Roman" w:hAnsi="Times New Roman" w:eastAsia="宋体"/>
          <w:color w:val="FF0000"/>
        </w:rPr>
        <w:t>8:00</w:t>
      </w:r>
      <w:r>
        <w:rPr>
          <w:rFonts w:hint="eastAsia" w:ascii="Times New Roman" w:hAnsi="Times New Roman" w:eastAsia="宋体"/>
          <w:color w:val="000000"/>
        </w:rPr>
        <w:t>之前</w:t>
      </w:r>
      <w:r>
        <w:rPr>
          <w:rFonts w:ascii="Times New Roman" w:hAnsi="Times New Roman" w:eastAsia="宋体"/>
          <w:color w:val="000000"/>
        </w:rPr>
        <w:t>发至邮箱：</w:t>
      </w:r>
      <w:r>
        <w:rPr>
          <w:rFonts w:ascii="Times New Roman" w:hAnsi="Times New Roman" w:eastAsia="宋体"/>
          <w:color w:val="FF0000"/>
        </w:rPr>
        <w:t>xili@szu.edu.cn</w:t>
      </w:r>
      <w:r>
        <w:rPr>
          <w:rFonts w:hint="eastAsia" w:ascii="Times New Roman" w:hAnsi="Times New Roman" w:eastAsia="宋体"/>
          <w:color w:val="000000"/>
        </w:rPr>
        <w:t>，原件于开标当天提交。</w:t>
      </w:r>
      <w:bookmarkStart w:id="19" w:name="_GoBack"/>
      <w:bookmarkEnd w:id="19"/>
    </w:p>
    <w:p>
      <w:pPr>
        <w:numPr>
          <w:ilvl w:val="0"/>
          <w:numId w:val="1"/>
        </w:numPr>
        <w:tabs>
          <w:tab w:val="left" w:pos="420"/>
        </w:tabs>
        <w:snapToGrid w:val="0"/>
        <w:spacing w:line="360" w:lineRule="exact"/>
        <w:ind w:left="420" w:hanging="420"/>
        <w:rPr>
          <w:color w:val="000000"/>
        </w:rPr>
      </w:pPr>
      <w:r>
        <w:rPr>
          <w:rFonts w:hint="eastAsia"/>
          <w:color w:val="000000"/>
        </w:rPr>
        <w:t>招标</w:t>
      </w:r>
      <w:r>
        <w:rPr>
          <w:color w:val="000000"/>
        </w:rPr>
        <w:t>地点：深圳大学</w:t>
      </w:r>
      <w:r>
        <w:rPr>
          <w:rFonts w:hint="eastAsia" w:eastAsiaTheme="minorEastAsia"/>
          <w:color w:val="FF0000"/>
        </w:rPr>
        <w:t>守正</w:t>
      </w:r>
      <w:r>
        <w:rPr>
          <w:rFonts w:hint="eastAsia" w:eastAsiaTheme="minorEastAsia"/>
          <w:color w:val="000000"/>
        </w:rPr>
        <w:t>楼</w:t>
      </w:r>
      <w:r>
        <w:rPr>
          <w:rFonts w:hint="eastAsia" w:eastAsiaTheme="minorEastAsia"/>
          <w:color w:val="FF0000"/>
        </w:rPr>
        <w:t>A座</w:t>
      </w:r>
      <w:r>
        <w:rPr>
          <w:color w:val="FF0000"/>
        </w:rPr>
        <w:t>212</w:t>
      </w:r>
      <w:r>
        <w:rPr>
          <w:color w:val="000000"/>
        </w:rPr>
        <w:t>室；</w:t>
      </w:r>
    </w:p>
    <w:p>
      <w:pPr>
        <w:numPr>
          <w:ilvl w:val="0"/>
          <w:numId w:val="1"/>
        </w:numPr>
        <w:tabs>
          <w:tab w:val="left" w:pos="420"/>
        </w:tabs>
        <w:snapToGrid w:val="0"/>
        <w:spacing w:line="360" w:lineRule="exact"/>
        <w:ind w:left="420" w:hanging="420"/>
        <w:rPr>
          <w:color w:val="000000"/>
        </w:rPr>
      </w:pPr>
      <w:r>
        <w:rPr>
          <w:rFonts w:hint="eastAsia" w:ascii="Times New Roman" w:hAnsi="Times New Roman"/>
          <w:color w:val="000000"/>
        </w:rPr>
        <w:t>招标</w:t>
      </w:r>
      <w:r>
        <w:rPr>
          <w:rFonts w:ascii="Times New Roman" w:hAnsi="Times New Roman"/>
          <w:color w:val="000000"/>
        </w:rPr>
        <w:t>时间：</w:t>
      </w:r>
      <w:r>
        <w:rPr>
          <w:rFonts w:ascii="Times New Roman" w:hAnsi="Times New Roman"/>
          <w:color w:val="FF0000"/>
          <w:u w:val="single"/>
        </w:rPr>
        <w:t xml:space="preserve"> 20</w:t>
      </w:r>
      <w:r>
        <w:rPr>
          <w:rFonts w:hint="eastAsia" w:ascii="Times New Roman" w:hAnsi="Times New Roman"/>
          <w:color w:val="FF0000"/>
          <w:u w:val="single"/>
        </w:rPr>
        <w:t>2</w:t>
      </w:r>
      <w:r>
        <w:rPr>
          <w:rFonts w:hint="eastAsia" w:ascii="Times New Roman" w:hAnsi="Times New Roman" w:eastAsiaTheme="minorEastAsia"/>
          <w:color w:val="FF0000"/>
          <w:u w:val="single"/>
        </w:rPr>
        <w:t>2</w:t>
      </w:r>
      <w:r>
        <w:rPr>
          <w:rFonts w:ascii="Times New Roman" w:hAnsi="Times New Roman"/>
          <w:color w:val="FF0000"/>
        </w:rPr>
        <w:t>年</w:t>
      </w:r>
      <w:r>
        <w:rPr>
          <w:rFonts w:hint="eastAsia" w:ascii="Times New Roman" w:hAnsi="Times New Roman" w:eastAsiaTheme="minorEastAsia"/>
          <w:color w:val="FF0000"/>
          <w:u w:val="single"/>
        </w:rPr>
        <w:t>9</w:t>
      </w:r>
      <w:r>
        <w:rPr>
          <w:rFonts w:ascii="Times New Roman" w:hAnsi="Times New Roman"/>
          <w:color w:val="FF0000"/>
        </w:rPr>
        <w:t>月</w:t>
      </w:r>
      <w:r>
        <w:rPr>
          <w:rFonts w:ascii="Times New Roman" w:hAnsi="Times New Roman" w:eastAsiaTheme="minorEastAsia"/>
          <w:color w:val="FF0000"/>
          <w:u w:val="single"/>
        </w:rPr>
        <w:t>13</w:t>
      </w:r>
      <w:r>
        <w:rPr>
          <w:rFonts w:ascii="Times New Roman" w:hAnsi="Times New Roman"/>
          <w:color w:val="FF0000"/>
        </w:rPr>
        <w:t>日</w:t>
      </w:r>
      <w:r>
        <w:rPr>
          <w:rFonts w:ascii="Times New Roman" w:hAnsi="Times New Roman"/>
          <w:color w:val="FF0000"/>
          <w:u w:val="single"/>
        </w:rPr>
        <w:t xml:space="preserve"> 1</w:t>
      </w:r>
      <w:r>
        <w:rPr>
          <w:rFonts w:ascii="Times New Roman" w:hAnsi="Times New Roman" w:eastAsia="宋体"/>
          <w:color w:val="FF0000"/>
          <w:u w:val="single"/>
        </w:rPr>
        <w:t>5</w:t>
      </w:r>
      <w:r>
        <w:rPr>
          <w:rFonts w:ascii="Times New Roman" w:hAnsi="Times New Roman"/>
          <w:color w:val="FF0000"/>
        </w:rPr>
        <w:t>时</w:t>
      </w:r>
      <w:r>
        <w:rPr>
          <w:rFonts w:ascii="Times New Roman" w:hAnsi="Times New Roman"/>
          <w:color w:val="FF0000"/>
          <w:u w:val="single"/>
        </w:rPr>
        <w:t xml:space="preserve"> 00</w:t>
      </w:r>
      <w:r>
        <w:rPr>
          <w:rFonts w:ascii="Times New Roman" w:hAnsi="Times New Roman"/>
          <w:color w:val="FF0000"/>
        </w:rPr>
        <w:t>分</w:t>
      </w:r>
      <w:r>
        <w:rPr>
          <w:rFonts w:hint="eastAsia" w:ascii="Times New Roman" w:hAnsi="Times New Roman" w:eastAsia="宋体"/>
          <w:color w:val="FF0000"/>
        </w:rPr>
        <w:t>（北京时间）</w:t>
      </w:r>
      <w:r>
        <w:rPr>
          <w:rFonts w:ascii="Times New Roman" w:hAnsi="Times New Roman"/>
          <w:color w:val="000000"/>
        </w:rPr>
        <w:t>。</w:t>
      </w:r>
    </w:p>
    <w:p>
      <w:pPr>
        <w:numPr>
          <w:ilvl w:val="0"/>
          <w:numId w:val="1"/>
        </w:numPr>
        <w:tabs>
          <w:tab w:val="left" w:pos="420"/>
        </w:tabs>
        <w:snapToGrid w:val="0"/>
        <w:spacing w:line="360" w:lineRule="exact"/>
        <w:rPr>
          <w:color w:val="000000"/>
        </w:rPr>
      </w:pPr>
      <w:r>
        <w:rPr>
          <w:color w:val="000000"/>
        </w:rPr>
        <w:t>报名时投标人须自行打印</w:t>
      </w:r>
      <w:r>
        <w:rPr>
          <w:color w:val="FF0000"/>
        </w:rPr>
        <w:t>投标报名表</w:t>
      </w:r>
      <w:r>
        <w:rPr>
          <w:color w:val="000000"/>
        </w:rPr>
        <w:t>（加盖公章）</w:t>
      </w:r>
      <w:r>
        <w:rPr>
          <w:rFonts w:hint="eastAsia" w:eastAsiaTheme="minorEastAsia"/>
          <w:color w:val="000000"/>
        </w:rPr>
        <w:t>，</w:t>
      </w:r>
      <w:r>
        <w:rPr>
          <w:rFonts w:eastAsiaTheme="minorEastAsia"/>
          <w:color w:val="FF0000"/>
        </w:rPr>
        <w:t>扫描件</w:t>
      </w:r>
      <w:r>
        <w:rPr>
          <w:rFonts w:hint="eastAsia" w:eastAsiaTheme="minorEastAsia"/>
          <w:color w:val="000000"/>
        </w:rPr>
        <w:t>于</w:t>
      </w:r>
      <w:r>
        <w:rPr>
          <w:rFonts w:eastAsiaTheme="minorEastAsia"/>
          <w:color w:val="000000"/>
        </w:rPr>
        <w:t>报名截止时间</w:t>
      </w:r>
      <w:r>
        <w:rPr>
          <w:color w:val="FF0000"/>
          <w:u w:val="single"/>
        </w:rPr>
        <w:t>20</w:t>
      </w:r>
      <w:r>
        <w:rPr>
          <w:rFonts w:hint="eastAsia"/>
          <w:color w:val="FF0000"/>
          <w:u w:val="single"/>
        </w:rPr>
        <w:t>2</w:t>
      </w:r>
      <w:r>
        <w:rPr>
          <w:rFonts w:hint="eastAsia" w:eastAsiaTheme="minorEastAsia"/>
          <w:color w:val="FF0000"/>
          <w:u w:val="single"/>
        </w:rPr>
        <w:t>2</w:t>
      </w:r>
      <w:r>
        <w:rPr>
          <w:color w:val="FF0000"/>
        </w:rPr>
        <w:t>年</w:t>
      </w:r>
      <w:r>
        <w:rPr>
          <w:rFonts w:hint="eastAsia" w:eastAsia="宋体"/>
          <w:color w:val="FF0000"/>
        </w:rPr>
        <w:t>9</w:t>
      </w:r>
      <w:r>
        <w:rPr>
          <w:rFonts w:ascii="Times New Roman" w:hAnsi="Times New Roman"/>
          <w:color w:val="FF0000"/>
        </w:rPr>
        <w:t>月</w:t>
      </w:r>
      <w:r>
        <w:rPr>
          <w:rFonts w:ascii="Times New Roman" w:hAnsi="Times New Roman" w:eastAsiaTheme="minorEastAsia"/>
          <w:color w:val="FF0000"/>
        </w:rPr>
        <w:t>1</w:t>
      </w:r>
      <w:r>
        <w:rPr>
          <w:rFonts w:hint="eastAsia" w:ascii="Times New Roman" w:hAnsi="Times New Roman" w:eastAsiaTheme="minorEastAsia"/>
          <w:color w:val="FF0000"/>
        </w:rPr>
        <w:t>3</w:t>
      </w:r>
      <w:r>
        <w:rPr>
          <w:rFonts w:ascii="Times New Roman" w:hAnsi="Times New Roman"/>
          <w:color w:val="FF0000"/>
        </w:rPr>
        <w:t>日</w:t>
      </w:r>
      <w:r>
        <w:rPr>
          <w:rFonts w:ascii="Times New Roman" w:hAnsi="Times New Roman" w:eastAsia="宋体"/>
          <w:color w:val="FF0000"/>
        </w:rPr>
        <w:t>8</w:t>
      </w:r>
      <w:r>
        <w:rPr>
          <w:rFonts w:hint="eastAsia" w:ascii="Times New Roman" w:hAnsi="Times New Roman" w:eastAsia="宋体"/>
          <w:color w:val="FF0000"/>
        </w:rPr>
        <w:t>:00</w:t>
      </w:r>
      <w:r>
        <w:rPr>
          <w:rFonts w:eastAsiaTheme="minorEastAsia"/>
          <w:color w:val="000000"/>
        </w:rPr>
        <w:t>之前发至</w:t>
      </w:r>
      <w:r>
        <w:rPr>
          <w:rFonts w:eastAsiaTheme="minorEastAsia"/>
          <w:color w:val="FF0000"/>
        </w:rPr>
        <w:t>邮箱：</w:t>
      </w:r>
      <w:r>
        <w:fldChar w:fldCharType="begin"/>
      </w:r>
      <w:r>
        <w:instrText xml:space="preserve"> HYPERLINK "mailto:xili@szu.edu.cn" </w:instrText>
      </w:r>
      <w:r>
        <w:fldChar w:fldCharType="separate"/>
      </w:r>
      <w:r>
        <w:rPr>
          <w:rStyle w:val="31"/>
          <w:rFonts w:eastAsiaTheme="minorEastAsia"/>
          <w:color w:val="FF0000"/>
          <w:sz w:val="21"/>
          <w:szCs w:val="21"/>
          <w:shd w:val="clear" w:color="auto" w:fill="auto"/>
        </w:rPr>
        <w:t>xili@szu.edu.cn</w:t>
      </w:r>
      <w:r>
        <w:rPr>
          <w:rStyle w:val="31"/>
          <w:rFonts w:eastAsiaTheme="minorEastAsia"/>
          <w:color w:val="FF0000"/>
          <w:sz w:val="21"/>
          <w:szCs w:val="21"/>
          <w:shd w:val="clear" w:color="auto" w:fill="auto"/>
        </w:rPr>
        <w:fldChar w:fldCharType="end"/>
      </w:r>
      <w:r>
        <w:rPr>
          <w:rFonts w:hint="eastAsia" w:eastAsiaTheme="minorEastAsia"/>
          <w:color w:val="FF0000"/>
        </w:rPr>
        <w:t>，</w:t>
      </w:r>
      <w:r>
        <w:rPr>
          <w:rFonts w:eastAsiaTheme="minorEastAsia"/>
          <w:color w:val="FF0000"/>
        </w:rPr>
        <w:t>原件于开标当天提交</w:t>
      </w:r>
      <w:r>
        <w:rPr>
          <w:rFonts w:hint="eastAsia"/>
          <w:color w:val="000000"/>
        </w:rPr>
        <w:t>。</w:t>
      </w:r>
    </w:p>
    <w:p>
      <w:pPr>
        <w:pStyle w:val="40"/>
        <w:numPr>
          <w:ilvl w:val="0"/>
          <w:numId w:val="1"/>
        </w:numPr>
        <w:rPr>
          <w:rFonts w:ascii="Calibri" w:hAnsi="Calibri" w:eastAsia="Calibri"/>
          <w:color w:val="000000"/>
        </w:rPr>
      </w:pPr>
      <w:r>
        <w:rPr>
          <w:rFonts w:hint="eastAsia" w:ascii="Calibri" w:hAnsi="Calibri" w:eastAsia="Calibri"/>
          <w:color w:val="000000"/>
        </w:rPr>
        <w:t>获取招标文件：投标人可于</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ascii="Calibri" w:hAnsi="Calibri" w:eastAsia="宋体"/>
          <w:color w:val="FF0000"/>
        </w:rPr>
        <w:t>10</w:t>
      </w:r>
      <w:r>
        <w:rPr>
          <w:rFonts w:hint="eastAsia" w:ascii="Calibri" w:hAnsi="Calibri" w:eastAsia="Calibri"/>
          <w:color w:val="000000"/>
        </w:rPr>
        <w:t>日起至</w:t>
      </w:r>
      <w:r>
        <w:rPr>
          <w:rFonts w:ascii="Calibri" w:hAnsi="Calibri" w:eastAsia="Calibri"/>
          <w:color w:val="000000"/>
        </w:rPr>
        <w:t>2022</w:t>
      </w:r>
      <w:r>
        <w:rPr>
          <w:rFonts w:hint="eastAsia" w:ascii="Calibri" w:hAnsi="Calibri" w:eastAsia="Calibri"/>
          <w:color w:val="000000"/>
        </w:rPr>
        <w:t>年</w:t>
      </w:r>
      <w:r>
        <w:rPr>
          <w:rFonts w:hint="eastAsia" w:ascii="Calibri" w:hAnsi="Calibri" w:eastAsia="宋体"/>
          <w:color w:val="FF0000"/>
        </w:rPr>
        <w:t>9</w:t>
      </w:r>
      <w:r>
        <w:rPr>
          <w:rFonts w:hint="eastAsia" w:ascii="Calibri" w:hAnsi="Calibri" w:eastAsia="Calibri"/>
          <w:color w:val="000000"/>
        </w:rPr>
        <w:t>月</w:t>
      </w:r>
      <w:r>
        <w:rPr>
          <w:rFonts w:hint="eastAsia" w:ascii="Calibri" w:hAnsi="Calibri" w:eastAsia="宋体"/>
          <w:color w:val="FF0000"/>
        </w:rPr>
        <w:t>13</w:t>
      </w:r>
      <w:r>
        <w:rPr>
          <w:rFonts w:hint="eastAsia" w:ascii="Calibri" w:hAnsi="Calibri" w:eastAsia="Calibri"/>
          <w:color w:val="000000"/>
        </w:rPr>
        <w:t>日期间，登陆深圳大学招投标管理中心网站在线免费下载招标文件。</w:t>
      </w:r>
    </w:p>
    <w:p>
      <w:pPr>
        <w:numPr>
          <w:ilvl w:val="0"/>
          <w:numId w:val="1"/>
        </w:numPr>
        <w:tabs>
          <w:tab w:val="left" w:pos="420"/>
        </w:tabs>
        <w:snapToGrid w:val="0"/>
        <w:spacing w:line="360" w:lineRule="exact"/>
        <w:ind w:left="420" w:hanging="420"/>
        <w:rPr>
          <w:color w:val="000000"/>
        </w:rPr>
      </w:pPr>
      <w:r>
        <w:rPr>
          <w:color w:val="000000"/>
        </w:rPr>
        <w:t>投标人在</w:t>
      </w:r>
      <w:r>
        <w:rPr>
          <w:rFonts w:hint="eastAsia"/>
          <w:color w:val="000000"/>
        </w:rPr>
        <w:t>投标报名时间截止之前，</w:t>
      </w:r>
      <w:r>
        <w:rPr>
          <w:color w:val="000000"/>
        </w:rPr>
        <w:t>须带相关资料原件及盖红章的复印件给招标人进行审核（资料包括：营业执照、资质证书、相关</w:t>
      </w:r>
      <w:r>
        <w:rPr>
          <w:rFonts w:hint="eastAsia"/>
          <w:color w:val="000000"/>
        </w:rPr>
        <w:t>项目</w:t>
      </w:r>
      <w:r>
        <w:rPr>
          <w:color w:val="000000"/>
        </w:rPr>
        <w:t>业绩及法人委托证明书等）。资料审核不合格者不得参与本工程的投标活动，审核合格者方可进行投标。</w:t>
      </w:r>
      <w:r>
        <w:rPr>
          <w:rFonts w:hint="eastAsia"/>
          <w:color w:val="000000"/>
        </w:rPr>
        <w:t>已报名投标而</w:t>
      </w:r>
      <w:r>
        <w:rPr>
          <w:color w:val="000000"/>
        </w:rPr>
        <w:t>不参加</w:t>
      </w:r>
      <w:r>
        <w:rPr>
          <w:rFonts w:hint="eastAsia"/>
          <w:color w:val="000000"/>
        </w:rPr>
        <w:t>投标</w:t>
      </w:r>
      <w:r>
        <w:rPr>
          <w:color w:val="000000"/>
        </w:rPr>
        <w:t>的投标人，请在开标前以书面形式通知招标机构。若该项目因不足三家而导致重新招标，未予书面通知的投标单位将被取消重新参加该项目投标的资格</w:t>
      </w:r>
      <w:r>
        <w:rPr>
          <w:rFonts w:ascii="Times New Roman" w:hAnsi="Times New Roman" w:eastAsiaTheme="minorEastAsia"/>
          <w:color w:val="000000"/>
        </w:rPr>
        <w:t>。</w:t>
      </w:r>
    </w:p>
    <w:p>
      <w:pPr>
        <w:numPr>
          <w:ilvl w:val="0"/>
          <w:numId w:val="1"/>
        </w:numPr>
        <w:tabs>
          <w:tab w:val="left" w:pos="420"/>
        </w:tabs>
        <w:snapToGrid w:val="0"/>
        <w:spacing w:line="360" w:lineRule="exact"/>
        <w:ind w:left="420" w:hanging="420"/>
        <w:rPr>
          <w:color w:val="000000"/>
        </w:rPr>
      </w:pPr>
      <w:r>
        <w:rPr>
          <w:color w:val="000000"/>
        </w:rPr>
        <w:t>委托单位：</w:t>
      </w:r>
      <w:r>
        <w:rPr>
          <w:rFonts w:ascii="Times New Roman" w:hAnsi="Times New Roman"/>
          <w:color w:val="000000"/>
        </w:rPr>
        <w:t>深圳大学</w:t>
      </w:r>
      <w:r>
        <w:rPr>
          <w:rFonts w:hint="eastAsia" w:ascii="Times New Roman" w:hAnsi="Times New Roman" w:eastAsiaTheme="minorEastAsia"/>
          <w:color w:val="000000"/>
        </w:rPr>
        <w:t>丽湖校区</w:t>
      </w:r>
      <w:r>
        <w:rPr>
          <w:rFonts w:ascii="Times New Roman" w:hAnsi="Times New Roman" w:eastAsiaTheme="minorEastAsia"/>
          <w:color w:val="000000"/>
        </w:rPr>
        <w:t>管理办公室</w:t>
      </w:r>
    </w:p>
    <w:p>
      <w:pPr>
        <w:numPr>
          <w:ilvl w:val="0"/>
          <w:numId w:val="1"/>
        </w:numPr>
        <w:tabs>
          <w:tab w:val="left" w:pos="420"/>
        </w:tabs>
        <w:snapToGrid w:val="0"/>
        <w:spacing w:line="360" w:lineRule="exact"/>
        <w:ind w:left="420" w:hanging="420"/>
        <w:rPr>
          <w:color w:val="000000"/>
        </w:rPr>
      </w:pPr>
      <w:r>
        <w:rPr>
          <w:rFonts w:hint="eastAsia"/>
          <w:color w:val="000000"/>
        </w:rPr>
        <w:t xml:space="preserve">联系人： </w:t>
      </w:r>
      <w:r>
        <w:rPr>
          <w:rFonts w:hint="eastAsia" w:eastAsiaTheme="minorEastAsia"/>
          <w:color w:val="FF0000"/>
        </w:rPr>
        <w:t>贾老师</w:t>
      </w:r>
      <w:r>
        <w:rPr>
          <w:rFonts w:hint="eastAsia" w:eastAsiaTheme="minorEastAsia"/>
          <w:color w:val="000000"/>
        </w:rPr>
        <w:t xml:space="preserve"> </w:t>
      </w:r>
      <w:r>
        <w:rPr>
          <w:rFonts w:hint="eastAsia"/>
          <w:color w:val="000000"/>
        </w:rPr>
        <w:t>电  话：</w:t>
      </w:r>
      <w:r>
        <w:rPr>
          <w:color w:val="000000"/>
        </w:rPr>
        <w:t>(0755)</w:t>
      </w:r>
      <w:r>
        <w:rPr>
          <w:color w:val="FF0000"/>
        </w:rPr>
        <w:t>86930596</w:t>
      </w:r>
    </w:p>
    <w:p>
      <w:pPr>
        <w:tabs>
          <w:tab w:val="left" w:pos="420"/>
        </w:tabs>
        <w:snapToGrid w:val="0"/>
        <w:spacing w:line="360" w:lineRule="exact"/>
        <w:ind w:firstLine="1365" w:firstLineChars="650"/>
        <w:rPr>
          <w:color w:val="000000"/>
        </w:rPr>
      </w:pPr>
      <w:r>
        <w:br w:type="page"/>
      </w:r>
    </w:p>
    <w:tbl>
      <w:tblPr>
        <w:tblStyle w:val="25"/>
        <w:tblW w:w="9800" w:type="dxa"/>
        <w:jc w:val="center"/>
        <w:tblLayout w:type="fixed"/>
        <w:tblCellMar>
          <w:top w:w="0" w:type="dxa"/>
          <w:left w:w="0" w:type="dxa"/>
          <w:bottom w:w="0" w:type="dxa"/>
          <w:right w:w="0" w:type="dxa"/>
        </w:tblCellMar>
      </w:tblPr>
      <w:tblGrid>
        <w:gridCol w:w="9800"/>
      </w:tblGrid>
      <w:tr>
        <w:tblPrEx>
          <w:tblCellMar>
            <w:top w:w="0" w:type="dxa"/>
            <w:left w:w="0" w:type="dxa"/>
            <w:bottom w:w="0" w:type="dxa"/>
            <w:right w:w="0" w:type="dxa"/>
          </w:tblCellMar>
        </w:tblPrEx>
        <w:trPr>
          <w:trHeight w:val="372" w:hRule="atLeast"/>
          <w:jc w:val="center"/>
        </w:trPr>
        <w:tc>
          <w:tcPr>
            <w:tcW w:w="9800" w:type="dxa"/>
            <w:tcBorders>
              <w:top w:val="nil"/>
              <w:left w:val="nil"/>
              <w:bottom w:val="nil"/>
              <w:right w:val="nil"/>
            </w:tcBorders>
            <w:shd w:val="clear" w:color="000000" w:fill="auto"/>
            <w:tcMar>
              <w:top w:w="15" w:type="dxa"/>
              <w:left w:w="15" w:type="dxa"/>
              <w:right w:w="15" w:type="dxa"/>
            </w:tcMar>
            <w:vAlign w:val="center"/>
          </w:tcPr>
          <w:p>
            <w:pPr>
              <w:pStyle w:val="24"/>
            </w:pPr>
            <w:r>
              <w:t>投标人须知</w:t>
            </w:r>
          </w:p>
          <w:p>
            <w:pPr>
              <w:pStyle w:val="2"/>
              <w:rPr>
                <w:b w:val="0"/>
                <w:color w:val="FF0000"/>
              </w:rPr>
            </w:pPr>
            <w:r>
              <w:rPr>
                <w:b w:val="0"/>
              </w:rPr>
              <w:t>一</w:t>
            </w:r>
            <w:r>
              <w:t>、</w:t>
            </w:r>
            <w:r>
              <w:rPr>
                <w:rFonts w:hint="eastAsia"/>
              </w:rPr>
              <w:t>招标项目概况</w:t>
            </w:r>
          </w:p>
          <w:p>
            <w:pPr>
              <w:pStyle w:val="40"/>
              <w:numPr>
                <w:ilvl w:val="0"/>
                <w:numId w:val="2"/>
              </w:numPr>
              <w:spacing w:before="120" w:after="160"/>
              <w:jc w:val="left"/>
              <w:rPr>
                <w:rFonts w:eastAsia="宋体"/>
                <w:color w:val="000000" w:themeColor="text1"/>
              </w:rPr>
            </w:pPr>
            <w:r>
              <w:rPr>
                <w:rFonts w:hint="eastAsia" w:eastAsia="宋体"/>
                <w:color w:val="000000" w:themeColor="text1"/>
              </w:rPr>
              <w:t>项目概况：</w:t>
            </w:r>
            <w:r>
              <w:rPr>
                <w:rFonts w:eastAsia="宋体"/>
                <w:color w:val="FF0000"/>
              </w:rPr>
              <w:t>A6-402、403、410实验室漏水修补</w:t>
            </w:r>
          </w:p>
          <w:p>
            <w:pPr>
              <w:pStyle w:val="40"/>
              <w:numPr>
                <w:ilvl w:val="0"/>
                <w:numId w:val="2"/>
              </w:numPr>
              <w:spacing w:before="120" w:after="160"/>
              <w:jc w:val="left"/>
              <w:rPr>
                <w:rFonts w:eastAsia="宋体"/>
                <w:color w:val="000000" w:themeColor="text1"/>
              </w:rPr>
            </w:pPr>
            <w:r>
              <w:rPr>
                <w:rFonts w:hint="eastAsia" w:eastAsia="宋体"/>
                <w:color w:val="000000" w:themeColor="text1"/>
              </w:rPr>
              <w:t>采购方：深圳大学</w:t>
            </w:r>
            <w:r>
              <w:rPr>
                <w:rFonts w:eastAsia="宋体"/>
                <w:color w:val="000000" w:themeColor="text1"/>
              </w:rPr>
              <w:t xml:space="preserve"> </w:t>
            </w:r>
          </w:p>
          <w:p>
            <w:pPr>
              <w:pStyle w:val="40"/>
              <w:numPr>
                <w:ilvl w:val="0"/>
                <w:numId w:val="2"/>
              </w:numPr>
              <w:spacing w:before="120" w:after="160"/>
              <w:jc w:val="left"/>
              <w:rPr>
                <w:rFonts w:eastAsia="宋体"/>
                <w:color w:val="000000" w:themeColor="text1"/>
              </w:rPr>
            </w:pPr>
            <w:r>
              <w:rPr>
                <w:rFonts w:hint="eastAsia" w:eastAsia="宋体"/>
                <w:color w:val="000000" w:themeColor="text1"/>
              </w:rPr>
              <w:t>工期要求：总工期为</w:t>
            </w:r>
            <w:r>
              <w:rPr>
                <w:rFonts w:eastAsia="宋体"/>
                <w:color w:val="000000" w:themeColor="text1"/>
              </w:rPr>
              <w:t>15</w:t>
            </w:r>
            <w:r>
              <w:rPr>
                <w:rFonts w:hint="eastAsia" w:eastAsia="宋体"/>
                <w:color w:val="000000" w:themeColor="text1"/>
              </w:rPr>
              <w:t>天以内，具体开工时间以建设方通知为准。</w:t>
            </w:r>
          </w:p>
          <w:p>
            <w:pPr>
              <w:pStyle w:val="40"/>
              <w:numPr>
                <w:ilvl w:val="0"/>
                <w:numId w:val="2"/>
              </w:numPr>
              <w:spacing w:before="120" w:after="160"/>
              <w:jc w:val="left"/>
              <w:rPr>
                <w:rFonts w:eastAsia="宋体"/>
                <w:color w:val="000000" w:themeColor="text1"/>
              </w:rPr>
            </w:pPr>
            <w:r>
              <w:rPr>
                <w:rFonts w:hint="eastAsia" w:eastAsia="宋体"/>
                <w:color w:val="000000" w:themeColor="text1"/>
              </w:rPr>
              <w:t>合同方式：固定总价合同</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w:t>
            </w:r>
          </w:p>
          <w:p>
            <w:pPr>
              <w:spacing w:before="120" w:after="160"/>
              <w:jc w:val="left"/>
              <w:rPr>
                <w:rFonts w:ascii="仿宋" w:hAnsi="仿宋" w:eastAsia="仿宋"/>
                <w:color w:val="000000"/>
                <w:sz w:val="24"/>
                <w:szCs w:val="24"/>
              </w:rPr>
            </w:pPr>
          </w:p>
          <w:p>
            <w:pPr>
              <w:pStyle w:val="2"/>
            </w:pPr>
            <w:r>
              <w:t>二、</w:t>
            </w:r>
            <w:r>
              <w:rPr>
                <w:rFonts w:hint="eastAsia"/>
              </w:rPr>
              <w:t>项目</w:t>
            </w:r>
            <w:r>
              <w:t>技术要求：</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主要工作：</w:t>
            </w:r>
            <w:r>
              <w:rPr>
                <w:rFonts w:hint="eastAsia" w:ascii="仿宋" w:hAnsi="仿宋" w:eastAsia="仿宋"/>
                <w:color w:val="FF0000"/>
                <w:sz w:val="24"/>
                <w:szCs w:val="24"/>
              </w:rPr>
              <w:t>屋顶排水槽</w:t>
            </w:r>
            <w:r>
              <w:rPr>
                <w:rFonts w:ascii="仿宋" w:hAnsi="仿宋" w:eastAsia="仿宋"/>
                <w:color w:val="FF0000"/>
                <w:sz w:val="24"/>
                <w:szCs w:val="24"/>
              </w:rPr>
              <w:t>修补并更新等。</w:t>
            </w:r>
          </w:p>
          <w:p>
            <w:pPr>
              <w:pStyle w:val="40"/>
              <w:numPr>
                <w:ilvl w:val="0"/>
                <w:numId w:val="3"/>
              </w:numPr>
              <w:spacing w:before="120" w:after="160"/>
              <w:jc w:val="left"/>
              <w:rPr>
                <w:rFonts w:ascii="仿宋" w:hAnsi="仿宋" w:eastAsia="仿宋"/>
                <w:sz w:val="24"/>
                <w:szCs w:val="24"/>
              </w:rPr>
            </w:pPr>
            <w:r>
              <w:rPr>
                <w:rFonts w:hint="eastAsia" w:ascii="仿宋" w:hAnsi="仿宋" w:eastAsia="仿宋"/>
                <w:sz w:val="24"/>
                <w:szCs w:val="24"/>
              </w:rPr>
              <w:t>主材参考品牌详见《装饰材料设备参考品牌库》。</w:t>
            </w:r>
          </w:p>
          <w:p>
            <w:pPr>
              <w:spacing w:before="120" w:after="160"/>
              <w:ind w:firstLine="480"/>
              <w:jc w:val="left"/>
              <w:rPr>
                <w:rFonts w:ascii="仿宋" w:hAnsi="仿宋" w:eastAsia="仿宋"/>
                <w:color w:val="FF0000"/>
                <w:sz w:val="24"/>
                <w:szCs w:val="24"/>
              </w:rPr>
            </w:pPr>
          </w:p>
          <w:p>
            <w:pPr>
              <w:pStyle w:val="2"/>
            </w:pPr>
            <w:r>
              <w:rPr>
                <w:rFonts w:hint="eastAsia"/>
              </w:rPr>
              <w:t>三</w:t>
            </w:r>
            <w:r>
              <w:t>、</w:t>
            </w:r>
            <w:r>
              <w:rPr>
                <w:rFonts w:hint="eastAsia"/>
              </w:rPr>
              <w:t>法定</w:t>
            </w:r>
            <w:r>
              <w:t>代表人</w:t>
            </w:r>
            <w:r>
              <w:rPr>
                <w:rFonts w:hint="eastAsia"/>
              </w:rPr>
              <w:t>合法授权代理人、</w:t>
            </w:r>
            <w:r>
              <w:t>项目</w:t>
            </w:r>
            <w:r>
              <w:rPr>
                <w:rFonts w:hint="eastAsia"/>
              </w:rPr>
              <w:t>经理及</w:t>
            </w:r>
            <w:r>
              <w:t>现场负责人</w:t>
            </w:r>
            <w:r>
              <w:rPr>
                <w:rFonts w:hint="eastAsia"/>
              </w:rPr>
              <w:t>要求：</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在</w:t>
            </w:r>
            <w:r>
              <w:rPr>
                <w:rFonts w:ascii="仿宋" w:hAnsi="仿宋" w:eastAsia="仿宋"/>
                <w:color w:val="FF0000"/>
                <w:sz w:val="24"/>
                <w:szCs w:val="24"/>
              </w:rPr>
              <w:t>投标单位</w:t>
            </w:r>
            <w:r>
              <w:rPr>
                <w:rFonts w:hint="eastAsia" w:ascii="仿宋" w:hAnsi="仿宋" w:eastAsia="仿宋"/>
                <w:color w:val="FF0000"/>
                <w:sz w:val="24"/>
                <w:szCs w:val="24"/>
              </w:rPr>
              <w:t>社保</w:t>
            </w:r>
            <w:r>
              <w:rPr>
                <w:rFonts w:ascii="仿宋" w:hAnsi="仿宋" w:eastAsia="仿宋"/>
                <w:color w:val="FF0000"/>
                <w:sz w:val="24"/>
                <w:szCs w:val="24"/>
              </w:rPr>
              <w:t>满1</w:t>
            </w:r>
            <w:r>
              <w:rPr>
                <w:rFonts w:hint="eastAsia" w:ascii="仿宋" w:hAnsi="仿宋" w:eastAsia="仿宋"/>
                <w:color w:val="FF0000"/>
                <w:sz w:val="24"/>
                <w:szCs w:val="24"/>
              </w:rPr>
              <w:t>年</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社保证明资料可为社保收缴部门盖章证明资料、社保窗口打印资料或含网址栏的社保官网截图，代缴或补缴无效。如开标日上一个月的社保材料因社保部门原因暂时无法取得，则可以往前顺延一个月。</w:t>
            </w:r>
          </w:p>
          <w:p>
            <w:pPr>
              <w:pStyle w:val="40"/>
              <w:numPr>
                <w:ilvl w:val="0"/>
                <w:numId w:val="4"/>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如不满足</w:t>
            </w:r>
            <w:r>
              <w:rPr>
                <w:rFonts w:ascii="仿宋" w:hAnsi="仿宋" w:eastAsia="仿宋"/>
                <w:color w:val="FF0000"/>
                <w:sz w:val="24"/>
                <w:szCs w:val="24"/>
              </w:rPr>
              <w:t>上述两</w:t>
            </w:r>
            <w:r>
              <w:rPr>
                <w:rFonts w:hint="eastAsia" w:ascii="仿宋" w:hAnsi="仿宋" w:eastAsia="仿宋"/>
                <w:color w:val="FF0000"/>
                <w:sz w:val="24"/>
                <w:szCs w:val="24"/>
              </w:rPr>
              <w:t>条</w:t>
            </w:r>
            <w:r>
              <w:rPr>
                <w:rFonts w:ascii="仿宋" w:hAnsi="仿宋" w:eastAsia="仿宋"/>
                <w:color w:val="FF0000"/>
                <w:sz w:val="24"/>
                <w:szCs w:val="24"/>
              </w:rPr>
              <w:t>，将作废标</w:t>
            </w:r>
            <w:r>
              <w:rPr>
                <w:rFonts w:hint="eastAsia" w:ascii="仿宋" w:hAnsi="仿宋" w:eastAsia="仿宋"/>
                <w:color w:val="FF0000"/>
                <w:sz w:val="24"/>
                <w:szCs w:val="24"/>
              </w:rPr>
              <w:t>处理</w:t>
            </w:r>
            <w:r>
              <w:rPr>
                <w:rFonts w:ascii="仿宋" w:hAnsi="仿宋" w:eastAsia="仿宋"/>
                <w:color w:val="FF0000"/>
                <w:sz w:val="24"/>
                <w:szCs w:val="24"/>
              </w:rPr>
              <w:t>。</w:t>
            </w:r>
          </w:p>
          <w:p>
            <w:pPr>
              <w:spacing w:before="120" w:after="160"/>
              <w:jc w:val="left"/>
              <w:rPr>
                <w:rFonts w:ascii="仿宋" w:hAnsi="仿宋" w:eastAsia="仿宋"/>
                <w:color w:val="000000"/>
                <w:sz w:val="24"/>
                <w:szCs w:val="24"/>
              </w:rPr>
            </w:pPr>
          </w:p>
          <w:p>
            <w:pPr>
              <w:pStyle w:val="2"/>
            </w:pPr>
            <w:r>
              <w:rPr>
                <w:rFonts w:hint="eastAsia"/>
              </w:rPr>
              <w:t>四</w:t>
            </w:r>
            <w:r>
              <w:t>、</w:t>
            </w:r>
            <w:r>
              <w:rPr>
                <w:rFonts w:hint="eastAsia"/>
              </w:rPr>
              <w:t>项目商务要求</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付款方式：本工程不支付预付款，当工程完工通过验收并</w:t>
            </w:r>
            <w:r>
              <w:rPr>
                <w:rFonts w:ascii="仿宋" w:hAnsi="仿宋" w:eastAsia="仿宋"/>
                <w:color w:val="000000"/>
                <w:sz w:val="24"/>
                <w:szCs w:val="24"/>
              </w:rPr>
              <w:t>提交验收资料，</w:t>
            </w:r>
            <w:r>
              <w:rPr>
                <w:rFonts w:hint="eastAsia" w:ascii="仿宋" w:hAnsi="仿宋" w:eastAsia="仿宋"/>
                <w:color w:val="000000"/>
                <w:sz w:val="24"/>
                <w:szCs w:val="24"/>
              </w:rPr>
              <w:t>经采购方审核完毕后一次性</w:t>
            </w:r>
            <w:r>
              <w:rPr>
                <w:rFonts w:ascii="仿宋" w:hAnsi="仿宋" w:eastAsia="仿宋"/>
                <w:color w:val="000000"/>
                <w:sz w:val="24"/>
                <w:szCs w:val="24"/>
              </w:rPr>
              <w:t>付清</w:t>
            </w:r>
            <w:r>
              <w:rPr>
                <w:rFonts w:hint="eastAsia" w:ascii="仿宋" w:hAnsi="仿宋" w:eastAsia="仿宋"/>
                <w:color w:val="000000"/>
                <w:sz w:val="24"/>
                <w:szCs w:val="24"/>
              </w:rPr>
              <w:t>。</w:t>
            </w:r>
            <w:r>
              <w:rPr>
                <w:rFonts w:ascii="仿宋" w:hAnsi="仿宋" w:eastAsia="仿宋"/>
                <w:color w:val="000000"/>
                <w:sz w:val="24"/>
                <w:szCs w:val="24"/>
              </w:rPr>
              <w:t>　　</w:t>
            </w:r>
          </w:p>
          <w:p>
            <w:pPr>
              <w:pStyle w:val="40"/>
              <w:numPr>
                <w:ilvl w:val="0"/>
                <w:numId w:val="5"/>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项目保修要求</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中标人须与采购方签署《工程质量保修书》；</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应建立健全工程质量保修制度，明确保修责任人和联系人，制定质量保修方案，在竣工验收前报采购方和使用单位。保修责任人和联系人必须为中标人的正式员工，提供中标人固定电话和责任人、联系人移动电话。变更责任人和联系人时，须经采购方批准，并及时书面告知使用单位；</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发现质量缺陷，中标人应自接到保修通知书后</w:t>
            </w:r>
            <w:r>
              <w:rPr>
                <w:rFonts w:ascii="仿宋" w:hAnsi="仿宋" w:eastAsia="仿宋"/>
                <w:color w:val="000000"/>
                <w:sz w:val="24"/>
                <w:szCs w:val="24"/>
              </w:rPr>
              <w:t>2</w:t>
            </w:r>
            <w:r>
              <w:rPr>
                <w:rFonts w:hint="eastAsia" w:ascii="仿宋" w:hAnsi="仿宋" w:eastAsia="仿宋"/>
                <w:color w:val="000000"/>
                <w:sz w:val="24"/>
                <w:szCs w:val="24"/>
              </w:rPr>
              <w:t>日内达到现场核查情况、开展保修工作。一般问题</w:t>
            </w:r>
            <w:r>
              <w:rPr>
                <w:rFonts w:ascii="仿宋" w:hAnsi="仿宋" w:eastAsia="仿宋"/>
                <w:color w:val="000000"/>
                <w:sz w:val="24"/>
                <w:szCs w:val="24"/>
              </w:rPr>
              <w:t>3</w:t>
            </w:r>
            <w:r>
              <w:rPr>
                <w:rFonts w:hint="eastAsia" w:ascii="仿宋" w:hAnsi="仿宋" w:eastAsia="仿宋"/>
                <w:color w:val="000000"/>
                <w:sz w:val="24"/>
                <w:szCs w:val="24"/>
              </w:rPr>
              <w:t>日内处理完毕，复杂问题根据实际情况提出保修方案和修复期限，报采购方、监理工程师和使用单位认可后实施。质量保修完成后，由监理工程师组织验收，采购方参与；</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发生涉及结构安全或者严重影响使用功能的紧急抢修事故，中标人接到电话通知后，应当立即到达现场抢修；</w:t>
            </w:r>
          </w:p>
          <w:p>
            <w:pPr>
              <w:pStyle w:val="40"/>
              <w:numPr>
                <w:ilvl w:val="0"/>
                <w:numId w:val="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中标人自接到保修通知书后</w:t>
            </w:r>
            <w:r>
              <w:rPr>
                <w:rFonts w:ascii="仿宋" w:hAnsi="仿宋" w:eastAsia="仿宋"/>
                <w:color w:val="000000"/>
                <w:sz w:val="24"/>
                <w:szCs w:val="24"/>
              </w:rPr>
              <w:t>2</w:t>
            </w:r>
            <w:r>
              <w:rPr>
                <w:rFonts w:hint="eastAsia" w:ascii="仿宋" w:hAnsi="仿宋" w:eastAsia="仿宋"/>
                <w:color w:val="000000"/>
                <w:sz w:val="24"/>
                <w:szCs w:val="24"/>
              </w:rPr>
              <w:t>日内未达到现场或维修两次仍未解决问题的，采购方有权取消</w:t>
            </w:r>
            <w:r>
              <w:rPr>
                <w:rFonts w:ascii="仿宋" w:hAnsi="仿宋" w:eastAsia="仿宋"/>
                <w:color w:val="000000"/>
                <w:sz w:val="24"/>
                <w:szCs w:val="24"/>
              </w:rPr>
              <w:t>中标人</w:t>
            </w:r>
            <w:r>
              <w:rPr>
                <w:rFonts w:hint="eastAsia" w:ascii="仿宋" w:hAnsi="仿宋" w:eastAsia="仿宋"/>
                <w:color w:val="000000"/>
                <w:sz w:val="24"/>
                <w:szCs w:val="24"/>
              </w:rPr>
              <w:t>两年内</w:t>
            </w:r>
            <w:r>
              <w:rPr>
                <w:rFonts w:ascii="仿宋" w:hAnsi="仿宋" w:eastAsia="仿宋"/>
                <w:color w:val="000000"/>
                <w:sz w:val="24"/>
                <w:szCs w:val="24"/>
              </w:rPr>
              <w:t>的投标资格</w:t>
            </w:r>
            <w:r>
              <w:rPr>
                <w:rFonts w:hint="eastAsia" w:ascii="仿宋" w:hAnsi="仿宋" w:eastAsia="仿宋"/>
                <w:color w:val="000000"/>
                <w:sz w:val="24"/>
                <w:szCs w:val="24"/>
              </w:rPr>
              <w:t>。此种情况并不免除中标人的保修责任。</w:t>
            </w:r>
          </w:p>
          <w:p>
            <w:pPr>
              <w:pStyle w:val="40"/>
              <w:spacing w:before="120" w:after="160"/>
              <w:ind w:left="1320"/>
              <w:jc w:val="left"/>
              <w:rPr>
                <w:rFonts w:ascii="仿宋" w:hAnsi="仿宋" w:eastAsia="仿宋"/>
                <w:color w:val="000000"/>
                <w:sz w:val="24"/>
                <w:szCs w:val="24"/>
              </w:rPr>
            </w:pPr>
          </w:p>
          <w:p>
            <w:pPr>
              <w:pStyle w:val="2"/>
            </w:pPr>
            <w:r>
              <w:rPr>
                <w:rFonts w:hint="eastAsia"/>
              </w:rPr>
              <w:t>五</w:t>
            </w:r>
            <w:r>
              <w:t>、</w:t>
            </w:r>
            <w:r>
              <w:rPr>
                <w:rFonts w:hint="eastAsia"/>
              </w:rPr>
              <w:t>质量考核验收标准及违约金</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本工程质量应达到国家质量评定合格标准</w:t>
            </w:r>
            <w:r>
              <w:rPr>
                <w:rFonts w:ascii="仿宋" w:hAnsi="仿宋" w:eastAsia="仿宋"/>
                <w:color w:val="000000"/>
                <w:sz w:val="24"/>
                <w:szCs w:val="24"/>
              </w:rPr>
              <w:t>:</w:t>
            </w:r>
            <w:r>
              <w:rPr>
                <w:rFonts w:hint="eastAsia" w:ascii="仿宋" w:hAnsi="仿宋" w:eastAsia="仿宋"/>
                <w:color w:val="000000"/>
                <w:sz w:val="24"/>
                <w:szCs w:val="24"/>
              </w:rPr>
              <w:t>《建筑装饰装修工程质量验收标准》</w:t>
            </w:r>
            <w:r>
              <w:rPr>
                <w:rFonts w:ascii="仿宋" w:hAnsi="仿宋" w:eastAsia="仿宋"/>
                <w:color w:val="000000"/>
                <w:sz w:val="24"/>
                <w:szCs w:val="24"/>
              </w:rPr>
              <w:t>(GB50210-2018)</w:t>
            </w:r>
            <w:r>
              <w:rPr>
                <w:rFonts w:hint="eastAsia" w:ascii="仿宋" w:hAnsi="仿宋" w:eastAsia="仿宋"/>
                <w:color w:val="000000"/>
                <w:sz w:val="24"/>
                <w:szCs w:val="24"/>
              </w:rPr>
              <w:t>、《建筑工程工质量验收统一标准》</w:t>
            </w:r>
            <w:r>
              <w:rPr>
                <w:rFonts w:ascii="仿宋" w:hAnsi="仿宋" w:eastAsia="仿宋"/>
                <w:color w:val="000000"/>
                <w:sz w:val="24"/>
                <w:szCs w:val="24"/>
              </w:rPr>
              <w:t>(GB50300-2013)</w:t>
            </w:r>
            <w:r>
              <w:rPr>
                <w:rFonts w:hint="eastAsia" w:ascii="仿宋" w:hAnsi="仿宋" w:eastAsia="仿宋"/>
                <w:color w:val="000000"/>
                <w:sz w:val="24"/>
                <w:szCs w:val="24"/>
              </w:rPr>
              <w:t>等国家制定的现行施工及验收规范作为本工程质量评定验收标准；同时也应该达到深圳市相关工程质量验收标准。当国家和深圳市的验收标准不一致时，以较严的标准为准。施工前主要材料、设备、施工样板必须经采购方确认后才能施工，否则相关损失和责任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工程具备隐蔽条件或中间验收，中标人须于正式隐蔽或中间验收前</w:t>
            </w:r>
            <w:r>
              <w:rPr>
                <w:rFonts w:ascii="仿宋" w:hAnsi="仿宋" w:eastAsia="仿宋"/>
                <w:color w:val="000000"/>
                <w:sz w:val="24"/>
                <w:szCs w:val="24"/>
              </w:rPr>
              <w:t>48</w:t>
            </w:r>
            <w:r>
              <w:rPr>
                <w:rFonts w:hint="eastAsia" w:ascii="仿宋" w:hAnsi="仿宋" w:eastAsia="仿宋"/>
                <w:color w:val="000000"/>
                <w:sz w:val="24"/>
                <w:szCs w:val="24"/>
              </w:rPr>
              <w:t>小时以书面形式通知采购方工程师和（或）监理方验收，通知包括隐蔽和中间验收的内容、验收时间和地点。中标人进行验收记录，验收合格，采购方和（或）监理方在验收记录上签字后，中标人可进行隐蔽和继续施工；验收不合格，中标人在采购方限定的时间内修改后按照前述流程重新组织验收。由此造成的工期延误责任及使采购方遭受经济损失的均由中标人自行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由于中标人原因造成质量事故，其返工费用由中标人承担，工期不予顺延。同时，中标人还应赔偿因此给采购方造成的损失。</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本工程具备竣工验收条件后</w:t>
            </w:r>
            <w:r>
              <w:rPr>
                <w:rFonts w:ascii="仿宋" w:hAnsi="仿宋" w:eastAsia="仿宋"/>
                <w:color w:val="000000"/>
                <w:sz w:val="24"/>
                <w:szCs w:val="24"/>
              </w:rPr>
              <w:t xml:space="preserve"> 7 </w:t>
            </w:r>
            <w:r>
              <w:rPr>
                <w:rFonts w:hint="eastAsia" w:ascii="仿宋" w:hAnsi="仿宋" w:eastAsia="仿宋"/>
                <w:color w:val="000000"/>
                <w:sz w:val="24"/>
                <w:szCs w:val="24"/>
              </w:rPr>
              <w:t>天内，中标人应按国家住房和城乡建设部、广东省及深圳市的有关规定和采购方的要求编制工程竣工验收资料，向采购方委派的监理工程师提供完整竣工验收资料</w:t>
            </w:r>
            <w:r>
              <w:rPr>
                <w:rFonts w:ascii="仿宋" w:hAnsi="仿宋" w:eastAsia="仿宋"/>
                <w:color w:val="000000"/>
                <w:sz w:val="24"/>
                <w:szCs w:val="24"/>
              </w:rPr>
              <w:t xml:space="preserve"> 2 </w:t>
            </w:r>
            <w:r>
              <w:rPr>
                <w:rFonts w:hint="eastAsia" w:ascii="仿宋" w:hAnsi="仿宋" w:eastAsia="仿宋"/>
                <w:color w:val="000000"/>
                <w:sz w:val="24"/>
                <w:szCs w:val="24"/>
              </w:rPr>
              <w:t>套。监理工程师收到竣工验收资料后，应在</w:t>
            </w:r>
            <w:r>
              <w:rPr>
                <w:rFonts w:ascii="仿宋" w:hAnsi="仿宋" w:eastAsia="仿宋"/>
                <w:color w:val="000000"/>
                <w:sz w:val="24"/>
                <w:szCs w:val="24"/>
              </w:rPr>
              <w:t xml:space="preserve"> 3 </w:t>
            </w:r>
            <w:r>
              <w:rPr>
                <w:rFonts w:hint="eastAsia" w:ascii="仿宋" w:hAnsi="仿宋" w:eastAsia="仿宋"/>
                <w:color w:val="000000"/>
                <w:sz w:val="24"/>
                <w:szCs w:val="24"/>
              </w:rPr>
              <w:t>天内审核，若不符合要求，监理工程师可提出修改意见。中标人按要求修改合格后报监理工程师，监理工程师在收到中标人的竣工验收报告后</w:t>
            </w:r>
            <w:r>
              <w:rPr>
                <w:rFonts w:ascii="仿宋" w:hAnsi="仿宋" w:eastAsia="仿宋"/>
                <w:color w:val="000000"/>
                <w:sz w:val="24"/>
                <w:szCs w:val="24"/>
              </w:rPr>
              <w:t xml:space="preserve"> 3 </w:t>
            </w:r>
            <w:r>
              <w:rPr>
                <w:rFonts w:hint="eastAsia" w:ascii="仿宋" w:hAnsi="仿宋" w:eastAsia="仿宋"/>
                <w:color w:val="000000"/>
                <w:sz w:val="24"/>
                <w:szCs w:val="24"/>
              </w:rPr>
              <w:t>天内应组织有关单位进行初步验收，并在</w:t>
            </w:r>
            <w:r>
              <w:rPr>
                <w:rFonts w:ascii="仿宋" w:hAnsi="仿宋" w:eastAsia="仿宋"/>
                <w:color w:val="000000"/>
                <w:sz w:val="24"/>
                <w:szCs w:val="24"/>
              </w:rPr>
              <w:t xml:space="preserve"> 5 </w:t>
            </w:r>
            <w:r>
              <w:rPr>
                <w:rFonts w:hint="eastAsia" w:ascii="仿宋" w:hAnsi="仿宋" w:eastAsia="仿宋"/>
                <w:color w:val="000000"/>
                <w:sz w:val="24"/>
                <w:szCs w:val="24"/>
              </w:rPr>
              <w:t>天内对工程质量予以认可或提出修改意见。中标人按要求修改，并承担由其自身原因造成的修改费用。竣工验收由采购方主持，并成立竣工验收小组组织竣工验收工作。编制竣工图（如采购方有</w:t>
            </w:r>
            <w:r>
              <w:rPr>
                <w:rFonts w:ascii="仿宋" w:hAnsi="仿宋" w:eastAsia="仿宋"/>
                <w:color w:val="000000"/>
                <w:sz w:val="24"/>
                <w:szCs w:val="24"/>
              </w:rPr>
              <w:t>需求，下同</w:t>
            </w:r>
            <w:r>
              <w:rPr>
                <w:rFonts w:hint="eastAsia" w:ascii="仿宋" w:hAnsi="仿宋" w:eastAsia="仿宋"/>
                <w:color w:val="000000"/>
                <w:sz w:val="24"/>
                <w:szCs w:val="24"/>
              </w:rPr>
              <w:t>）、竣工资料的费用均由中标人承担。</w:t>
            </w:r>
          </w:p>
          <w:p>
            <w:pPr>
              <w:pStyle w:val="40"/>
              <w:numPr>
                <w:ilvl w:val="0"/>
                <w:numId w:val="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竣工验收资料包括全部工程的竣工图纸和施工原始记录、照片和相应的电子文件等资料，以及经确认的深化设计图纸和技术资料。各类分包工程的竣工资料均由中标人负责编制、指导、审阅、汇总、整理、归档，按照城建档案资料验收要求提供竣工资料并承担相关工作，协助采购方办理相关验收手续，包括但不限于组织和参加相关的会议、竣工资料的重新整理编制、提供服务等，费用由中标人自行承担。工程竣工验收合格后，中标人应在</w:t>
            </w:r>
            <w:r>
              <w:rPr>
                <w:rFonts w:ascii="仿宋" w:hAnsi="仿宋" w:eastAsia="仿宋"/>
                <w:color w:val="000000"/>
                <w:sz w:val="24"/>
                <w:szCs w:val="24"/>
              </w:rPr>
              <w:t>3</w:t>
            </w:r>
            <w:r>
              <w:rPr>
                <w:rFonts w:hint="eastAsia" w:ascii="仿宋" w:hAnsi="仿宋" w:eastAsia="仿宋"/>
                <w:color w:val="000000"/>
                <w:sz w:val="24"/>
                <w:szCs w:val="24"/>
              </w:rPr>
              <w:t>天内进行场地的移交。中标人不按时向采购方移交本工程的，每延迟一天，中标人向采购方支付违约金</w:t>
            </w:r>
            <w:r>
              <w:rPr>
                <w:rFonts w:ascii="仿宋" w:hAnsi="仿宋" w:eastAsia="仿宋"/>
                <w:color w:val="000000"/>
                <w:sz w:val="24"/>
                <w:szCs w:val="24"/>
              </w:rPr>
              <w:t xml:space="preserve"> 5000</w:t>
            </w:r>
            <w:r>
              <w:rPr>
                <w:rFonts w:hint="eastAsia" w:ascii="仿宋" w:hAnsi="仿宋" w:eastAsia="仿宋"/>
                <w:color w:val="000000"/>
                <w:sz w:val="24"/>
                <w:szCs w:val="24"/>
              </w:rPr>
              <w:t>元。</w:t>
            </w:r>
          </w:p>
          <w:p>
            <w:pPr>
              <w:pStyle w:val="40"/>
              <w:spacing w:before="120" w:after="160"/>
              <w:ind w:left="900"/>
              <w:jc w:val="left"/>
              <w:rPr>
                <w:rFonts w:ascii="仿宋" w:hAnsi="仿宋" w:eastAsia="仿宋"/>
                <w:color w:val="000000"/>
                <w:sz w:val="24"/>
                <w:szCs w:val="24"/>
              </w:rPr>
            </w:pPr>
          </w:p>
          <w:p>
            <w:pPr>
              <w:pStyle w:val="40"/>
              <w:spacing w:before="120" w:after="160"/>
              <w:ind w:left="900"/>
              <w:jc w:val="left"/>
              <w:rPr>
                <w:rFonts w:ascii="仿宋" w:hAnsi="仿宋" w:eastAsia="仿宋"/>
                <w:color w:val="000000"/>
                <w:sz w:val="24"/>
                <w:szCs w:val="24"/>
              </w:rPr>
            </w:pPr>
          </w:p>
          <w:p>
            <w:pPr>
              <w:pStyle w:val="2"/>
            </w:pPr>
            <w:r>
              <w:rPr>
                <w:rFonts w:hint="eastAsia"/>
              </w:rPr>
              <w:t>六</w:t>
            </w:r>
            <w:r>
              <w:t>、</w:t>
            </w:r>
            <w:r>
              <w:rPr>
                <w:rFonts w:hint="eastAsia"/>
              </w:rPr>
              <w:t>项目管理要求</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中标人必须作好施工记录、隐蔽工程记录、施工资料的整理、竣工资料的编制等工作；</w:t>
            </w:r>
          </w:p>
          <w:p>
            <w:pPr>
              <w:pStyle w:val="40"/>
              <w:numPr>
                <w:ilvl w:val="0"/>
                <w:numId w:val="8"/>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安全文明施工：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中标人必须在施工现场显眼位置设置正规施工警示牌、工程概况牌，标注“温馨提示”语言。靠近人行通道边（或建设方以为有必要的其他周边）必须用整齐美观的板材（或水马）围护密封施工；</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施工必须达到有关部门规定的安全文明施工标准，服从学校管理各项规定要求，避免干扰学校正常工作秩序，认真做好施工现场防护、防火、噪音、用电等安全文明施工各项管理工作，承担相应一切责任，确保施工场地区域道路通畅，保持施工现场整洁，做到工完场清，达到国家卫生城市标准；</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中标人必须在施工过程中注意自身及周边安全，做好现场及周边安全设施搭设，遵守有关安全保护规程，负责施工过程中的所有事故处理和费用。</w:t>
            </w:r>
          </w:p>
          <w:p>
            <w:pPr>
              <w:pStyle w:val="40"/>
              <w:numPr>
                <w:ilvl w:val="0"/>
                <w:numId w:val="9"/>
              </w:numPr>
              <w:rPr>
                <w:rFonts w:ascii="仿宋" w:hAnsi="仿宋" w:eastAsia="仿宋"/>
                <w:color w:val="000000"/>
                <w:sz w:val="24"/>
                <w:szCs w:val="24"/>
              </w:rPr>
            </w:pPr>
            <w:r>
              <w:rPr>
                <w:rFonts w:hint="eastAsia" w:ascii="仿宋" w:hAnsi="仿宋" w:eastAsia="仿宋"/>
                <w:color w:val="000000"/>
                <w:sz w:val="24"/>
                <w:szCs w:val="24"/>
              </w:rPr>
              <w:t>前述三条相关安全文明措施费用，应包含在投标人的投标总价内。一旦中标，中标人不得以任何理由提出增加该费用；或不按本要求执行的，采购方有权要求中标人整改，直至整改到位后方可施工，由此引起的工期延误由中标人负责。</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中标人必须服从采购方，监理公司的监督、指导并积极主动配合上述管理机构的工作。</w:t>
            </w:r>
          </w:p>
          <w:p>
            <w:pPr>
              <w:pStyle w:val="40"/>
              <w:numPr>
                <w:ilvl w:val="0"/>
                <w:numId w:val="8"/>
              </w:numPr>
              <w:rPr>
                <w:rFonts w:ascii="仿宋" w:hAnsi="仿宋" w:eastAsia="仿宋"/>
                <w:color w:val="000000"/>
                <w:sz w:val="24"/>
                <w:szCs w:val="24"/>
              </w:rPr>
            </w:pPr>
            <w:r>
              <w:rPr>
                <w:rFonts w:hint="eastAsia" w:ascii="仿宋" w:hAnsi="仿宋" w:eastAsia="仿宋" w:cs="微软雅黑"/>
                <w:color w:val="000000"/>
                <w:sz w:val="24"/>
                <w:szCs w:val="24"/>
              </w:rPr>
              <w:t>中标人施工时须提供材料样板，经采购方最终确认后，方可进场使用，中标人所提供的样板或厂家应符合设计图纸</w:t>
            </w:r>
            <w:r>
              <w:rPr>
                <w:rFonts w:hint="eastAsia" w:ascii="仿宋" w:hAnsi="仿宋" w:eastAsia="仿宋"/>
                <w:color w:val="000000"/>
                <w:sz w:val="24"/>
                <w:szCs w:val="24"/>
              </w:rPr>
              <w:t>（如有）要求及采购方确认要求，如中标人不能提供的可由采购方根据市场考察情况确认并实施。</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用在本工程的任何材料在使用前必须得到采购方的批准，样品须在大批订货前送审。获准的样品存放在工地，作为以后验收材料的标准。样品和其包装，由中标人无偿提供。</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实行项目经理负责制，并按投标文件配备项目管理班子。如未经采购方同意更换项目班子成员，采购方有权取消中标人的中标资格或单方面终止合同，由此造成的违约责任由中标人承担。</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鉴于中标人所负责的工程都在校园内的特殊性，为确保校园优美的学习和工作环境不受影响，中标人在进场施工前，必须与项目组所有人员进行安全文明施工交底，确保做到工完场清，施工期间做到除尘除噪，及时处理施工、生活垃圾，否则将按照规定予以处罚。</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施工阶段用水、用电由中标人向深圳大学丽湖校区管理</w:t>
            </w:r>
            <w:r>
              <w:rPr>
                <w:rFonts w:ascii="仿宋" w:hAnsi="仿宋" w:eastAsia="仿宋"/>
                <w:color w:val="000000"/>
                <w:sz w:val="24"/>
                <w:szCs w:val="24"/>
              </w:rPr>
              <w:t>办公室和</w:t>
            </w:r>
            <w:r>
              <w:rPr>
                <w:rFonts w:hint="eastAsia" w:ascii="仿宋" w:hAnsi="仿宋" w:eastAsia="仿宋"/>
                <w:color w:val="000000"/>
                <w:sz w:val="24"/>
                <w:szCs w:val="24"/>
              </w:rPr>
              <w:t>相关</w:t>
            </w:r>
            <w:r>
              <w:rPr>
                <w:rFonts w:ascii="仿宋" w:hAnsi="仿宋" w:eastAsia="仿宋"/>
                <w:color w:val="000000"/>
                <w:sz w:val="24"/>
                <w:szCs w:val="24"/>
              </w:rPr>
              <w:t>物业</w:t>
            </w:r>
            <w:r>
              <w:rPr>
                <w:rFonts w:hint="eastAsia" w:ascii="仿宋" w:hAnsi="仿宋" w:eastAsia="仿宋"/>
                <w:color w:val="000000"/>
                <w:sz w:val="24"/>
                <w:szCs w:val="24"/>
              </w:rPr>
              <w:t>公司申请办理后自行修建安装，产生的相关费用按相关规定处理，由中标人自行承担，不再另行支付。</w:t>
            </w:r>
          </w:p>
          <w:p>
            <w:pPr>
              <w:pStyle w:val="40"/>
              <w:numPr>
                <w:ilvl w:val="0"/>
                <w:numId w:val="8"/>
              </w:numPr>
              <w:rPr>
                <w:rFonts w:ascii="仿宋" w:hAnsi="仿宋" w:eastAsia="仿宋"/>
                <w:color w:val="000000"/>
                <w:sz w:val="24"/>
                <w:szCs w:val="24"/>
              </w:rPr>
            </w:pPr>
            <w:r>
              <w:rPr>
                <w:rFonts w:hint="eastAsia" w:ascii="仿宋" w:hAnsi="仿宋" w:eastAsia="仿宋"/>
                <w:color w:val="000000"/>
                <w:sz w:val="24"/>
                <w:szCs w:val="24"/>
              </w:rPr>
              <w:t>本装饰装修工程如没有设计图纸，中标人根据采购方提供的工程量清单以及现场情况施工。在竣工验收后，中标人应根据采购方需求制作竣工图纸，相关费用由中标人承担。</w:t>
            </w:r>
          </w:p>
          <w:p>
            <w:pPr>
              <w:pStyle w:val="40"/>
              <w:ind w:left="900"/>
              <w:rPr>
                <w:rFonts w:ascii="仿宋" w:hAnsi="仿宋" w:eastAsia="仿宋"/>
                <w:color w:val="000000"/>
                <w:sz w:val="24"/>
                <w:szCs w:val="24"/>
              </w:rPr>
            </w:pPr>
          </w:p>
          <w:p>
            <w:pPr>
              <w:pStyle w:val="2"/>
            </w:pPr>
            <w:r>
              <w:rPr>
                <w:rFonts w:hint="eastAsia"/>
              </w:rPr>
              <w:t>七</w:t>
            </w:r>
            <w:r>
              <w:t>、</w:t>
            </w:r>
            <w:r>
              <w:rPr>
                <w:rFonts w:hint="eastAsia"/>
              </w:rPr>
              <w:t>图纸</w:t>
            </w:r>
            <w:r>
              <w:t>(</w:t>
            </w:r>
            <w:r>
              <w:rPr>
                <w:rFonts w:hint="eastAsia"/>
              </w:rPr>
              <w:t>见附件</w:t>
            </w:r>
            <w:r>
              <w:t>)</w:t>
            </w:r>
          </w:p>
          <w:p>
            <w:pPr>
              <w:rPr>
                <w:rFonts w:eastAsiaTheme="minorEastAsia"/>
              </w:rPr>
            </w:pPr>
          </w:p>
          <w:p>
            <w:pPr>
              <w:pStyle w:val="2"/>
            </w:pPr>
            <w:r>
              <w:rPr>
                <w:rFonts w:hint="eastAsia"/>
              </w:rPr>
              <w:t>八</w:t>
            </w:r>
            <w:r>
              <w:t>、</w:t>
            </w:r>
            <w:r>
              <w:rPr>
                <w:rFonts w:hint="eastAsia"/>
              </w:rPr>
              <w:t>工程量清单（见附件）</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要求：</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工程计价办法：综合单价法。</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工程量清单应与投标须知、合同条件、工程建设标准及技术要求和图纸等文件结合起来理解或解释。</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本工程量清单是采购方根据本招标文件中所提供的设计文件编制的。</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按照《建设工程工程量清单计价规范》的规定，“工程量清单格式”主要包括以下几个部分，但不局限于以下部分：</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清单封面；</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总说明；包括工程概况、工程招标范围、工程量清单编制依据、工程质量、材料、施工的特殊要求、预留金及暂定金额的情况等。</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工程项目清单；指本次招标的工程项目所包含的单项工程及每个单项工程所包含的单位工程，只有一个单位工程时可不填此表。</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分部分项工程量清单；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措施项目清单；</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他项目清单；该表分为采购方部分和投标人部分，采购方部分由采购方另行招标采购材料设备费用等，由采购方填写；投标人部分可包括总承包服务费、零星工作项目费等，由投标人根据工程情况，投标报价时填写。</w:t>
            </w:r>
          </w:p>
          <w:p>
            <w:pPr>
              <w:pStyle w:val="40"/>
              <w:numPr>
                <w:ilvl w:val="0"/>
                <w:numId w:val="11"/>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零星工作项目表；指采购方提出的工程量暂估的零星工作项目，该表费用由投标人计算后汇入其他项目清单的投标人部分。</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本工程要求采用的工程量计算规则，应作为本工程招投标双方进行工程招投标和结算计量、计价的共同依据。</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本工程要求采用的工程量计算规则是《建设工程工程量清单计价规范》（</w:t>
            </w:r>
            <w:r>
              <w:rPr>
                <w:rFonts w:ascii="仿宋" w:hAnsi="仿宋" w:eastAsia="仿宋"/>
                <w:color w:val="000000"/>
                <w:sz w:val="24"/>
                <w:szCs w:val="24"/>
              </w:rPr>
              <w:t>GB50500-2013</w:t>
            </w:r>
            <w:r>
              <w:rPr>
                <w:rFonts w:hint="eastAsia" w:ascii="仿宋" w:hAnsi="仿宋" w:eastAsia="仿宋"/>
                <w:color w:val="000000"/>
                <w:sz w:val="24"/>
                <w:szCs w:val="24"/>
              </w:rPr>
              <w:t>）及深圳市补充规范；</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对“分部分项工程量清单”的说明和报价要求</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的工程量系采购方的估算，是临时的，作为投标报价的共同基础。不应被理解为是对采购方要求工作内容的全部定义，也不能作为投标人应完成的实际工程量。结算时，应以由中标人和采购方或由采购方授权委托的第三方结算审核单位共同计量、核实的实际完成的工程量为准；</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该清单中所填入的综合单价和合价应包括直接成本（即人工、材料、机械）和费用（管理费、利润）、风险金等全部费用。但涉及到采购方自行采购的设备材料的项目不得计入材料设备的价格；</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该清单中不再重复或概括工程及材料的一般说明，在编制和填写工程量清单的每一项的综合单价和合价时应参考投标须知和合同条件的有关条款；</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该清单的各项目说明中含有“暂定材料设备单价”的，应明确说明此单价是否包括运输费、采保费等费用。投标时投标人不得修改。结算时，应按本招标文件的合同条件中约定的方法调整；</w:t>
            </w:r>
          </w:p>
          <w:p>
            <w:pPr>
              <w:pStyle w:val="40"/>
              <w:numPr>
                <w:ilvl w:val="0"/>
                <w:numId w:val="12"/>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针对该清单，投标人报价时应提供</w:t>
            </w:r>
            <w:r>
              <w:rPr>
                <w:rFonts w:ascii="仿宋" w:hAnsi="仿宋" w:eastAsia="仿宋"/>
                <w:color w:val="000000"/>
                <w:sz w:val="24"/>
                <w:szCs w:val="24"/>
              </w:rPr>
              <w:t xml:space="preserve"> “</w:t>
            </w:r>
            <w:r>
              <w:rPr>
                <w:rFonts w:hint="eastAsia" w:ascii="仿宋" w:hAnsi="仿宋" w:eastAsia="仿宋"/>
                <w:color w:val="000000"/>
                <w:sz w:val="24"/>
                <w:szCs w:val="24"/>
              </w:rPr>
              <w:t>分部分项工程量清单综合单价分析表（简表）”。</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对“措施项目清单”的说明和报价要求：</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该清单所列项目均以“一项”提出，是采购方根据一般情况估计的项目，投标人实际措施项目不同的，可以对具体列项内容进行调整；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该清单的报价为包干费用，除非合同条件中有明确的约定，该费用不得调整；</w:t>
            </w:r>
          </w:p>
          <w:p>
            <w:pPr>
              <w:pStyle w:val="40"/>
              <w:numPr>
                <w:ilvl w:val="0"/>
                <w:numId w:val="13"/>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pPr>
              <w:pStyle w:val="40"/>
              <w:numPr>
                <w:ilvl w:val="0"/>
                <w:numId w:val="10"/>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如发现采购方提供的工程量清单的项目及工程量与图纸实际不符时，除招标文件另有要求外，投标人应在答疑期间提出，采购方应进行复核并在网上发出修正。如没有做出修正，投标人仍应按原提供的项目及工程量报价，并将项差与量差体现在报价中，并在备注中注明，但不得对工程量清单进行修改。</w:t>
            </w:r>
          </w:p>
          <w:p>
            <w:pPr>
              <w:pStyle w:val="2"/>
            </w:pPr>
          </w:p>
          <w:p>
            <w:pPr>
              <w:pStyle w:val="2"/>
            </w:pPr>
            <w:r>
              <w:rPr>
                <w:rFonts w:hint="eastAsia"/>
              </w:rPr>
              <w:t>九、结算方式</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工程验收合格后，乙方</w:t>
            </w:r>
            <w:r>
              <w:rPr>
                <w:rFonts w:ascii="仿宋" w:hAnsi="仿宋" w:eastAsia="仿宋"/>
                <w:color w:val="FF0000"/>
                <w:sz w:val="24"/>
                <w:szCs w:val="24"/>
              </w:rPr>
              <w:t>5</w:t>
            </w:r>
            <w:r>
              <w:rPr>
                <w:rFonts w:hint="eastAsia" w:ascii="仿宋" w:hAnsi="仿宋" w:eastAsia="仿宋"/>
                <w:color w:val="FF0000"/>
                <w:sz w:val="24"/>
                <w:szCs w:val="24"/>
              </w:rPr>
              <w:t>个工作日</w:t>
            </w:r>
            <w:r>
              <w:rPr>
                <w:rFonts w:hint="eastAsia" w:ascii="仿宋" w:hAnsi="仿宋" w:eastAsia="仿宋"/>
                <w:color w:val="000000"/>
                <w:sz w:val="24"/>
                <w:szCs w:val="24"/>
              </w:rPr>
              <w:t>内向甲方递送结算资料。如过期未递送结算资料，由此产生的结果由乙方负责。</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pPr>
              <w:pStyle w:val="40"/>
              <w:numPr>
                <w:ilvl w:val="0"/>
                <w:numId w:val="14"/>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工程竣工并验收合格后，施工方必须严格按要求编制、装订结算竣工资料，工程结算书经项目负责人初审后提交深圳大学丽湖校区管理办公室审核，以深圳大学丽湖校区管理办公室的审核价作为结算价。</w:t>
            </w:r>
          </w:p>
          <w:p>
            <w:pPr>
              <w:spacing w:before="120" w:after="160"/>
              <w:ind w:left="895"/>
              <w:jc w:val="left"/>
              <w:rPr>
                <w:rFonts w:ascii="仿宋" w:hAnsi="仿宋" w:eastAsia="仿宋"/>
                <w:color w:val="000000"/>
                <w:sz w:val="24"/>
                <w:szCs w:val="24"/>
              </w:rPr>
            </w:pPr>
          </w:p>
          <w:p>
            <w:pPr>
              <w:pStyle w:val="2"/>
            </w:pPr>
            <w:r>
              <w:rPr>
                <w:rFonts w:hint="eastAsia"/>
              </w:rPr>
              <w:t>十、投标有效期</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投标文件将在投标文件递交截止后</w:t>
            </w:r>
            <w:r>
              <w:rPr>
                <w:rFonts w:ascii="仿宋" w:hAnsi="仿宋" w:eastAsia="仿宋"/>
                <w:color w:val="000000"/>
                <w:sz w:val="24"/>
                <w:szCs w:val="24"/>
              </w:rPr>
              <w:t>60</w:t>
            </w:r>
            <w:r>
              <w:rPr>
                <w:rFonts w:hint="eastAsia" w:ascii="仿宋" w:hAnsi="仿宋" w:eastAsia="仿宋"/>
                <w:color w:val="000000"/>
                <w:sz w:val="24"/>
                <w:szCs w:val="24"/>
              </w:rPr>
              <w:t>天内有效。投标有效期不足的投标文件将被拒绝。</w:t>
            </w:r>
          </w:p>
          <w:p>
            <w:pPr>
              <w:spacing w:before="120" w:after="160"/>
              <w:jc w:val="left"/>
              <w:rPr>
                <w:rFonts w:ascii="仿宋" w:hAnsi="仿宋" w:eastAsia="仿宋"/>
                <w:color w:val="000000"/>
                <w:sz w:val="24"/>
                <w:szCs w:val="24"/>
              </w:rPr>
            </w:pPr>
          </w:p>
          <w:p>
            <w:pPr>
              <w:pStyle w:val="2"/>
            </w:pPr>
            <w:r>
              <w:rPr>
                <w:rFonts w:hint="eastAsia"/>
              </w:rPr>
              <w:t>十一、评标方法</w:t>
            </w:r>
          </w:p>
          <w:p>
            <w:pPr>
              <w:spacing w:before="120" w:after="160"/>
              <w:ind w:firstLine="480" w:firstLineChars="200"/>
              <w:jc w:val="left"/>
              <w:rPr>
                <w:rFonts w:ascii="仿宋" w:hAnsi="仿宋" w:eastAsia="仿宋"/>
                <w:color w:val="FF0000"/>
                <w:sz w:val="24"/>
                <w:szCs w:val="24"/>
              </w:rPr>
            </w:pPr>
            <w:r>
              <w:rPr>
                <w:rFonts w:hint="eastAsia" w:ascii="仿宋" w:hAnsi="仿宋" w:eastAsia="仿宋"/>
                <w:color w:val="FF0000"/>
                <w:sz w:val="24"/>
                <w:szCs w:val="24"/>
              </w:rPr>
              <w:t>抽签法。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工程开标由招标人依据招标文件的有关规定进行，经初步评审确认为无效的投标文件不参加抽签。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按照递交投标文件的顺序，从到场签到</w:t>
            </w:r>
            <w:r>
              <w:rPr>
                <w:rFonts w:ascii="仿宋" w:hAnsi="仿宋" w:eastAsia="仿宋"/>
                <w:color w:val="FF0000"/>
                <w:sz w:val="24"/>
                <w:szCs w:val="24"/>
              </w:rPr>
              <w:t>顺序</w:t>
            </w:r>
            <w:r>
              <w:rPr>
                <w:rFonts w:hint="eastAsia" w:ascii="仿宋" w:hAnsi="仿宋" w:eastAsia="仿宋"/>
                <w:color w:val="FF0000"/>
                <w:sz w:val="24"/>
                <w:szCs w:val="24"/>
              </w:rPr>
              <w:t>确定并当场公布每一个号码所对应的投标人。公开随机抽取代表，由此名代表负责本标段的抽签。</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抽签代表将在参加该标段的所有投标人对应的号码中公开随机抽取号码，抽中的号码对应的投标人为中标供应商。</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招标人按招标文件规定的定标办法确定中标人，中标人放弃中标、提出不能履行的，将列入供应商黑名单。</w:t>
            </w:r>
          </w:p>
          <w:p>
            <w:pPr>
              <w:pStyle w:val="40"/>
              <w:numPr>
                <w:ilvl w:val="0"/>
                <w:numId w:val="15"/>
              </w:numPr>
              <w:spacing w:before="120" w:after="160"/>
              <w:jc w:val="left"/>
              <w:rPr>
                <w:rFonts w:ascii="仿宋" w:hAnsi="仿宋" w:eastAsia="仿宋"/>
                <w:color w:val="FF0000"/>
                <w:sz w:val="24"/>
                <w:szCs w:val="24"/>
              </w:rPr>
            </w:pPr>
            <w:r>
              <w:rPr>
                <w:rFonts w:hint="eastAsia" w:ascii="仿宋" w:hAnsi="仿宋" w:eastAsia="仿宋"/>
                <w:color w:val="FF0000"/>
                <w:sz w:val="24"/>
                <w:szCs w:val="24"/>
              </w:rPr>
              <w:t>如报名供应商仅有一家，且经评审完全满足招标文件的实质性要求的，直接确定为中标供应商。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评标方法</w:t>
                  </w:r>
                </w:p>
              </w:tc>
              <w:tc>
                <w:tcPr>
                  <w:tcW w:w="4265" w:type="dxa"/>
                </w:tcPr>
                <w:p>
                  <w:pPr>
                    <w:jc w:val="center"/>
                  </w:pPr>
                  <w:r>
                    <w:rPr>
                      <w:rFonts w:hint="eastAsia" w:eastAsia="宋体"/>
                    </w:rPr>
                    <w:t>抽签</w:t>
                  </w:r>
                  <w:r>
                    <w:rPr>
                      <w:rFonts w:hint="eastAsia"/>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tbl>
          <w:p>
            <w:pPr>
              <w:spacing w:before="120" w:after="160"/>
              <w:ind w:firstLine="480" w:firstLineChars="200"/>
              <w:jc w:val="left"/>
              <w:rPr>
                <w:rFonts w:ascii="仿宋" w:hAnsi="仿宋" w:eastAsia="仿宋"/>
                <w:color w:val="FF0000"/>
                <w:sz w:val="24"/>
                <w:szCs w:val="24"/>
              </w:rPr>
            </w:pPr>
          </w:p>
          <w:p>
            <w:pPr>
              <w:spacing w:before="120" w:after="160"/>
              <w:jc w:val="left"/>
              <w:rPr>
                <w:rFonts w:ascii="仿宋" w:hAnsi="仿宋" w:eastAsia="仿宋"/>
                <w:color w:val="000000"/>
                <w:sz w:val="24"/>
                <w:szCs w:val="24"/>
              </w:rPr>
            </w:pPr>
          </w:p>
          <w:p>
            <w:pPr>
              <w:pStyle w:val="2"/>
            </w:pPr>
            <w:r>
              <w:rPr>
                <w:rFonts w:hint="eastAsia"/>
              </w:rPr>
              <w:t>十二</w:t>
            </w:r>
            <w:r>
              <w:t>、投标文件的</w:t>
            </w:r>
            <w:r>
              <w:rPr>
                <w:rFonts w:hint="eastAsia"/>
              </w:rPr>
              <w:t>式</w:t>
            </w:r>
            <w:r>
              <w:t>样和签署</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投标文件的封面应注明“项目名称、招标编号、投标人名称、投标日期等”；</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投标人应在每一份投标文件上编上页次，装订成册（不允许使用活页夹），每套投标文件须清楚地标明“正本”、“副本”。一旦正本和副本不符，以正本为准；</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投标文件的</w:t>
            </w:r>
            <w:r>
              <w:rPr>
                <w:rFonts w:ascii="仿宋" w:hAnsi="仿宋" w:eastAsia="仿宋"/>
                <w:color w:val="000000"/>
                <w:sz w:val="24"/>
                <w:szCs w:val="24"/>
              </w:rPr>
              <w:t>[</w:t>
            </w:r>
            <w:r>
              <w:rPr>
                <w:rFonts w:hint="eastAsia" w:ascii="仿宋" w:hAnsi="仿宋" w:eastAsia="仿宋"/>
                <w:color w:val="000000"/>
                <w:sz w:val="24"/>
                <w:szCs w:val="24"/>
              </w:rPr>
              <w:t>正本</w:t>
            </w:r>
            <w:r>
              <w:rPr>
                <w:rFonts w:ascii="仿宋" w:hAnsi="仿宋" w:eastAsia="仿宋"/>
                <w:color w:val="000000"/>
                <w:sz w:val="24"/>
                <w:szCs w:val="24"/>
              </w:rPr>
              <w:t>]</w:t>
            </w:r>
            <w:r>
              <w:rPr>
                <w:rFonts w:hint="eastAsia" w:ascii="仿宋" w:hAnsi="仿宋" w:eastAsia="仿宋"/>
                <w:color w:val="000000"/>
                <w:sz w:val="24"/>
                <w:szCs w:val="24"/>
              </w:rPr>
              <w:t>封面均应由投标人加盖投标人法人公章；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投标文件副本可采用投标文件的正本复印而成，招标文件中已标明“投标人代表签名”处必须由投标人法定代表人或其授权代表签字；已标明“盖章”之处，必须加盖投标人法人公章；</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除投标人对错处作必要修改外，投标文件中不许有加行、涂抹或改写。若有修改须由投标人授权代表在修正处签字；</w:t>
            </w:r>
          </w:p>
          <w:p>
            <w:pPr>
              <w:pStyle w:val="40"/>
              <w:numPr>
                <w:ilvl w:val="0"/>
                <w:numId w:val="16"/>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电报、电传、传真形式的投标概不接受。</w:t>
            </w:r>
          </w:p>
          <w:p>
            <w:pPr>
              <w:pStyle w:val="40"/>
              <w:spacing w:before="120" w:after="160"/>
              <w:ind w:left="900"/>
              <w:jc w:val="left"/>
              <w:rPr>
                <w:rFonts w:ascii="仿宋" w:hAnsi="仿宋" w:eastAsia="仿宋"/>
                <w:color w:val="000000"/>
                <w:sz w:val="24"/>
                <w:szCs w:val="24"/>
              </w:rPr>
            </w:pPr>
          </w:p>
          <w:p>
            <w:pPr>
              <w:pStyle w:val="2"/>
            </w:pPr>
            <w:r>
              <w:rPr>
                <w:rFonts w:hint="eastAsia"/>
              </w:rPr>
              <w:t>十三</w:t>
            </w:r>
            <w:r>
              <w:t>、投标文件</w:t>
            </w:r>
            <w:r>
              <w:rPr>
                <w:rFonts w:hint="eastAsia"/>
              </w:rPr>
              <w:t>内容要求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投标文件必须包含本项目要求的资质文件、营业执照副本复印件（加盖公章）、法定代表人授权书、投标承诺函、施工负责人简介。缺少上述任一文件，视为对实质性条款的不响应，将导致投标无效。</w:t>
            </w:r>
          </w:p>
          <w:p>
            <w:pPr>
              <w:spacing w:before="120" w:after="160"/>
              <w:jc w:val="left"/>
              <w:rPr>
                <w:rFonts w:ascii="仿宋" w:hAnsi="仿宋" w:eastAsia="仿宋"/>
                <w:color w:val="000000"/>
                <w:sz w:val="24"/>
                <w:szCs w:val="24"/>
              </w:rPr>
            </w:pPr>
          </w:p>
          <w:p>
            <w:pPr>
              <w:pStyle w:val="2"/>
            </w:pPr>
            <w:r>
              <w:rPr>
                <w:rFonts w:hint="eastAsia"/>
              </w:rPr>
              <w:t>十四</w:t>
            </w:r>
            <w:r>
              <w:t>、</w:t>
            </w:r>
            <w:r>
              <w:rPr>
                <w:rFonts w:hint="eastAsia"/>
              </w:rPr>
              <w:t>包装密封要求</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投标文件需编制两份</w:t>
            </w:r>
            <w:r>
              <w:rPr>
                <w:rFonts w:ascii="仿宋" w:hAnsi="仿宋" w:eastAsia="仿宋"/>
                <w:color w:val="000000"/>
                <w:sz w:val="24"/>
                <w:szCs w:val="24"/>
              </w:rPr>
              <w:t>(</w:t>
            </w:r>
            <w:r>
              <w:rPr>
                <w:rFonts w:hint="eastAsia" w:ascii="仿宋" w:hAnsi="仿宋" w:eastAsia="仿宋"/>
                <w:color w:val="000000"/>
                <w:sz w:val="24"/>
                <w:szCs w:val="24"/>
              </w:rPr>
              <w:t>一份为正本</w:t>
            </w:r>
            <w:r>
              <w:rPr>
                <w:rFonts w:ascii="仿宋" w:hAnsi="仿宋" w:eastAsia="仿宋"/>
                <w:color w:val="000000"/>
                <w:sz w:val="24"/>
                <w:szCs w:val="24"/>
              </w:rPr>
              <w:t>,</w:t>
            </w:r>
            <w:r>
              <w:rPr>
                <w:rFonts w:hint="eastAsia" w:ascii="仿宋" w:hAnsi="仿宋" w:eastAsia="仿宋"/>
                <w:color w:val="000000"/>
                <w:sz w:val="24"/>
                <w:szCs w:val="24"/>
              </w:rPr>
              <w:t>一份为副本，数量不齐者作废标处理</w:t>
            </w:r>
            <w:r>
              <w:rPr>
                <w:rFonts w:ascii="仿宋" w:hAnsi="仿宋" w:eastAsia="仿宋"/>
                <w:color w:val="000000"/>
                <w:sz w:val="24"/>
                <w:szCs w:val="24"/>
              </w:rPr>
              <w:t>)</w:t>
            </w:r>
            <w:r>
              <w:rPr>
                <w:rFonts w:hint="eastAsia" w:ascii="仿宋" w:hAnsi="仿宋" w:eastAsia="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pPr>
              <w:spacing w:before="120" w:after="160"/>
              <w:jc w:val="left"/>
              <w:rPr>
                <w:rFonts w:ascii="仿宋" w:hAnsi="仿宋" w:eastAsia="仿宋"/>
                <w:color w:val="000000"/>
                <w:sz w:val="24"/>
                <w:szCs w:val="24"/>
              </w:rPr>
            </w:pPr>
          </w:p>
          <w:p>
            <w:pPr>
              <w:pStyle w:val="2"/>
            </w:pPr>
            <w:r>
              <w:rPr>
                <w:rFonts w:hint="eastAsia"/>
              </w:rPr>
              <w:t>十五、细微偏差修正</w:t>
            </w:r>
          </w:p>
          <w:p>
            <w:pPr>
              <w:spacing w:before="120"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pPr>
              <w:spacing w:before="120" w:after="160"/>
              <w:ind w:firstLine="480"/>
              <w:jc w:val="left"/>
              <w:rPr>
                <w:rFonts w:ascii="仿宋" w:hAnsi="仿宋" w:eastAsia="仿宋"/>
                <w:color w:val="000000"/>
                <w:sz w:val="24"/>
                <w:szCs w:val="24"/>
              </w:rPr>
            </w:pPr>
            <w:r>
              <w:rPr>
                <w:rFonts w:hint="eastAsia" w:ascii="仿宋" w:hAnsi="仿宋" w:eastAsia="仿宋"/>
                <w:color w:val="000000"/>
                <w:sz w:val="24"/>
                <w:szCs w:val="24"/>
              </w:rPr>
              <w:t>经评标委员会确认为通过初审的投标文件，若存在个别计算或累计方面的算术错误可视为投标文件存在细微偏差并按照以下原则进行修正：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用数字表示的数额与用文字表示的数额不一致时，以文字数额为准进行修正；</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单价与工程量的乘积与合价不一致时，通常以单价为准。除非评标委员会认为单价有明显的小数点错位，此时应以合价为准，并修正单价；</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分项投标累计与投标总价不一致时，通常以分项投标累计为准。除非评标委员会认为分项投标有明显的小数点错位，此时应以投标总价为准，并修正分项投标；</w:t>
            </w:r>
          </w:p>
          <w:p>
            <w:pPr>
              <w:pStyle w:val="40"/>
              <w:numPr>
                <w:ilvl w:val="0"/>
                <w:numId w:val="17"/>
              </w:numPr>
              <w:spacing w:before="120" w:after="160"/>
              <w:jc w:val="left"/>
              <w:rPr>
                <w:rFonts w:ascii="仿宋" w:hAnsi="仿宋" w:eastAsia="仿宋"/>
                <w:color w:val="000000"/>
                <w:sz w:val="24"/>
                <w:szCs w:val="24"/>
              </w:rPr>
            </w:pPr>
            <w:r>
              <w:rPr>
                <w:rFonts w:hint="eastAsia" w:ascii="仿宋" w:hAnsi="仿宋" w:eastAsia="仿宋"/>
                <w:color w:val="000000"/>
                <w:sz w:val="24"/>
                <w:szCs w:val="24"/>
              </w:rPr>
              <w:t>投标人对该投标有声明的，以该投标声明为准。</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按照上述修正调整后的投标经投标人确认后，对投标人起约束作用。</w:t>
            </w:r>
          </w:p>
          <w:p>
            <w:pPr>
              <w:spacing w:before="120" w:after="160"/>
              <w:jc w:val="left"/>
              <w:rPr>
                <w:rFonts w:ascii="仿宋" w:hAnsi="仿宋" w:eastAsia="仿宋"/>
                <w:color w:val="000000"/>
                <w:sz w:val="24"/>
                <w:szCs w:val="24"/>
              </w:rPr>
            </w:pPr>
            <w:r>
              <w:rPr>
                <w:rFonts w:hint="eastAsia" w:ascii="仿宋" w:hAnsi="仿宋" w:eastAsia="仿宋"/>
                <w:color w:val="000000"/>
                <w:sz w:val="24"/>
                <w:szCs w:val="24"/>
              </w:rPr>
              <w:t>　　经评标委员会确认存在细微偏差的投标文件，评标委员会可以于评标结果宣布之前要求投标人对投标文件中存在的细微偏差进行修正，若投标人拒绝修正，则其投标文件将被拒绝。</w:t>
            </w:r>
          </w:p>
          <w:p>
            <w:pPr>
              <w:spacing w:before="120" w:after="160"/>
              <w:jc w:val="left"/>
              <w:rPr>
                <w:rFonts w:ascii="仿宋" w:hAnsi="仿宋" w:eastAsia="仿宋"/>
                <w:color w:val="000000"/>
                <w:sz w:val="24"/>
                <w:szCs w:val="24"/>
              </w:rPr>
            </w:pPr>
          </w:p>
          <w:p>
            <w:pPr>
              <w:pStyle w:val="2"/>
            </w:pPr>
            <w:r>
              <w:rPr>
                <w:rFonts w:hint="eastAsia"/>
              </w:rPr>
              <w:t>十六、施工主要材料参考品牌</w:t>
            </w:r>
          </w:p>
          <w:p>
            <w:pPr>
              <w:rPr>
                <w:rFonts w:ascii="仿宋" w:hAnsi="仿宋" w:eastAsia="仿宋"/>
                <w:color w:val="000000"/>
                <w:sz w:val="24"/>
                <w:szCs w:val="24"/>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装饰材料设备参考品牌库</w:t>
            </w:r>
          </w:p>
          <w:tbl>
            <w:tblPr>
              <w:tblStyle w:val="25"/>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436"/>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pct"/>
                </w:tcPr>
                <w:p>
                  <w:pPr>
                    <w:spacing w:line="400" w:lineRule="exact"/>
                    <w:jc w:val="center"/>
                    <w:rPr>
                      <w:rFonts w:ascii="宋体" w:hAnsi="宋体" w:cs="宋体"/>
                      <w:b/>
                    </w:rPr>
                  </w:pPr>
                  <w:r>
                    <w:rPr>
                      <w:rFonts w:hint="eastAsia" w:ascii="微软雅黑" w:hAnsi="微软雅黑" w:eastAsia="微软雅黑" w:cs="微软雅黑"/>
                      <w:b/>
                    </w:rPr>
                    <w:t>编号</w:t>
                  </w:r>
                </w:p>
              </w:tc>
              <w:tc>
                <w:tcPr>
                  <w:tcW w:w="1248" w:type="pct"/>
                  <w:vAlign w:val="center"/>
                </w:tcPr>
                <w:p>
                  <w:pPr>
                    <w:spacing w:line="400" w:lineRule="exact"/>
                    <w:jc w:val="center"/>
                    <w:rPr>
                      <w:rFonts w:ascii="宋体" w:hAnsi="宋体" w:cs="宋体"/>
                      <w:b/>
                    </w:rPr>
                  </w:pPr>
                  <w:r>
                    <w:rPr>
                      <w:rFonts w:hint="eastAsia" w:ascii="微软雅黑" w:hAnsi="微软雅黑" w:eastAsia="微软雅黑" w:cs="微软雅黑"/>
                      <w:b/>
                    </w:rPr>
                    <w:t>材料品种</w:t>
                  </w:r>
                </w:p>
              </w:tc>
              <w:tc>
                <w:tcPr>
                  <w:tcW w:w="3356" w:type="pct"/>
                  <w:vAlign w:val="center"/>
                </w:tcPr>
                <w:p>
                  <w:pPr>
                    <w:spacing w:line="400" w:lineRule="exact"/>
                    <w:jc w:val="center"/>
                    <w:rPr>
                      <w:rFonts w:ascii="宋体" w:hAnsi="宋体" w:cs="宋体"/>
                      <w:b/>
                    </w:rPr>
                  </w:pPr>
                  <w:r>
                    <w:rPr>
                      <w:rFonts w:hint="eastAsia" w:ascii="微软雅黑" w:hAnsi="微软雅黑" w:eastAsia="微软雅黑" w:cs="微软雅黑"/>
                      <w:b/>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w:t>
                  </w:r>
                </w:p>
              </w:tc>
              <w:tc>
                <w:tcPr>
                  <w:tcW w:w="1248" w:type="pct"/>
                  <w:vAlign w:val="center"/>
                </w:tcPr>
                <w:p>
                  <w:pPr>
                    <w:spacing w:line="400" w:lineRule="exact"/>
                    <w:jc w:val="center"/>
                    <w:rPr>
                      <w:rFonts w:ascii="宋体"/>
                    </w:rPr>
                  </w:pPr>
                  <w:r>
                    <w:rPr>
                      <w:rFonts w:hint="eastAsia" w:ascii="宋体" w:hAnsi="宋体" w:cs="宋体"/>
                    </w:rPr>
                    <w:t>水泥</w:t>
                  </w:r>
                </w:p>
              </w:tc>
              <w:tc>
                <w:tcPr>
                  <w:tcW w:w="3356" w:type="pct"/>
                  <w:vAlign w:val="center"/>
                </w:tcPr>
                <w:p>
                  <w:pPr>
                    <w:spacing w:line="400" w:lineRule="exact"/>
                    <w:rPr>
                      <w:rFonts w:ascii="宋体"/>
                    </w:rPr>
                  </w:pPr>
                  <w:r>
                    <w:rPr>
                      <w:rFonts w:hint="eastAsia" w:ascii="宋体" w:hAnsi="宋体" w:cs="宋体"/>
                    </w:rPr>
                    <w:t>海螺、南方水泥、中材、华新堡垒、华润水泥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w:t>
                  </w:r>
                </w:p>
              </w:tc>
              <w:tc>
                <w:tcPr>
                  <w:tcW w:w="1248" w:type="pct"/>
                  <w:vAlign w:val="center"/>
                </w:tcPr>
                <w:p>
                  <w:pPr>
                    <w:spacing w:line="400" w:lineRule="exact"/>
                    <w:jc w:val="center"/>
                    <w:rPr>
                      <w:rFonts w:ascii="宋体" w:hAnsi="宋体" w:cs="宋体"/>
                    </w:rPr>
                  </w:pPr>
                  <w:r>
                    <w:rPr>
                      <w:rFonts w:hint="eastAsia" w:ascii="宋体" w:hAnsi="宋体" w:cs="宋体"/>
                    </w:rPr>
                    <w:t>防水材料</w:t>
                  </w:r>
                </w:p>
              </w:tc>
              <w:tc>
                <w:tcPr>
                  <w:tcW w:w="3356" w:type="pct"/>
                  <w:vAlign w:val="center"/>
                </w:tcPr>
                <w:p>
                  <w:pPr>
                    <w:rPr>
                      <w:rFonts w:hAnsi="Times New Roman"/>
                    </w:rPr>
                  </w:pPr>
                  <w:r>
                    <w:rPr>
                      <w:rFonts w:hint="eastAsia" w:hAnsi="Times New Roman"/>
                    </w:rPr>
                    <w:t>蓝盾、卓宝、黑豹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w:t>
                  </w:r>
                </w:p>
              </w:tc>
              <w:tc>
                <w:tcPr>
                  <w:tcW w:w="1248" w:type="pct"/>
                  <w:vAlign w:val="center"/>
                </w:tcPr>
                <w:p>
                  <w:pPr>
                    <w:spacing w:line="400" w:lineRule="exact"/>
                    <w:jc w:val="center"/>
                    <w:rPr>
                      <w:sz w:val="28"/>
                      <w:szCs w:val="28"/>
                    </w:rPr>
                  </w:pPr>
                  <w:r>
                    <w:rPr>
                      <w:rFonts w:hint="eastAsia" w:asciiTheme="minorEastAsia" w:hAnsiTheme="minorEastAsia"/>
                    </w:rPr>
                    <w:t>内墙涂料</w:t>
                  </w:r>
                </w:p>
              </w:tc>
              <w:tc>
                <w:tcPr>
                  <w:tcW w:w="3356" w:type="pct"/>
                  <w:vAlign w:val="center"/>
                </w:tcPr>
                <w:p>
                  <w:pPr>
                    <w:rPr>
                      <w:rFonts w:hAnsi="Times New Roman"/>
                      <w:b/>
                    </w:rPr>
                  </w:pPr>
                  <w:r>
                    <w:rPr>
                      <w:rFonts w:hint="eastAsia" w:asciiTheme="minorEastAsia" w:hAnsiTheme="minorEastAsia"/>
                    </w:rPr>
                    <w:t>多乐士、立邦、嘉宝莉、美涂士、</w:t>
                  </w:r>
                  <w:r>
                    <w:rPr>
                      <w:rFonts w:asciiTheme="minorEastAsia" w:hAnsiTheme="minorEastAsia"/>
                    </w:rPr>
                    <w:t>华润</w:t>
                  </w:r>
                  <w:r>
                    <w:rPr>
                      <w:rFonts w:ascii="宋体" w:hAnsi="宋体" w:eastAsia="宋体"/>
                    </w:rPr>
                    <w:t>/威士伯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4</w:t>
                  </w:r>
                </w:p>
              </w:tc>
              <w:tc>
                <w:tcPr>
                  <w:tcW w:w="1248" w:type="pct"/>
                  <w:vAlign w:val="center"/>
                </w:tcPr>
                <w:p>
                  <w:pPr>
                    <w:spacing w:line="400" w:lineRule="exact"/>
                    <w:jc w:val="center"/>
                    <w:rPr>
                      <w:rFonts w:asciiTheme="minorEastAsia" w:hAnsiTheme="minorEastAsia"/>
                    </w:rPr>
                  </w:pPr>
                  <w:r>
                    <w:rPr>
                      <w:rFonts w:hint="eastAsia" w:ascii="宋体" w:hAnsi="宋体" w:cs="宋体"/>
                    </w:rPr>
                    <w:t>瓷砖胶</w:t>
                  </w:r>
                </w:p>
              </w:tc>
              <w:tc>
                <w:tcPr>
                  <w:tcW w:w="3356" w:type="pct"/>
                  <w:vAlign w:val="center"/>
                </w:tcPr>
                <w:p>
                  <w:pPr>
                    <w:rPr>
                      <w:rFonts w:asciiTheme="minorEastAsia" w:hAnsiTheme="minorEastAsia"/>
                    </w:rPr>
                  </w:pPr>
                  <w:r>
                    <w:rPr>
                      <w:rFonts w:hint="eastAsia" w:ascii="宋体" w:hAnsi="宋体" w:cs="宋体"/>
                    </w:rPr>
                    <w:t>德高PD、华砂、雷帝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5</w:t>
                  </w:r>
                </w:p>
              </w:tc>
              <w:tc>
                <w:tcPr>
                  <w:tcW w:w="1248" w:type="pct"/>
                  <w:vAlign w:val="center"/>
                </w:tcPr>
                <w:p>
                  <w:pPr>
                    <w:spacing w:line="400" w:lineRule="exact"/>
                    <w:jc w:val="center"/>
                    <w:rPr>
                      <w:rFonts w:ascii="宋体" w:hAnsi="宋体" w:cs="宋体"/>
                    </w:rPr>
                  </w:pPr>
                  <w:r>
                    <w:rPr>
                      <w:rFonts w:hint="eastAsia" w:ascii="宋体" w:hAnsi="宋体" w:cs="宋体"/>
                    </w:rPr>
                    <w:t>硅澡泥涂料</w:t>
                  </w:r>
                </w:p>
              </w:tc>
              <w:tc>
                <w:tcPr>
                  <w:tcW w:w="3356" w:type="pct"/>
                  <w:vAlign w:val="center"/>
                </w:tcPr>
                <w:p>
                  <w:pPr>
                    <w:rPr>
                      <w:rFonts w:ascii="宋体" w:hAnsi="宋体" w:cs="宋体"/>
                    </w:rPr>
                  </w:pPr>
                  <w:r>
                    <w:rPr>
                      <w:rFonts w:hint="eastAsia" w:ascii="宋体" w:hAnsi="宋体" w:cs="宋体"/>
                    </w:rPr>
                    <w:t>兰舍、绿森林、双木林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6</w:t>
                  </w:r>
                </w:p>
              </w:tc>
              <w:tc>
                <w:tcPr>
                  <w:tcW w:w="1248" w:type="pct"/>
                  <w:vAlign w:val="center"/>
                </w:tcPr>
                <w:p>
                  <w:pPr>
                    <w:spacing w:line="400" w:lineRule="exact"/>
                    <w:jc w:val="center"/>
                    <w:rPr>
                      <w:rFonts w:ascii="宋体" w:hAnsi="宋体" w:cs="宋体"/>
                    </w:rPr>
                  </w:pPr>
                  <w:r>
                    <w:rPr>
                      <w:rFonts w:hint="eastAsia" w:ascii="宋体" w:hAnsi="宋体" w:cs="宋体"/>
                    </w:rPr>
                    <w:t>金属面油漆</w:t>
                  </w:r>
                </w:p>
              </w:tc>
              <w:tc>
                <w:tcPr>
                  <w:tcW w:w="3356" w:type="pct"/>
                  <w:vAlign w:val="center"/>
                </w:tcPr>
                <w:p>
                  <w:pPr>
                    <w:spacing w:line="400" w:lineRule="exact"/>
                    <w:rPr>
                      <w:rFonts w:ascii="宋体" w:hAnsi="宋体" w:cs="宋体"/>
                    </w:rPr>
                  </w:pPr>
                  <w:r>
                    <w:rPr>
                      <w:rFonts w:hint="eastAsia" w:ascii="宋体" w:hAnsi="宋体" w:cs="宋体"/>
                    </w:rPr>
                    <w:t>迪威尔油霸、嘉达高科JU2929G、立邦氟碳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7</w:t>
                  </w:r>
                </w:p>
              </w:tc>
              <w:tc>
                <w:tcPr>
                  <w:tcW w:w="1248" w:type="pct"/>
                  <w:vAlign w:val="center"/>
                </w:tcPr>
                <w:p>
                  <w:pPr>
                    <w:jc w:val="center"/>
                    <w:rPr>
                      <w:rFonts w:hAnsi="Times New Roman"/>
                    </w:rPr>
                  </w:pPr>
                  <w:r>
                    <w:rPr>
                      <w:rFonts w:hint="eastAsia" w:ascii="宋体"/>
                    </w:rPr>
                    <w:t>木地板</w:t>
                  </w:r>
                </w:p>
              </w:tc>
              <w:tc>
                <w:tcPr>
                  <w:tcW w:w="3356" w:type="pct"/>
                  <w:vAlign w:val="center"/>
                </w:tcPr>
                <w:p>
                  <w:pPr>
                    <w:rPr>
                      <w:rFonts w:hAnsi="Times New Roman"/>
                    </w:rPr>
                  </w:pPr>
                  <w:r>
                    <w:fldChar w:fldCharType="begin"/>
                  </w:r>
                  <w:r>
                    <w:instrText xml:space="preserve"> HYPERLINK "http://www.meilele.com/brand-539/?from=jiajuxz" \t "_blank" </w:instrText>
                  </w:r>
                  <w:r>
                    <w:fldChar w:fldCharType="separate"/>
                  </w:r>
                  <w:r>
                    <w:rPr>
                      <w:rFonts w:hint="eastAsia" w:ascii="宋体" w:hAnsi="宋体" w:eastAsia="宋体" w:cs="宋体"/>
                    </w:rPr>
                    <w:t>大自然地板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"http://www.meilele.com/brand-597/?from=jiancaipy" \t "_blank" </w:instrText>
                  </w:r>
                  <w:r>
                    <w:fldChar w:fldCharType="separate"/>
                  </w:r>
                  <w:r>
                    <w:rPr>
                      <w:rFonts w:hint="eastAsia" w:ascii="宋体" w:hAnsi="宋体" w:eastAsia="宋体" w:cs="宋体"/>
                    </w:rPr>
                    <w:t>安信地板</w:t>
                  </w:r>
                  <w:r>
                    <w:rPr>
                      <w:rFonts w:hint="eastAsia" w:ascii="宋体" w:hAnsi="宋体" w:eastAsia="宋体" w:cs="宋体"/>
                    </w:rPr>
                    <w:fldChar w:fldCharType="end"/>
                  </w:r>
                  <w:r>
                    <w:rPr>
                      <w:rFonts w:hint="eastAsia" w:hAnsi="Times New Roman"/>
                    </w:rPr>
                    <w:t>、</w:t>
                  </w:r>
                  <w:r>
                    <w:fldChar w:fldCharType="begin"/>
                  </w:r>
                  <w:r>
                    <w:instrText xml:space="preserve"> HYPERLINK "http://www.meilele.com/brand-317/?from=jcyangyu1" \t "_blank" </w:instrText>
                  </w:r>
                  <w:r>
                    <w:fldChar w:fldCharType="separate"/>
                  </w:r>
                  <w:r>
                    <w:rPr>
                      <w:rFonts w:hint="eastAsia" w:ascii="宋体" w:hAnsi="宋体" w:eastAsia="宋体" w:cs="宋体"/>
                    </w:rPr>
                    <w:t>贝尔地板</w:t>
                  </w:r>
                  <w:r>
                    <w:rPr>
                      <w:rFonts w:hint="eastAsia" w:ascii="宋体" w:hAnsi="宋体" w:eastAsia="宋体" w:cs="宋体"/>
                    </w:rPr>
                    <w:fldChar w:fldCharType="end"/>
                  </w:r>
                  <w:r>
                    <w:rPr>
                      <w:rFonts w:hint="eastAsia" w:hAnsi="Times New Roman"/>
                    </w:rPr>
                    <w:t>、圣象地板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8</w:t>
                  </w:r>
                </w:p>
              </w:tc>
              <w:tc>
                <w:tcPr>
                  <w:tcW w:w="1248" w:type="pct"/>
                  <w:vAlign w:val="center"/>
                </w:tcPr>
                <w:p>
                  <w:pPr>
                    <w:jc w:val="center"/>
                    <w:rPr>
                      <w:rFonts w:ascii="宋体"/>
                    </w:rPr>
                  </w:pPr>
                  <w:r>
                    <w:rPr>
                      <w:rFonts w:hint="eastAsia" w:ascii="宋体"/>
                    </w:rPr>
                    <w:t>地砖、墙砖</w:t>
                  </w:r>
                </w:p>
              </w:tc>
              <w:tc>
                <w:tcPr>
                  <w:tcW w:w="3356" w:type="pct"/>
                  <w:vAlign w:val="center"/>
                </w:tcPr>
                <w:p>
                  <w:pPr>
                    <w:rPr>
                      <w:rFonts w:hAnsi="Times New Roman"/>
                    </w:rPr>
                  </w:pPr>
                  <w:r>
                    <w:rPr>
                      <w:rFonts w:hint="eastAsia" w:hAnsi="Times New Roman"/>
                    </w:rPr>
                    <w:t>鹰牌、冠珠、东鹏、蒙娜丽莎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9</w:t>
                  </w:r>
                </w:p>
              </w:tc>
              <w:tc>
                <w:tcPr>
                  <w:tcW w:w="1248" w:type="pct"/>
                  <w:vAlign w:val="center"/>
                </w:tcPr>
                <w:p>
                  <w:pPr>
                    <w:jc w:val="center"/>
                    <w:rPr>
                      <w:rFonts w:hAnsi="Times New Roman"/>
                    </w:rPr>
                  </w:pPr>
                  <w:r>
                    <w:rPr>
                      <w:rFonts w:hint="eastAsia" w:hAnsi="Times New Roman"/>
                    </w:rPr>
                    <w:t>塑钢门窗</w:t>
                  </w:r>
                </w:p>
              </w:tc>
              <w:tc>
                <w:tcPr>
                  <w:tcW w:w="3356" w:type="pct"/>
                  <w:vAlign w:val="center"/>
                </w:tcPr>
                <w:p>
                  <w:pPr>
                    <w:rPr>
                      <w:rFonts w:hAnsi="Times New Roman"/>
                    </w:rPr>
                  </w:pPr>
                  <w:r>
                    <w:rPr>
                      <w:rFonts w:hint="eastAsia" w:hAnsi="Times New Roman"/>
                    </w:rPr>
                    <w:t>海螺、实德、凤铝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10</w:t>
                  </w:r>
                </w:p>
              </w:tc>
              <w:tc>
                <w:tcPr>
                  <w:tcW w:w="1248" w:type="pct"/>
                  <w:vAlign w:val="center"/>
                </w:tcPr>
                <w:p>
                  <w:pPr>
                    <w:jc w:val="center"/>
                    <w:rPr>
                      <w:rFonts w:hAnsi="Times New Roman"/>
                    </w:rPr>
                  </w:pPr>
                  <w:r>
                    <w:rPr>
                      <w:rFonts w:hint="eastAsia" w:asciiTheme="minorEastAsia" w:hAnsiTheme="minorEastAsia"/>
                    </w:rPr>
                    <w:t>门锁五金</w:t>
                  </w:r>
                </w:p>
              </w:tc>
              <w:tc>
                <w:tcPr>
                  <w:tcW w:w="3356" w:type="pct"/>
                  <w:vAlign w:val="center"/>
                </w:tcPr>
                <w:p>
                  <w:pPr>
                    <w:rPr>
                      <w:rFonts w:hAnsi="Times New Roman"/>
                    </w:rPr>
                  </w:pPr>
                  <w:r>
                    <w:rPr>
                      <w:rFonts w:hint="eastAsia" w:asciiTheme="minorEastAsia" w:hAnsiTheme="minorEastAsia"/>
                    </w:rPr>
                    <w:t>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11</w:t>
                  </w:r>
                </w:p>
              </w:tc>
              <w:tc>
                <w:tcPr>
                  <w:tcW w:w="1248" w:type="pct"/>
                  <w:vAlign w:val="center"/>
                </w:tcPr>
                <w:p>
                  <w:pPr>
                    <w:jc w:val="center"/>
                    <w:rPr>
                      <w:rFonts w:asciiTheme="minorEastAsia" w:hAnsiTheme="minorEastAsia"/>
                    </w:rPr>
                  </w:pPr>
                  <w:r>
                    <w:rPr>
                      <w:rFonts w:hint="eastAsia" w:asciiTheme="minorEastAsia" w:hAnsiTheme="minorEastAsia"/>
                    </w:rPr>
                    <w:t>灯具</w:t>
                  </w:r>
                </w:p>
              </w:tc>
              <w:tc>
                <w:tcPr>
                  <w:tcW w:w="3356" w:type="pct"/>
                  <w:vAlign w:val="center"/>
                </w:tcPr>
                <w:p>
                  <w:pPr>
                    <w:rPr>
                      <w:rFonts w:asciiTheme="minorEastAsia" w:hAnsiTheme="minorEastAsia"/>
                    </w:rPr>
                  </w:pPr>
                  <w:r>
                    <w:rPr>
                      <w:rFonts w:hint="eastAsia" w:asciiTheme="minorEastAsia" w:hAnsiTheme="minorEastAsia"/>
                    </w:rPr>
                    <w:t>飞利浦、松下、三雄极光、欧普、</w:t>
                  </w:r>
                  <w:r>
                    <w:rPr>
                      <w:rFonts w:asciiTheme="minorEastAsia" w:hAnsiTheme="minorEastAsia"/>
                    </w:rPr>
                    <w:t>TCL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12</w:t>
                  </w:r>
                </w:p>
              </w:tc>
              <w:tc>
                <w:tcPr>
                  <w:tcW w:w="1248" w:type="pct"/>
                  <w:vAlign w:val="center"/>
                </w:tcPr>
                <w:p>
                  <w:pPr>
                    <w:jc w:val="center"/>
                    <w:rPr>
                      <w:rFonts w:hAnsi="Times New Roman"/>
                    </w:rPr>
                  </w:pPr>
                  <w:r>
                    <w:rPr>
                      <w:rFonts w:hint="eastAsia" w:hAnsi="Times New Roman"/>
                    </w:rPr>
                    <w:t>电线、电缆</w:t>
                  </w:r>
                </w:p>
              </w:tc>
              <w:tc>
                <w:tcPr>
                  <w:tcW w:w="3356" w:type="pct"/>
                  <w:vAlign w:val="center"/>
                </w:tcPr>
                <w:p>
                  <w:pPr>
                    <w:jc w:val="left"/>
                    <w:rPr>
                      <w:rFonts w:asciiTheme="minorEastAsia" w:hAnsiTheme="minorEastAsia"/>
                    </w:rPr>
                  </w:pPr>
                  <w:r>
                    <w:rPr>
                      <w:rFonts w:hint="eastAsia" w:asciiTheme="minorEastAsia" w:hAnsiTheme="minorEastAsia"/>
                    </w:rPr>
                    <w:t>亨通光电、广东长江（南光牌）、金龙羽、新威讯、奔达康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13</w:t>
                  </w:r>
                </w:p>
              </w:tc>
              <w:tc>
                <w:tcPr>
                  <w:tcW w:w="1248" w:type="pct"/>
                  <w:vAlign w:val="center"/>
                </w:tcPr>
                <w:p>
                  <w:pPr>
                    <w:jc w:val="center"/>
                    <w:rPr>
                      <w:rFonts w:asciiTheme="minorEastAsia" w:hAnsiTheme="minorEastAsia"/>
                    </w:rPr>
                  </w:pPr>
                  <w:r>
                    <w:rPr>
                      <w:rFonts w:hint="eastAsia" w:asciiTheme="minorEastAsia" w:hAnsiTheme="minorEastAsia"/>
                    </w:rPr>
                    <w:t>三箱</w:t>
                  </w:r>
                </w:p>
              </w:tc>
              <w:tc>
                <w:tcPr>
                  <w:tcW w:w="3356" w:type="pct"/>
                  <w:vAlign w:val="center"/>
                </w:tcPr>
                <w:p>
                  <w:pPr>
                    <w:rPr>
                      <w:rFonts w:asciiTheme="minorEastAsia" w:hAnsiTheme="minorEastAsia"/>
                    </w:rPr>
                  </w:pPr>
                  <w:r>
                    <w:rPr>
                      <w:rFonts w:hint="eastAsia" w:cs="宋体" w:asciiTheme="minorEastAsia" w:hAnsiTheme="minorEastAsia"/>
                    </w:rPr>
                    <w:t>广州白云、泰豪科技、任达、亚洲电力、新会电控、人民电器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14</w:t>
                  </w:r>
                </w:p>
              </w:tc>
              <w:tc>
                <w:tcPr>
                  <w:tcW w:w="1248" w:type="pct"/>
                  <w:vAlign w:val="center"/>
                </w:tcPr>
                <w:p>
                  <w:pPr>
                    <w:jc w:val="center"/>
                    <w:rPr>
                      <w:rFonts w:asciiTheme="minorEastAsia" w:hAnsiTheme="minorEastAsia"/>
                    </w:rPr>
                  </w:pPr>
                  <w:r>
                    <w:rPr>
                      <w:rFonts w:hint="eastAsia" w:asciiTheme="minorEastAsia" w:hAnsiTheme="minorEastAsia"/>
                    </w:rPr>
                    <w:t>断路器</w:t>
                  </w:r>
                </w:p>
              </w:tc>
              <w:tc>
                <w:tcPr>
                  <w:tcW w:w="3356" w:type="pct"/>
                  <w:vAlign w:val="center"/>
                </w:tcPr>
                <w:p>
                  <w:pPr>
                    <w:rPr>
                      <w:rFonts w:asciiTheme="minorEastAsia" w:hAnsiTheme="minorEastAsia"/>
                    </w:rPr>
                  </w:pPr>
                  <w:r>
                    <w:rPr>
                      <w:rFonts w:hint="eastAsia" w:asciiTheme="minorEastAsia" w:hAnsiTheme="minorEastAsia"/>
                    </w:rPr>
                    <w:t>西门子、ABB、施耐德、德力西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15</w:t>
                  </w:r>
                </w:p>
              </w:tc>
              <w:tc>
                <w:tcPr>
                  <w:tcW w:w="1248" w:type="pct"/>
                  <w:vAlign w:val="center"/>
                </w:tcPr>
                <w:p>
                  <w:pPr>
                    <w:jc w:val="center"/>
                    <w:rPr>
                      <w:rFonts w:asciiTheme="minorEastAsia" w:hAnsiTheme="minorEastAsia"/>
                    </w:rPr>
                  </w:pPr>
                  <w:r>
                    <w:rPr>
                      <w:rFonts w:hint="eastAsia" w:asciiTheme="minorEastAsia" w:hAnsiTheme="minorEastAsia"/>
                    </w:rPr>
                    <w:t>稳压器</w:t>
                  </w:r>
                </w:p>
              </w:tc>
              <w:tc>
                <w:tcPr>
                  <w:tcW w:w="3356" w:type="pct"/>
                  <w:vAlign w:val="center"/>
                </w:tcPr>
                <w:p>
                  <w:pPr>
                    <w:rPr>
                      <w:rFonts w:asciiTheme="minorEastAsia" w:hAnsiTheme="minorEastAsia"/>
                    </w:rPr>
                  </w:pPr>
                  <w:r>
                    <w:rPr>
                      <w:rFonts w:hint="eastAsia" w:asciiTheme="minorEastAsia" w:hAnsiTheme="minorEastAsia"/>
                    </w:rPr>
                    <w:t>德力西、ABB、正泰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16</w:t>
                  </w:r>
                </w:p>
              </w:tc>
              <w:tc>
                <w:tcPr>
                  <w:tcW w:w="1248" w:type="pct"/>
                  <w:vAlign w:val="center"/>
                </w:tcPr>
                <w:p>
                  <w:pPr>
                    <w:jc w:val="center"/>
                    <w:rPr>
                      <w:rFonts w:asciiTheme="minorEastAsia" w:hAnsiTheme="minorEastAsia"/>
                    </w:rPr>
                  </w:pPr>
                  <w:r>
                    <w:rPr>
                      <w:rFonts w:hint="eastAsia" w:asciiTheme="minorEastAsia" w:hAnsiTheme="minorEastAsia"/>
                    </w:rPr>
                    <w:t>开关插座</w:t>
                  </w:r>
                </w:p>
              </w:tc>
              <w:tc>
                <w:tcPr>
                  <w:tcW w:w="3356" w:type="pct"/>
                  <w:vAlign w:val="center"/>
                </w:tcPr>
                <w:p>
                  <w:pPr>
                    <w:rPr>
                      <w:rFonts w:asciiTheme="minorEastAsia" w:hAnsiTheme="minorEastAsia"/>
                    </w:rPr>
                  </w:pPr>
                  <w:r>
                    <w:rPr>
                      <w:rFonts w:hint="eastAsia" w:asciiTheme="minorEastAsia" w:hAnsiTheme="minorEastAsia"/>
                    </w:rPr>
                    <w:t>施耐德、公牛、ABB、德力西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17</w:t>
                  </w:r>
                </w:p>
              </w:tc>
              <w:tc>
                <w:tcPr>
                  <w:tcW w:w="1248" w:type="pct"/>
                  <w:vAlign w:val="center"/>
                </w:tcPr>
                <w:p>
                  <w:pPr>
                    <w:jc w:val="center"/>
                    <w:rPr>
                      <w:rFonts w:asciiTheme="minorEastAsia" w:hAnsiTheme="minorEastAsia"/>
                    </w:rPr>
                  </w:pPr>
                  <w:r>
                    <w:rPr>
                      <w:rFonts w:hint="eastAsia" w:asciiTheme="minorEastAsia" w:hAnsiTheme="minorEastAsia"/>
                    </w:rPr>
                    <w:t>洁具</w:t>
                  </w:r>
                </w:p>
              </w:tc>
              <w:tc>
                <w:tcPr>
                  <w:tcW w:w="3356" w:type="pct"/>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硅钙板天花</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安雅达、美穗、云中龙、绿意雅、格林森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石膏板</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杰森、可耐福、博罗拉法基、北新龙牌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22</w:t>
                  </w:r>
                </w:p>
              </w:tc>
              <w:tc>
                <w:tcPr>
                  <w:tcW w:w="1248" w:type="pct"/>
                  <w:vAlign w:val="center"/>
                </w:tcPr>
                <w:p>
                  <w:pPr>
                    <w:jc w:val="center"/>
                    <w:rPr>
                      <w:rFonts w:asciiTheme="minorEastAsia" w:hAnsiTheme="minorEastAsia"/>
                    </w:rPr>
                  </w:pPr>
                  <w:r>
                    <w:rPr>
                      <w:rFonts w:hint="eastAsia" w:asciiTheme="minorEastAsia" w:hAnsiTheme="minorEastAsia"/>
                    </w:rPr>
                    <w:t>铝板天花</w:t>
                  </w:r>
                </w:p>
              </w:tc>
              <w:tc>
                <w:tcPr>
                  <w:tcW w:w="3356" w:type="pct"/>
                  <w:vAlign w:val="center"/>
                </w:tcPr>
                <w:p>
                  <w:pPr>
                    <w:jc w:val="left"/>
                    <w:rPr>
                      <w:rFonts w:asciiTheme="minorEastAsia" w:hAnsiTheme="minorEastAsia"/>
                    </w:rPr>
                  </w:pPr>
                  <w:r>
                    <w:rPr>
                      <w:rFonts w:hint="eastAsia" w:asciiTheme="minorEastAsia" w:hAnsiTheme="minorEastAsia"/>
                    </w:rPr>
                    <w:t>乐思龙、至高</w:t>
                  </w:r>
                  <w:r>
                    <w:rPr>
                      <w:rFonts w:asciiTheme="minorEastAsia" w:hAnsiTheme="minorEastAsia"/>
                    </w:rPr>
                    <w:t>®</w:t>
                  </w:r>
                  <w:r>
                    <w:rPr>
                      <w:rFonts w:hint="eastAsia" w:asciiTheme="minorEastAsia" w:hAnsiTheme="minorEastAsia"/>
                    </w:rPr>
                    <w:t>、拓普泰德、金霸</w:t>
                  </w:r>
                  <w:r>
                    <w:rPr>
                      <w:rFonts w:asciiTheme="minorEastAsia" w:hAnsiTheme="minorEastAsia"/>
                    </w:rPr>
                    <w:t>Gks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23</w:t>
                  </w:r>
                </w:p>
              </w:tc>
              <w:tc>
                <w:tcPr>
                  <w:tcW w:w="1248" w:type="pct"/>
                  <w:vAlign w:val="center"/>
                </w:tcPr>
                <w:p>
                  <w:pPr>
                    <w:jc w:val="center"/>
                    <w:rPr>
                      <w:rFonts w:asciiTheme="minorEastAsia" w:hAnsiTheme="minorEastAsia"/>
                    </w:rPr>
                  </w:pPr>
                  <w:r>
                    <w:rPr>
                      <w:rFonts w:hint="eastAsia" w:asciiTheme="minorEastAsia" w:hAnsiTheme="minorEastAsia"/>
                    </w:rPr>
                    <w:t>建筑用铝单板</w:t>
                  </w:r>
                </w:p>
              </w:tc>
              <w:tc>
                <w:tcPr>
                  <w:tcW w:w="3356" w:type="pct"/>
                  <w:vAlign w:val="center"/>
                </w:tcPr>
                <w:p>
                  <w:pPr>
                    <w:rPr>
                      <w:rFonts w:asciiTheme="minorEastAsia" w:hAnsiTheme="minorEastAsia"/>
                    </w:rPr>
                  </w:pPr>
                  <w:r>
                    <w:rPr>
                      <w:rFonts w:hint="eastAsia" w:asciiTheme="minorEastAsia" w:hAnsiTheme="minorEastAsia"/>
                    </w:rPr>
                    <w:t>方大、</w:t>
                  </w:r>
                  <w:r>
                    <w:rPr>
                      <w:rFonts w:hint="eastAsia" w:ascii="宋体" w:hAnsi="宋体" w:eastAsia="宋体"/>
                    </w:rPr>
                    <w:t>金霸</w:t>
                  </w:r>
                  <w:r>
                    <w:rPr>
                      <w:rFonts w:hint="eastAsia" w:asciiTheme="minorEastAsia" w:hAnsiTheme="minorEastAsia"/>
                    </w:rPr>
                    <w:t>、</w:t>
                  </w:r>
                  <w:r>
                    <w:rPr>
                      <w:rFonts w:hint="eastAsia" w:ascii="宋体" w:hAnsi="宋体" w:eastAsia="宋体"/>
                    </w:rPr>
                    <w:t>乐思龙</w:t>
                  </w:r>
                  <w:r>
                    <w:rPr>
                      <w:rFonts w:hint="eastAsia" w:asciiTheme="minorEastAsia" w:hAnsiTheme="minorEastAsia"/>
                    </w:rPr>
                    <w:t>、</w:t>
                  </w:r>
                  <w:r>
                    <w:rPr>
                      <w:rFonts w:hint="eastAsia" w:ascii="宋体" w:hAnsi="宋体" w:eastAsia="宋体"/>
                    </w:rPr>
                    <w:t>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24</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橡胶地板（均质卷材）</w:t>
                  </w:r>
                </w:p>
              </w:tc>
              <w:tc>
                <w:tcPr>
                  <w:tcW w:w="3356" w:type="pct"/>
                  <w:vAlign w:val="center"/>
                </w:tcPr>
                <w:p>
                  <w:pPr>
                    <w:jc w:val="left"/>
                    <w:rPr>
                      <w:rFonts w:asciiTheme="minorEastAsia" w:hAnsiTheme="minorEastAsia"/>
                    </w:rPr>
                  </w:pPr>
                  <w:r>
                    <w:rPr>
                      <w:rFonts w:hint="eastAsia" w:asciiTheme="minorEastAsia" w:hAnsiTheme="minorEastAsia"/>
                    </w:rPr>
                    <w:t>德国诺拉Nora、意大利盟多Mondo、意大利Artigo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25</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Low-E玻璃</w:t>
                  </w:r>
                </w:p>
              </w:tc>
              <w:tc>
                <w:tcPr>
                  <w:tcW w:w="3356" w:type="pct"/>
                  <w:vAlign w:val="center"/>
                </w:tcPr>
                <w:p>
                  <w:pPr>
                    <w:jc w:val="left"/>
                    <w:rPr>
                      <w:rFonts w:asciiTheme="minorEastAsia" w:hAnsiTheme="minorEastAsia"/>
                    </w:rPr>
                  </w:pPr>
                  <w:r>
                    <w:rPr>
                      <w:rFonts w:hint="eastAsia" w:asciiTheme="minorEastAsia" w:hAnsiTheme="minorEastAsia"/>
                    </w:rPr>
                    <w:t>南玻、信义、耀皮玻璃、格兰特、中航特玻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26</w:t>
                  </w:r>
                </w:p>
              </w:tc>
              <w:tc>
                <w:tcPr>
                  <w:tcW w:w="1248" w:type="pct"/>
                  <w:vAlign w:val="center"/>
                </w:tcPr>
                <w:p>
                  <w:pPr>
                    <w:jc w:val="center"/>
                    <w:rPr>
                      <w:rFonts w:ascii="宋体"/>
                    </w:rPr>
                  </w:pPr>
                  <w:r>
                    <w:rPr>
                      <w:rFonts w:hint="eastAsia" w:hAnsi="Times New Roman"/>
                    </w:rPr>
                    <w:t>PVC线管、线槽</w:t>
                  </w:r>
                </w:p>
              </w:tc>
              <w:tc>
                <w:tcPr>
                  <w:tcW w:w="3356" w:type="pct"/>
                  <w:vAlign w:val="center"/>
                </w:tcPr>
                <w:p>
                  <w:pPr>
                    <w:rPr>
                      <w:rFonts w:hAnsi="Times New Roman"/>
                    </w:rPr>
                  </w:pPr>
                  <w:r>
                    <w:rPr>
                      <w:rFonts w:hint="eastAsia" w:ascii="宋体"/>
                    </w:rPr>
                    <w:t>宝狮、顾地、南塑、联塑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27</w:t>
                  </w:r>
                </w:p>
              </w:tc>
              <w:tc>
                <w:tcPr>
                  <w:tcW w:w="1248" w:type="pct"/>
                  <w:vAlign w:val="center"/>
                </w:tcPr>
                <w:p>
                  <w:pPr>
                    <w:jc w:val="center"/>
                    <w:rPr>
                      <w:rFonts w:ascii="宋体"/>
                    </w:rPr>
                  </w:pPr>
                  <w:r>
                    <w:rPr>
                      <w:rFonts w:hint="eastAsia" w:hAnsi="Times New Roman"/>
                    </w:rPr>
                    <w:t>热镀锌导线管</w:t>
                  </w:r>
                </w:p>
              </w:tc>
              <w:tc>
                <w:tcPr>
                  <w:tcW w:w="3356" w:type="pct"/>
                  <w:vAlign w:val="center"/>
                </w:tcPr>
                <w:p>
                  <w:pPr>
                    <w:rPr>
                      <w:rFonts w:hAnsi="Times New Roman"/>
                    </w:rPr>
                  </w:pPr>
                  <w:r>
                    <w:rPr>
                      <w:rFonts w:hint="eastAsia" w:ascii="宋体"/>
                    </w:rPr>
                    <w:t>广州文兴、番禺天虹、中山华通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28</w:t>
                  </w:r>
                </w:p>
              </w:tc>
              <w:tc>
                <w:tcPr>
                  <w:tcW w:w="1248" w:type="pct"/>
                  <w:vAlign w:val="center"/>
                </w:tcPr>
                <w:p>
                  <w:pPr>
                    <w:spacing w:line="240" w:lineRule="atLeast"/>
                    <w:jc w:val="center"/>
                    <w:rPr>
                      <w:rFonts w:cs="宋体" w:asciiTheme="minorEastAsia" w:hAnsiTheme="minorEastAsia"/>
                    </w:rPr>
                  </w:pPr>
                  <w:r>
                    <w:rPr>
                      <w:rFonts w:hint="eastAsia" w:cs="宋体" w:asciiTheme="minorEastAsia" w:hAnsiTheme="minorEastAsia"/>
                    </w:rPr>
                    <w:t>墙面氟碳涂料</w:t>
                  </w:r>
                </w:p>
              </w:tc>
              <w:tc>
                <w:tcPr>
                  <w:tcW w:w="3356" w:type="pct"/>
                  <w:vAlign w:val="center"/>
                </w:tcPr>
                <w:p>
                  <w:pPr>
                    <w:spacing w:line="240" w:lineRule="atLeast"/>
                    <w:jc w:val="left"/>
                    <w:rPr>
                      <w:rFonts w:cs="宋体" w:asciiTheme="minorEastAsia" w:hAnsiTheme="minorEastAsia"/>
                    </w:rPr>
                  </w:pPr>
                  <w:r>
                    <w:rPr>
                      <w:rFonts w:hint="eastAsia" w:cs="宋体" w:asciiTheme="minorEastAsia" w:hAnsiTheme="minorEastAsia"/>
                    </w:rPr>
                    <w:t>多乐士、嘉宝莉、SKK、嘉达、菊花、明远、美涂士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29</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地弹簧</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30</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闭门器</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盖泽、多玛、亚萨合莱、茵科、史丹利、英格索兰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31</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幕墙开启扇、铝合金及塑钢门窗五金</w:t>
                  </w:r>
                </w:p>
              </w:tc>
              <w:tc>
                <w:tcPr>
                  <w:tcW w:w="3356" w:type="pct"/>
                  <w:vAlign w:val="center"/>
                </w:tcPr>
                <w:p>
                  <w:pPr>
                    <w:adjustRightInd w:val="0"/>
                    <w:snapToGrid w:val="0"/>
                    <w:jc w:val="left"/>
                    <w:rPr>
                      <w:rFonts w:asciiTheme="minorEastAsia" w:hAnsiTheme="minorEastAsia"/>
                    </w:rPr>
                  </w:pPr>
                  <w:r>
                    <w:rPr>
                      <w:rFonts w:hint="eastAsia" w:asciiTheme="minorEastAsia" w:hAnsiTheme="minorEastAsia"/>
                    </w:rPr>
                    <w:t>诺托、萨威奥、格屋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396" w:type="pct"/>
                  <w:vAlign w:val="center"/>
                </w:tcPr>
                <w:p>
                  <w:pPr>
                    <w:spacing w:line="400" w:lineRule="exact"/>
                    <w:jc w:val="center"/>
                    <w:rPr>
                      <w:rFonts w:ascii="宋体" w:hAnsi="宋体" w:cs="宋体"/>
                    </w:rPr>
                  </w:pPr>
                  <w:r>
                    <w:rPr>
                      <w:rFonts w:hint="eastAsia" w:ascii="宋体" w:hAnsi="宋体" w:cs="宋体"/>
                    </w:rPr>
                    <w:t>32</w:t>
                  </w:r>
                </w:p>
              </w:tc>
              <w:tc>
                <w:tcPr>
                  <w:tcW w:w="1248" w:type="pct"/>
                  <w:vAlign w:val="center"/>
                </w:tcPr>
                <w:p>
                  <w:pPr>
                    <w:adjustRightInd w:val="0"/>
                    <w:snapToGrid w:val="0"/>
                    <w:jc w:val="center"/>
                    <w:rPr>
                      <w:rFonts w:asciiTheme="minorEastAsia" w:hAnsiTheme="minorEastAsia"/>
                    </w:rPr>
                  </w:pPr>
                  <w:r>
                    <w:rPr>
                      <w:rFonts w:hint="eastAsia" w:asciiTheme="minorEastAsia" w:hAnsiTheme="minorEastAsia"/>
                    </w:rPr>
                    <w:t>硅酮密封胶</w:t>
                  </w:r>
                </w:p>
              </w:tc>
              <w:tc>
                <w:tcPr>
                  <w:tcW w:w="3356" w:type="pct"/>
                  <w:vAlign w:val="center"/>
                </w:tcPr>
                <w:p>
                  <w:pPr>
                    <w:jc w:val="left"/>
                    <w:rPr>
                      <w:rFonts w:asciiTheme="minorEastAsia" w:hAnsiTheme="minorEastAsia"/>
                    </w:rPr>
                  </w:pPr>
                  <w:r>
                    <w:rPr>
                      <w:rFonts w:hint="eastAsia" w:asciiTheme="minorEastAsia" w:hAnsiTheme="minorEastAsia"/>
                    </w:rPr>
                    <w:t>道康宁、郑州中原、成都硅宝、白云、金鼠</w:t>
                  </w:r>
                </w:p>
              </w:tc>
            </w:tr>
          </w:tbl>
          <w:p>
            <w:pPr>
              <w:rPr>
                <w:rFonts w:asciiTheme="majorHAnsi" w:hAnsiTheme="majorHAnsi" w:eastAsiaTheme="majorEastAsia" w:cstheme="majorBidi"/>
                <w:b/>
                <w:sz w:val="28"/>
                <w:szCs w:val="28"/>
              </w:rPr>
            </w:pPr>
          </w:p>
          <w:p>
            <w:pPr>
              <w:rPr>
                <w:rFonts w:asciiTheme="majorHAnsi" w:hAnsiTheme="majorHAnsi" w:eastAsiaTheme="majorEastAsia" w:cstheme="majorBidi"/>
                <w:b/>
                <w:sz w:val="28"/>
                <w:szCs w:val="28"/>
              </w:rPr>
            </w:pPr>
            <w:r>
              <w:rPr>
                <w:rFonts w:hint="eastAsia" w:asciiTheme="majorHAnsi" w:hAnsiTheme="majorHAnsi" w:eastAsiaTheme="majorEastAsia" w:cstheme="majorBidi"/>
                <w:b/>
                <w:sz w:val="28"/>
                <w:szCs w:val="28"/>
              </w:rPr>
              <w:t>给排水强、弱电等设备参考品牌库</w:t>
            </w:r>
          </w:p>
          <w:tbl>
            <w:tblPr>
              <w:tblStyle w:val="25"/>
              <w:tblpPr w:leftFromText="180" w:rightFromText="180" w:vertAnchor="text" w:tblpY="1"/>
              <w:tblOverlap w:val="never"/>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2860"/>
              <w:gridCol w:w="61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ascii="微软雅黑" w:hAnsi="微软雅黑" w:eastAsia="微软雅黑" w:cs="微软雅黑"/>
                      <w:b/>
                    </w:rPr>
                    <w:t>编号</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b/>
                    </w:rPr>
                  </w:pPr>
                  <w:r>
                    <w:rPr>
                      <w:rFonts w:hint="eastAsia" w:ascii="微软雅黑" w:hAnsi="微软雅黑" w:eastAsia="微软雅黑" w:cs="微软雅黑"/>
                      <w:b/>
                    </w:rPr>
                    <w:t>材料设备品种</w:t>
                  </w:r>
                </w:p>
              </w:tc>
              <w:tc>
                <w:tcPr>
                  <w:tcW w:w="3133"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b/>
                    </w:rPr>
                  </w:pPr>
                  <w:r>
                    <w:rPr>
                      <w:rFonts w:hint="eastAsia" w:ascii="微软雅黑" w:hAnsi="微软雅黑" w:eastAsia="微软雅黑" w:cs="微软雅黑"/>
                      <w:b/>
                    </w:rPr>
                    <w:t>参考品牌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PVC-U给、排水管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PP-R给水管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宋体"/>
                    </w:rPr>
                  </w:pPr>
                  <w:r>
                    <w:rPr>
                      <w:rFonts w:hint="eastAsia" w:asciiTheme="minorEastAsia" w:hAnsiTheme="minorEastAsia"/>
                    </w:rPr>
                    <w:t>科勒、TOTO、</w:t>
                  </w:r>
                  <w:r>
                    <w:rPr>
                      <w:rFonts w:hint="eastAsia" w:ascii="宋体"/>
                    </w:rPr>
                    <w:t>美标、箭牌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阀门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沃茨、上海冠龙、科勒、联塑、艾美珂、永泉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常规灯具</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飞利浦、松下、索恩、三雄极光、欧普、佛山照明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三箱</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cs="宋体" w:asciiTheme="minorEastAsia" w:hAnsiTheme="minorEastAsia"/>
                    </w:rPr>
                    <w:t>广州白云、泰豪科技、任达、亚洲电力、盛辉电气、人民电器、新会电控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断路器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西门子、ABB、施耐德、德力西、正泰、人民电器、利虹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稳压器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德力西、ABB、正泰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电路元件(含开关、插座、排插、时控器)</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施耐德、公牛、ABB、德力西、西门子、松本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w:t>
                  </w:r>
                </w:p>
              </w:tc>
              <w:tc>
                <w:tcPr>
                  <w:tcW w:w="1466" w:type="pct"/>
                  <w:tcBorders>
                    <w:top w:val="outset" w:color="auto" w:sz="6" w:space="0"/>
                    <w:left w:val="outset" w:color="auto" w:sz="6" w:space="0"/>
                    <w:right w:val="outset" w:color="auto" w:sz="6" w:space="0"/>
                  </w:tcBorders>
                  <w:vAlign w:val="center"/>
                </w:tcPr>
                <w:p>
                  <w:pPr>
                    <w:jc w:val="center"/>
                    <w:rPr>
                      <w:rFonts w:asciiTheme="minorEastAsia" w:hAnsiTheme="minorEastAsia"/>
                    </w:rPr>
                  </w:pPr>
                  <w:r>
                    <w:rPr>
                      <w:rFonts w:hint="eastAsia" w:asciiTheme="minorEastAsia" w:hAnsiTheme="minorEastAsia"/>
                    </w:rPr>
                    <w:t>排风扇</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hAnsi="Times New Roman"/>
                    </w:rPr>
                    <w:t>正野、松下、金羚、艾美特、九洲电器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11</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hAnsi="Times New Roman"/>
                    </w:rPr>
                    <w:t>电线、电缆</w:t>
                  </w:r>
                </w:p>
                <w:p>
                  <w:pPr>
                    <w:spacing w:line="240" w:lineRule="atLeast"/>
                    <w:jc w:val="center"/>
                    <w:rPr>
                      <w:rFonts w:asciiTheme="minorEastAsia" w:hAnsiTheme="minorEastAsia"/>
                    </w:rPr>
                  </w:pP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亨通光电、广东长江（南光牌）、金龙羽、新威讯、奔达康、深圳成天泰、金环宇、东佳信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高压柜</w:t>
                  </w:r>
                </w:p>
                <w:p>
                  <w:pPr>
                    <w:jc w:val="center"/>
                    <w:rPr>
                      <w:rFonts w:hAnsi="Times New Roman"/>
                    </w:rPr>
                  </w:pPr>
                  <w:r>
                    <w:rPr>
                      <w:rFonts w:hint="eastAsia" w:cs="宋体" w:asciiTheme="minorEastAsia" w:hAnsiTheme="minorEastAsia"/>
                    </w:rPr>
                    <w:t>（中置柜、环网柜）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西门子、ABB、GE、伊顿、施耐德、华通电气、恒通电力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13</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低压柜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ABB、GE、施耐德、伊顿、盛辉电气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14</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生活给水泵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15</w:t>
                  </w:r>
                </w:p>
              </w:tc>
              <w:tc>
                <w:tcPr>
                  <w:tcW w:w="1466" w:type="pct"/>
                  <w:tcBorders>
                    <w:top w:val="outset" w:color="auto" w:sz="6" w:space="0"/>
                    <w:left w:val="outset" w:color="auto" w:sz="6" w:space="0"/>
                    <w:right w:val="outset" w:color="auto" w:sz="6" w:space="0"/>
                  </w:tcBorders>
                  <w:vAlign w:val="center"/>
                </w:tcPr>
                <w:p>
                  <w:pPr>
                    <w:jc w:val="center"/>
                    <w:rPr>
                      <w:rFonts w:hAnsi="Times New Roman"/>
                    </w:rPr>
                  </w:pPr>
                  <w:r>
                    <w:rPr>
                      <w:rFonts w:hint="eastAsia" w:asciiTheme="minorEastAsia" w:hAnsiTheme="minorEastAsia"/>
                    </w:rPr>
                    <w:t>潜污泵、潜水泵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格兰富、广一、东方泵业、上海凯泉、南方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16</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钢塑复合管</w:t>
                  </w:r>
                </w:p>
              </w:tc>
              <w:tc>
                <w:tcPr>
                  <w:tcW w:w="3133" w:type="pct"/>
                  <w:tcBorders>
                    <w:top w:val="outset" w:color="auto" w:sz="6" w:space="0"/>
                    <w:left w:val="outset" w:color="auto" w:sz="6" w:space="0"/>
                    <w:bottom w:val="outset" w:color="auto" w:sz="6" w:space="0"/>
                    <w:right w:val="outset" w:color="auto" w:sz="6" w:space="0"/>
                  </w:tcBorders>
                  <w:vAlign w:val="center"/>
                </w:tcPr>
                <w:p>
                  <w:pPr>
                    <w:pStyle w:val="40"/>
                    <w:ind w:left="0"/>
                    <w:jc w:val="left"/>
                    <w:rPr>
                      <w:rFonts w:asciiTheme="minorEastAsia" w:hAnsiTheme="minorEastAsia" w:eastAsiaTheme="minorEastAsia"/>
                    </w:rPr>
                  </w:pPr>
                  <w:r>
                    <w:rPr>
                      <w:rFonts w:hint="eastAsia" w:asciiTheme="minorEastAsia" w:hAnsiTheme="minorEastAsia" w:eastAsiaTheme="minorEastAsia"/>
                    </w:rPr>
                    <w:t>泰丰侨、珠江、贝根、华通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17</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管材：热镀锌钢管、给水管、电线管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泰丰侨、珠江、银河、华通、宝武钢铁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18</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PE给水管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皇冠、日丰、联塑、深塑、伟星、东方五十年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19</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双壁波纹管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伟星、永高、雄塑、联塑、丰侨、华通、银河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20</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缠绕波纹管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宋体" w:hAnsi="宋体" w:cs="宋体"/>
                    </w:rPr>
                    <w:t>华瀚、枫叶、永高、纳川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21</w:t>
                  </w:r>
                </w:p>
              </w:tc>
              <w:tc>
                <w:tcPr>
                  <w:tcW w:w="1466" w:type="pct"/>
                  <w:tcBorders>
                    <w:top w:val="outset" w:color="auto" w:sz="6" w:space="0"/>
                    <w:left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虹吸排水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吉博力、泰宁、捷流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22</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双电源（</w:t>
                  </w:r>
                  <w:r>
                    <w:rPr>
                      <w:rFonts w:asciiTheme="minorEastAsia" w:hAnsiTheme="minorEastAsia"/>
                    </w:rPr>
                    <w:t>ATS</w:t>
                  </w:r>
                  <w:r>
                    <w:rPr>
                      <w:rFonts w:hint="eastAsia" w:asciiTheme="minorEastAsia" w:hAnsiTheme="minorEastAsia"/>
                    </w:rPr>
                    <w:t>）</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ASCO、GE 、施耐德（WOTPC/WBTPC系列）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23</w:t>
                  </w:r>
                </w:p>
              </w:tc>
              <w:tc>
                <w:tcPr>
                  <w:tcW w:w="1466" w:type="pct"/>
                  <w:tcBorders>
                    <w:top w:val="outset" w:color="auto" w:sz="6" w:space="0"/>
                    <w:left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智能照明</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asciiTheme="minorEastAsia" w:hAnsiTheme="minorEastAsia"/>
                    </w:rPr>
                    <w:t>ABB</w:t>
                  </w:r>
                  <w:r>
                    <w:rPr>
                      <w:rFonts w:hint="eastAsia" w:asciiTheme="minorEastAsia" w:hAnsiTheme="minorEastAsia"/>
                    </w:rPr>
                    <w:t>、施耐德（莫顿）、立维腾、邦奇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24</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发电机组</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asciiTheme="minorEastAsia" w:hAnsiTheme="minorEastAsia"/>
                    </w:rPr>
                  </w:pPr>
                  <w:r>
                    <w:rPr>
                      <w:rFonts w:hint="eastAsia" w:asciiTheme="minorEastAsia" w:hAnsiTheme="minorEastAsia"/>
                    </w:rPr>
                    <w:t>科勒、富电康、沃尔奔达、VPOWER（伟能）、科泰电源、东康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25</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LED灯</w:t>
                  </w:r>
                </w:p>
              </w:tc>
              <w:tc>
                <w:tcPr>
                  <w:tcW w:w="3133" w:type="pct"/>
                  <w:tcBorders>
                    <w:top w:val="outset" w:color="auto" w:sz="6" w:space="0"/>
                    <w:left w:val="outset" w:color="auto" w:sz="6" w:space="0"/>
                    <w:bottom w:val="outset" w:color="auto" w:sz="6" w:space="0"/>
                    <w:right w:val="outset" w:color="auto" w:sz="6" w:space="0"/>
                  </w:tcBorders>
                  <w:vAlign w:val="center"/>
                </w:tcPr>
                <w:p>
                  <w:pPr>
                    <w:adjustRightInd w:val="0"/>
                    <w:snapToGrid w:val="0"/>
                    <w:jc w:val="left"/>
                    <w:rPr>
                      <w:rFonts w:cs="宋体" w:asciiTheme="minorEastAsia" w:hAnsiTheme="minorEastAsia"/>
                    </w:rPr>
                  </w:pPr>
                  <w:r>
                    <w:rPr>
                      <w:rFonts w:hint="eastAsia" w:asciiTheme="minorEastAsia" w:hAnsiTheme="minorEastAsia"/>
                    </w:rPr>
                    <w:t>飞利浦、松下、三雄极光、欧普、佛山照明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26</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rPr>
                    <w:t>体育照明</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飞利浦、松下、MASCO、索恩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27</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普通路灯灯具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鹏万达、燎原、三乐、华体、高力特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28</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LED路灯灯具</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bCs/>
                    </w:rPr>
                  </w:pPr>
                  <w:r>
                    <w:rPr>
                      <w:rFonts w:hint="eastAsia" w:asciiTheme="minorEastAsia" w:hAnsiTheme="minorEastAsia"/>
                      <w:bCs/>
                    </w:rPr>
                    <w:t>燎原、勤上、三乐、邦贝尔、九洲光电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29</w:t>
                  </w:r>
                </w:p>
              </w:tc>
              <w:tc>
                <w:tcPr>
                  <w:tcW w:w="1466" w:type="pct"/>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rFonts w:asciiTheme="minorEastAsia" w:hAnsiTheme="minorEastAsia"/>
                    </w:rPr>
                  </w:pPr>
                  <w:r>
                    <w:rPr>
                      <w:rFonts w:hint="eastAsia" w:asciiTheme="minorEastAsia" w:hAnsiTheme="minorEastAsia"/>
                      <w:bCs/>
                    </w:rPr>
                    <w:t>路灯灯杆</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bCs/>
                    </w:rPr>
                    <w:t>维蒙特、燎原、宇龙、华体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火灾报警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江森、诺蒂菲尔、保得威尔、西门子、安舍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联动控制柜</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泛海三江、赋安、奥瑞那、北大青鸟、泰和安科技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电气火灾监控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中电、派诺、华力特、上海零线、华宇先锋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主机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施耐德、伊顿、</w:t>
                  </w:r>
                  <w:r>
                    <w:rPr>
                      <w:rFonts w:hint="eastAsia" w:ascii="Times New Roman" w:hAnsiTheme="minorEastAsia"/>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综合布线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德特威勒、康普、西蒙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电力监控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ABB</w:t>
                  </w:r>
                  <w:r>
                    <w:rPr>
                      <w:rFonts w:ascii="Times New Roman" w:hAnsiTheme="minorEastAsia"/>
                    </w:rPr>
                    <w:t>、施耐德、海亿达、华力特、中电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楼宇自控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西门子、施耐德、霍尼韦尔、索特、思博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门禁系统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霍尼韦尔、爱克信、</w:t>
                  </w:r>
                  <w:r>
                    <w:rPr>
                      <w:rFonts w:ascii="Times New Roman" w:hAnsi="Times New Roman"/>
                    </w:rPr>
                    <w:t>DDS、</w:t>
                  </w:r>
                  <w:r>
                    <w:rPr>
                      <w:rFonts w:ascii="Times New Roman" w:hAnsiTheme="minorEastAsia"/>
                    </w:rPr>
                    <w:t>英格索兰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停车场管理系统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红门、捷顺、博思高、创通智能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39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IP</w:t>
                  </w:r>
                  <w:r>
                    <w:rPr>
                      <w:rFonts w:ascii="Times New Roman" w:hAnsiTheme="minorEastAsia"/>
                    </w:rPr>
                    <w:t>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安讯士、博世、派尔高、霍尼韦尔、松下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40</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模拟摄像机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41</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磁盘阵列存储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hint="eastAsia" w:ascii="Times New Roman" w:hAnsiTheme="minorEastAsia"/>
                    </w:rPr>
                    <w:t>H3C(新华三)</w:t>
                  </w:r>
                  <w:r>
                    <w:rPr>
                      <w:rFonts w:ascii="Times New Roman" w:hAnsiTheme="minorEastAsia"/>
                    </w:rPr>
                    <w:t>、同有飞骥、博世、霍尼韦尔、华为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42</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硬盘录像机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海康威视、大华、金宏威、金三立、英飞拓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43</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博世、派尔高、霍尼韦尔、英飞拓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44</w:t>
                  </w:r>
                </w:p>
              </w:tc>
              <w:tc>
                <w:tcPr>
                  <w:tcW w:w="1466" w:type="pct"/>
                  <w:tcBorders>
                    <w:top w:val="outset" w:color="auto" w:sz="6" w:space="0"/>
                    <w:left w:val="outset" w:color="auto" w:sz="6" w:space="0"/>
                    <w:right w:val="outset" w:color="auto" w:sz="6" w:space="0"/>
                  </w:tcBorders>
                  <w:vAlign w:val="center"/>
                </w:tcPr>
                <w:p>
                  <w:pPr>
                    <w:jc w:val="center"/>
                    <w:rPr>
                      <w:rFonts w:ascii="Times New Roman" w:hAnsi="Times New Roman"/>
                    </w:rPr>
                  </w:pPr>
                  <w:r>
                    <w:rPr>
                      <w:rFonts w:ascii="Times New Roman" w:hAnsiTheme="minorEastAsia"/>
                    </w:rPr>
                    <w:t>光端机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派尔高、华为、中兴、英飞拓、洪迪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网络交换机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阿尔卡特、</w:t>
                  </w:r>
                  <w:r>
                    <w:rPr>
                      <w:rFonts w:hint="eastAsia" w:ascii="Times New Roman" w:hAnsiTheme="minorEastAsia"/>
                    </w:rPr>
                    <w:t>H3C(新华三)</w:t>
                  </w:r>
                  <w:r>
                    <w:rPr>
                      <w:rFonts w:ascii="Times New Roman" w:hAnsiTheme="minorEastAsia"/>
                    </w:rPr>
                    <w:t>、华为、中兴、锐捷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监视器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TCL</w:t>
                  </w:r>
                  <w:r>
                    <w:rPr>
                      <w:rFonts w:ascii="Times New Roman" w:hAnsiTheme="minorEastAsia"/>
                    </w:rPr>
                    <w:t>、创维、响石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背景音乐及消防广播</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TOA</w:t>
                  </w:r>
                  <w:r>
                    <w:rPr>
                      <w:rFonts w:ascii="Times New Roman" w:hAnsiTheme="minorEastAsia"/>
                    </w:rPr>
                    <w:t>、百威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防盗报警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霍尼韦尔、博世、迪信、艾礼富、枫叶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49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ascii="Times New Roman" w:hAnsi="Times New Roman"/>
                    </w:rPr>
                    <w:t>DIS</w:t>
                  </w:r>
                  <w:r>
                    <w:rPr>
                      <w:rFonts w:ascii="Times New Roman" w:hAnsiTheme="minorEastAsia"/>
                    </w:rPr>
                    <w:t>、贝拉、铁三角、索尼、</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音视频中控</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快思聪、</w:t>
                  </w:r>
                  <w:r>
                    <w:rPr>
                      <w:rFonts w:ascii="Times New Roman" w:hAnsi="Times New Roman"/>
                    </w:rPr>
                    <w:t>AMX</w:t>
                  </w:r>
                  <w:r>
                    <w:rPr>
                      <w:rFonts w:ascii="Times New Roman" w:hAnsiTheme="minorEastAsia"/>
                    </w:rPr>
                    <w:t>、</w:t>
                  </w:r>
                  <w:r>
                    <w:rPr>
                      <w:rFonts w:ascii="Times New Roman" w:hAnsi="Times New Roman"/>
                    </w:rPr>
                    <w:t>VITY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电线（弱电）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广东长江、亨通光电、联嘉祥、佳信、华亿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能耗监测</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中电、派诺、南京天溯、海亿达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护理呼叫</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安克曼、</w:t>
                  </w:r>
                  <w:r>
                    <w:rPr>
                      <w:rFonts w:ascii="Times New Roman" w:hAnsi="Times New Roman"/>
                    </w:rPr>
                    <w:t>Austco</w:t>
                  </w:r>
                  <w:r>
                    <w:rPr>
                      <w:rFonts w:ascii="Times New Roman" w:hAnsiTheme="minorEastAsia"/>
                    </w:rPr>
                    <w:t>阿斯科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编解码器及软件</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博世、</w:t>
                  </w:r>
                  <w:r>
                    <w:rPr>
                      <w:rFonts w:hint="eastAsia" w:ascii="Times New Roman" w:hAnsiTheme="minorEastAsia"/>
                    </w:rPr>
                    <w:t xml:space="preserve"> H3C(新华三)</w:t>
                  </w:r>
                  <w:r>
                    <w:rPr>
                      <w:rFonts w:ascii="Times New Roman" w:hAnsiTheme="minorEastAsia"/>
                    </w:rPr>
                    <w:t>、华为、霍尼韦尔、科达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防火墙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天融信、锐捷、蓝盾、华为、</w:t>
                  </w:r>
                  <w:r>
                    <w:rPr>
                      <w:rFonts w:hint="eastAsia" w:ascii="Times New Roman" w:hAnsiTheme="minorEastAsia"/>
                    </w:rPr>
                    <w:t>H3C（新华三）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服务器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IBM</w:t>
                  </w:r>
                  <w:r>
                    <w:rPr>
                      <w:rFonts w:ascii="Times New Roman" w:hAnsiTheme="minorEastAsia"/>
                    </w:rPr>
                    <w:t>、</w:t>
                  </w:r>
                  <w:r>
                    <w:rPr>
                      <w:rFonts w:hint="eastAsia" w:ascii="Times New Roman" w:hAnsiTheme="minorEastAsia"/>
                    </w:rPr>
                    <w:t>HPE（慧与）</w:t>
                  </w:r>
                  <w:r>
                    <w:rPr>
                      <w:rFonts w:ascii="Times New Roman" w:hAnsiTheme="minorEastAsia"/>
                    </w:rPr>
                    <w:t>、</w:t>
                  </w:r>
                  <w:r>
                    <w:rPr>
                      <w:rFonts w:hint="eastAsia" w:ascii="Times New Roman" w:hAnsi="Times New Roman"/>
                    </w:rPr>
                    <w:t>华为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imes New Roman"/>
                    </w:rPr>
                    <w:t>UPS</w:t>
                  </w:r>
                  <w:r>
                    <w:rPr>
                      <w:rFonts w:ascii="Times New Roman" w:hAnsiTheme="minorEastAsia"/>
                    </w:rPr>
                    <w:t>电池</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松下、阳光、大力神、汤浅、霍克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投影机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科视、</w:t>
                  </w:r>
                  <w:r>
                    <w:rPr>
                      <w:rFonts w:ascii="Times New Roman" w:hAnsi="Times New Roman"/>
                    </w:rPr>
                    <w:t>DP、</w:t>
                  </w:r>
                  <w:r>
                    <w:rPr>
                      <w:rFonts w:ascii="Times New Roman" w:hAnsiTheme="minorEastAsia"/>
                    </w:rPr>
                    <w:t>松下、索尼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59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音箱、扬声器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功放</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百威、普森、</w:t>
                  </w:r>
                  <w:r>
                    <w:rPr>
                      <w:rFonts w:ascii="Times New Roman" w:hAnsi="Times New Roman"/>
                    </w:rPr>
                    <w:t>JBL</w:t>
                  </w:r>
                  <w:r>
                    <w:rPr>
                      <w:rFonts w:ascii="Times New Roman" w:hAnsiTheme="minorEastAsia"/>
                    </w:rPr>
                    <w:t>、</w:t>
                  </w:r>
                  <w:r>
                    <w:rPr>
                      <w:rFonts w:ascii="Times New Roman" w:hAnsi="Times New Roman"/>
                    </w:rPr>
                    <w:t>EV</w:t>
                  </w:r>
                  <w:r>
                    <w:rPr>
                      <w:rFonts w:ascii="Times New Roman" w:hAnsiTheme="minorEastAsia"/>
                    </w:rPr>
                    <w:t>、博士、</w:t>
                  </w:r>
                  <w:r>
                    <w:rPr>
                      <w:rFonts w:ascii="Times New Roman" w:hAnsi="Times New Roman"/>
                    </w:rPr>
                    <w:t>D&amp;B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音频矩阵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百威、</w:t>
                  </w:r>
                  <w:r>
                    <w:rPr>
                      <w:rFonts w:ascii="Times New Roman" w:hAnsi="Times New Roman"/>
                    </w:rPr>
                    <w:t>EXTRON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调音台</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CrestAudio</w:t>
                  </w:r>
                  <w:r>
                    <w:rPr>
                      <w:rFonts w:ascii="Times New Roman" w:hAnsiTheme="minorEastAsia"/>
                    </w:rPr>
                    <w:t>、</w:t>
                  </w:r>
                  <w:r>
                    <w:rPr>
                      <w:rFonts w:ascii="Times New Roman" w:hAnsi="Times New Roman"/>
                    </w:rPr>
                    <w:t>A&amp;H</w:t>
                  </w:r>
                  <w:r>
                    <w:rPr>
                      <w:rFonts w:ascii="Times New Roman" w:hAnsiTheme="minorEastAsia"/>
                    </w:rPr>
                    <w:t>、</w:t>
                  </w:r>
                  <w:r>
                    <w:rPr>
                      <w:rFonts w:ascii="Times New Roman" w:hAnsi="Times New Roman"/>
                    </w:rPr>
                    <w:t>Midas</w:t>
                  </w:r>
                  <w:r>
                    <w:rPr>
                      <w:rFonts w:ascii="Times New Roman" w:hAnsiTheme="minorEastAsia"/>
                    </w:rPr>
                    <w:t>、雅马哈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浪涌保护器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imes New Roman"/>
                    </w:rPr>
                    <w:t>OBO</w:t>
                  </w:r>
                  <w:r>
                    <w:rPr>
                      <w:rFonts w:ascii="Times New Roman" w:hAnsiTheme="minorEastAsia"/>
                    </w:rPr>
                    <w:t>、</w:t>
                  </w:r>
                  <w:r>
                    <w:rPr>
                      <w:rFonts w:ascii="Times New Roman" w:hAnsi="Times New Roman"/>
                    </w:rPr>
                    <w:t>DEHN</w:t>
                  </w:r>
                  <w:r>
                    <w:rPr>
                      <w:rFonts w:ascii="Times New Roman" w:hAnsiTheme="minorEastAsia"/>
                    </w:rPr>
                    <w:t>、菲尼克斯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弱电系统集成</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霍尼韦尔、江森、新基点、协同、西门子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防静电地板</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沈飞、</w:t>
                  </w:r>
                  <w:r>
                    <w:rPr>
                      <w:rFonts w:hint="eastAsia" w:ascii="Times New Roman" w:hAnsiTheme="minorEastAsia"/>
                    </w:rPr>
                    <w:t>MERO（美露）</w:t>
                  </w:r>
                  <w:r>
                    <w:rPr>
                      <w:rFonts w:ascii="Times New Roman" w:hAnsiTheme="minorEastAsia"/>
                    </w:rPr>
                    <w:t>、华集、林德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视频会议系统</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宝利通、索尼、华为、中兴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rPr>
                  </w:pPr>
                  <w:r>
                    <w:rPr>
                      <w:rFonts w:ascii="Times New Roman" w:hAnsiTheme="minorEastAsia"/>
                    </w:rPr>
                    <w:t>会议高清摄像机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imes New Roman"/>
                    </w:rPr>
                  </w:pPr>
                  <w:r>
                    <w:rPr>
                      <w:rFonts w:ascii="Times New Roman" w:hAnsiTheme="minorEastAsia"/>
                    </w:rPr>
                    <w:t>索尼、松下、保凌、汉锐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LED显示屏</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imes New Roman" w:hAnsiTheme="minorEastAsia"/>
                    </w:rPr>
                  </w:pPr>
                  <w:r>
                    <w:rPr>
                      <w:rFonts w:hint="eastAsia" w:ascii="Times New Roman" w:hAnsiTheme="minorEastAsia"/>
                    </w:rPr>
                    <w:t>利亚德、海康威视、联建光电、三思、洲明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69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博山、双轮、熊猫、广一、东方泵业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消防水产品（喷头、水流指示器、湿式报警阀组、水泵接合器、信号阀）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广东胜捷、川消、唯特利、上海金盾、天广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消火栓箱</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香蜜湖、天广、集安、广东胜捷、桂安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气体灭火、灭火器</w:t>
                  </w:r>
                </w:p>
              </w:tc>
              <w:tc>
                <w:tcPr>
                  <w:tcW w:w="3133" w:type="pct"/>
                  <w:tcBorders>
                    <w:top w:val="outset" w:color="auto" w:sz="6" w:space="0"/>
                    <w:left w:val="outset" w:color="auto" w:sz="6" w:space="0"/>
                    <w:bottom w:val="outset" w:color="auto" w:sz="6" w:space="0"/>
                    <w:right w:val="outset" w:color="auto" w:sz="6" w:space="0"/>
                  </w:tcBorders>
                </w:tcPr>
                <w:p>
                  <w:pPr>
                    <w:spacing w:line="240" w:lineRule="atLeast"/>
                    <w:jc w:val="left"/>
                    <w:rPr>
                      <w:rFonts w:asciiTheme="minorEastAsia" w:hAnsiTheme="minorEastAsia"/>
                    </w:rPr>
                  </w:pPr>
                  <w:r>
                    <w:rPr>
                      <w:rFonts w:hint="eastAsia" w:asciiTheme="minorEastAsia" w:hAnsiTheme="minorEastAsia"/>
                    </w:rPr>
                    <w:t>广东胜捷、上海金盾、天盾、海烙、桂安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heme="minorEastAsia" w:hAnsiTheme="minorEastAsia"/>
                    </w:rPr>
                    <w:t>橡胶接头、不锈钢软接头器、不锈钢波纹补偿器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Theme="minorEastAsia" w:hAnsiTheme="minorEastAsia"/>
                    </w:rPr>
                    <w:t>九峰（原上海松江橡胶（欣昌））、北京首航、杭州万全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螺杆式冷水机组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顿汉布什、克莱门特、约克、麦克维尔、开利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离心式冷水机组</w:t>
                  </w:r>
                </w:p>
              </w:tc>
              <w:tc>
                <w:tcPr>
                  <w:tcW w:w="3133" w:type="pct"/>
                  <w:tcBorders>
                    <w:top w:val="outset" w:color="auto" w:sz="6" w:space="0"/>
                    <w:left w:val="outset" w:color="auto" w:sz="6" w:space="0"/>
                    <w:bottom w:val="outset" w:color="auto" w:sz="6" w:space="0"/>
                    <w:right w:val="outset" w:color="auto" w:sz="6" w:space="0"/>
                  </w:tcBorders>
                  <w:vAlign w:val="center"/>
                </w:tcPr>
                <w:p>
                  <w:pPr>
                    <w:spacing w:line="240" w:lineRule="atLeast"/>
                    <w:jc w:val="left"/>
                    <w:rPr>
                      <w:rFonts w:cs="宋体" w:asciiTheme="minorEastAsia" w:hAnsiTheme="minorEastAsia"/>
                    </w:rPr>
                  </w:pPr>
                  <w:r>
                    <w:rPr>
                      <w:rFonts w:hint="eastAsia" w:asciiTheme="minorEastAsia" w:hAnsiTheme="minorEastAsia"/>
                    </w:rPr>
                    <w:t>特灵、开利、顿汉布什、约克、日立、美的、格力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多联机组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大金、三菱电机、格力、美的、东芝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精密空调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asciiTheme="minorEastAsia" w:hAnsiTheme="minorEastAsia"/>
                    </w:rPr>
                    <w:t>维谛技术（VERTIV）</w:t>
                  </w:r>
                  <w:r>
                    <w:rPr>
                      <w:rFonts w:hint="eastAsia" w:asciiTheme="minorEastAsia" w:hAnsiTheme="minorEastAsia"/>
                    </w:rPr>
                    <w:t>（原 LIEBERT）、世图兹、美的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空调末端（空调机组、风机盘管、新风机组、恒温恒湿机）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特灵、爱科、麦克维尔、开利、约克、大金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79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分体空调</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格力、美的、海尔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风口风阀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妥思、贵庭、中航大记、龙电、耀安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板式换热器</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阿法拉伐、APV、艾克森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82</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风机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cs="宋体" w:asciiTheme="minorEastAsia" w:hAnsiTheme="minorEastAsia"/>
                    </w:rPr>
                    <w:t>科禄格、专风（上虞专用）、南泰（南方风机）、亿利达、英飞、金盾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83</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空调水泵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格兰富、赛莱默、威乐、荏原、艾蒙斯特朗、广源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84</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橡塑保温材料</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阿乐斯、凯门、杜肯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85</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86</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asciiTheme="minorEastAsia" w:hAnsiTheme="minorEastAsia"/>
                    </w:rPr>
                    <w:t>电动比例积分阀，压差旁通控制阀</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87</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静（动）态平衡阀、动态平衡电动调节（二通）阀</w:t>
                  </w:r>
                </w:p>
              </w:tc>
              <w:tc>
                <w:tcPr>
                  <w:tcW w:w="3133"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rPr>
                  </w:pPr>
                  <w:r>
                    <w:rPr>
                      <w:rFonts w:hint="eastAsia" w:asciiTheme="minorEastAsia" w:hAnsiTheme="minorEastAsia"/>
                    </w:rPr>
                    <w:t>施耐德、搏力谋、沃茨、艾西、欧文托普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88</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热回收装置（热回收式新风换气机）</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特灵、爱科、麦克维尔、开利、约克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89</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冷却塔</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BAC、荏原、新菱、良机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90</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洁净空调机组</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爱科（德国）、韦氏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91</w:t>
                  </w:r>
                </w:p>
              </w:tc>
              <w:tc>
                <w:tcPr>
                  <w:tcW w:w="1466"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heme="minorEastAsia" w:hAnsiTheme="minorEastAsia"/>
                    </w:rPr>
                  </w:pPr>
                  <w:r>
                    <w:rPr>
                      <w:rFonts w:hint="eastAsia" w:asciiTheme="minorEastAsia" w:hAnsiTheme="minorEastAsia"/>
                    </w:rPr>
                    <w:t>旋流风口、喷口</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Theme="minorEastAsia" w:hAnsiTheme="minorEastAsia"/>
                    </w:rPr>
                  </w:pPr>
                  <w:r>
                    <w:rPr>
                      <w:rFonts w:hint="eastAsia" w:asciiTheme="minorEastAsia" w:hAnsiTheme="minorEastAsia"/>
                    </w:rPr>
                    <w:t>妥思、开思拓、克南茨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92</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常规电池，</w:t>
                  </w:r>
                  <w:r>
                    <w:rPr>
                      <w:rFonts w:hint="eastAsia" w:ascii="Times New Roman" w:hAnsiTheme="minorEastAsia"/>
                    </w:rPr>
                    <w:t>UPS池、电池水</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南孚、超霸、山特、汤浅、松下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b/>
                    </w:rPr>
                  </w:pPr>
                  <w:r>
                    <w:rPr>
                      <w:rFonts w:hint="eastAsia" w:cs="宋体" w:asciiTheme="minorEastAsia" w:hAnsiTheme="minorEastAsia"/>
                    </w:rPr>
                    <w:t>93</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管道附件</w:t>
                  </w:r>
                  <w:r>
                    <w:rPr>
                      <w:rFonts w:hint="eastAsia" w:ascii="Times New Roman" w:hAnsiTheme="minorEastAsia"/>
                    </w:rPr>
                    <w:t>：水龙头、软管、直通、弯头、卡码、花洒、去水器、排水软管、卫浴用品、胶水、玻璃胶等）</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联塑、埃美柯、箭牌卫浴、欧宝斯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94</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弱电类：网线、电话线、水晶头、</w:t>
                  </w:r>
                  <w:r>
                    <w:rPr>
                      <w:rFonts w:hint="eastAsia" w:ascii="Times New Roman" w:hAnsiTheme="minorEastAsia"/>
                    </w:rPr>
                    <w:t>RVVP信号控制线、网线钳、网络沿线仪、交换机、压线帽、扎带</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山泽、绿联、飞利浦、中国普天、盛世长缨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95</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五金配件，工具用品</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史丹利、博士、霍夫曼、科麦斯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96</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制冷剂</w:t>
                  </w:r>
                  <w:r>
                    <w:rPr>
                      <w:rFonts w:hint="eastAsia" w:ascii="Times New Roman" w:hAnsiTheme="minorEastAsia"/>
                    </w:rPr>
                    <w:t>R22(13.6kg)、R134A(13.6kg)、R410A(10kg)</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巨化、冰龙、</w:t>
                  </w:r>
                  <w:r>
                    <w:rPr>
                      <w:rFonts w:hint="eastAsia" w:ascii="宋体" w:hAnsi="宋体" w:cs="宋体"/>
                    </w:rPr>
                    <w:t>OFS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97</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rPr>
                    <w:t>铜管</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宏泰、金阳、飞轮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98</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空调轧带、防晒黄色</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格力、塞米伊、博蒂诗、德力西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99</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空调消毒清洁剂</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家安、威露士、安速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100</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hint="eastAsia" w:ascii="Times New Roman" w:hAnsiTheme="minorEastAsia"/>
                      <w:sz w:val="18"/>
                      <w:szCs w:val="18"/>
                    </w:rPr>
                    <w:t>AC450V</w:t>
                  </w:r>
                  <w:r>
                    <w:rPr>
                      <w:rFonts w:hint="eastAsia" w:ascii="微软雅黑" w:hAnsi="微软雅黑" w:eastAsia="微软雅黑" w:cs="微软雅黑"/>
                      <w:sz w:val="18"/>
                      <w:szCs w:val="18"/>
                    </w:rPr>
                    <w:t>电容，</w:t>
                  </w:r>
                  <w:r>
                    <w:rPr>
                      <w:rFonts w:hint="eastAsia" w:ascii="Times New Roman" w:hAnsiTheme="minorEastAsia"/>
                      <w:sz w:val="18"/>
                      <w:szCs w:val="18"/>
                    </w:rPr>
                    <w:t>2.5</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4</w:t>
                  </w:r>
                  <w:r>
                    <w:rPr>
                      <w:rFonts w:hint="eastAsia" w:ascii="微软雅黑" w:hAnsi="微软雅黑" w:eastAsia="微软雅黑" w:cs="微软雅黑"/>
                      <w:sz w:val="18"/>
                      <w:szCs w:val="18"/>
                    </w:rPr>
                    <w:t>，</w:t>
                  </w:r>
                  <w:r>
                    <w:rPr>
                      <w:rFonts w:hint="eastAsia" w:ascii="Times New Roman" w:hAnsiTheme="minorEastAsia"/>
                      <w:sz w:val="18"/>
                      <w:szCs w:val="18"/>
                    </w:rPr>
                    <w:t>30</w:t>
                  </w:r>
                  <w:r>
                    <w:rPr>
                      <w:rFonts w:hint="eastAsia" w:ascii="微软雅黑" w:hAnsi="微软雅黑" w:eastAsia="微软雅黑" w:cs="微软雅黑"/>
                      <w:sz w:val="18"/>
                      <w:szCs w:val="18"/>
                    </w:rPr>
                    <w:t>，</w:t>
                  </w:r>
                  <w:r>
                    <w:rPr>
                      <w:rFonts w:hint="eastAsia" w:ascii="Times New Roman" w:hAnsiTheme="minorEastAsia"/>
                      <w:sz w:val="18"/>
                      <w:szCs w:val="18"/>
                    </w:rPr>
                    <w:t>35</w:t>
                  </w:r>
                  <w:r>
                    <w:rPr>
                      <w:rFonts w:hint="eastAsia" w:ascii="微软雅黑" w:hAnsi="微软雅黑" w:eastAsia="微软雅黑" w:cs="微软雅黑"/>
                      <w:sz w:val="18"/>
                      <w:szCs w:val="18"/>
                    </w:rPr>
                    <w:t>，</w:t>
                  </w:r>
                  <w:r>
                    <w:rPr>
                      <w:rFonts w:hint="eastAsia" w:ascii="Times New Roman" w:hAnsiTheme="minorEastAsia"/>
                      <w:sz w:val="18"/>
                      <w:szCs w:val="18"/>
                    </w:rPr>
                    <w:t>50</w:t>
                  </w:r>
                  <w:r>
                    <w:rPr>
                      <w:rFonts w:hint="eastAsia" w:ascii="微软雅黑" w:hAnsi="微软雅黑" w:eastAsia="微软雅黑" w:cs="微软雅黑"/>
                      <w:sz w:val="18"/>
                      <w:szCs w:val="18"/>
                    </w:rPr>
                    <w:t>，</w:t>
                  </w:r>
                  <w:r>
                    <w:rPr>
                      <w:rFonts w:hint="eastAsia" w:ascii="Times New Roman" w:hAnsiTheme="minorEastAsia"/>
                      <w:sz w:val="18"/>
                      <w:szCs w:val="18"/>
                    </w:rPr>
                    <w:t>60</w:t>
                  </w:r>
                  <w:r>
                    <w:rPr>
                      <w:rFonts w:hint="eastAsia" w:ascii="微软雅黑" w:hAnsi="微软雅黑" w:eastAsia="微软雅黑" w:cs="微软雅黑"/>
                      <w:sz w:val="18"/>
                      <w:szCs w:val="18"/>
                    </w:rPr>
                    <w:t>，</w:t>
                  </w:r>
                  <w:r>
                    <w:rPr>
                      <w:rFonts w:hint="eastAsia" w:ascii="Times New Roman" w:hAnsiTheme="minorEastAsia"/>
                    </w:rPr>
                    <w:t>70uf</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苏一、三洋、松下、三和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 w:hRule="atLeast"/>
              </w:trPr>
              <w:tc>
                <w:tcPr>
                  <w:tcW w:w="401" w:type="pct"/>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cs="宋体" w:asciiTheme="minorEastAsia" w:hAnsiTheme="minorEastAsia"/>
                    </w:rPr>
                  </w:pPr>
                  <w:r>
                    <w:rPr>
                      <w:rFonts w:hint="eastAsia" w:cs="宋体" w:asciiTheme="minorEastAsia" w:hAnsiTheme="minorEastAsia"/>
                    </w:rPr>
                    <w:t>101</w:t>
                  </w:r>
                </w:p>
              </w:tc>
              <w:tc>
                <w:tcPr>
                  <w:tcW w:w="1466" w:type="pct"/>
                  <w:tcBorders>
                    <w:top w:val="outset" w:color="auto" w:sz="6" w:space="0"/>
                    <w:left w:val="outset" w:color="auto" w:sz="6" w:space="0"/>
                    <w:bottom w:val="outset" w:color="auto" w:sz="6" w:space="0"/>
                    <w:right w:val="outset" w:color="auto" w:sz="6" w:space="0"/>
                  </w:tcBorders>
                  <w:vAlign w:val="center"/>
                </w:tcPr>
                <w:p>
                  <w:pPr>
                    <w:jc w:val="center"/>
                    <w:rPr>
                      <w:rFonts w:ascii="Times New Roman" w:hAnsiTheme="minorEastAsia"/>
                    </w:rPr>
                  </w:pPr>
                  <w:r>
                    <w:rPr>
                      <w:rFonts w:ascii="Times New Roman" w:hAnsiTheme="minorEastAsia"/>
                    </w:rPr>
                    <w:t>无负压水泵</w:t>
                  </w:r>
                </w:p>
              </w:tc>
              <w:tc>
                <w:tcPr>
                  <w:tcW w:w="3133" w:type="pct"/>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ascii="宋体" w:hAnsi="宋体" w:cs="宋体"/>
                    </w:rPr>
                    <w:t>三利、威派格、熊猫</w:t>
                  </w:r>
                </w:p>
              </w:tc>
            </w:tr>
          </w:tbl>
          <w:p>
            <w:pPr>
              <w:spacing w:line="360" w:lineRule="auto"/>
              <w:ind w:firstLine="420" w:firstLineChars="200"/>
              <w:rPr>
                <w:rFonts w:ascii="Times New Roman" w:hAnsi="Times New Roman" w:eastAsia="Times New Roman"/>
              </w:rPr>
            </w:pPr>
            <w:r>
              <w:rPr>
                <w:rFonts w:hint="eastAsia" w:ascii="微软雅黑" w:hAnsi="微软雅黑" w:eastAsia="微软雅黑" w:cs="微软雅黑"/>
                <w:b/>
              </w:rPr>
              <w:t>注：</w:t>
            </w:r>
            <w:r>
              <w:rPr>
                <w:rFonts w:hint="eastAsia" w:ascii="微软雅黑" w:hAnsi="微软雅黑" w:eastAsia="微软雅黑" w:cs="微软雅黑"/>
                <w:b/>
                <w:color w:val="FF0000"/>
              </w:rPr>
              <w:t>工程所用不锈钢材统一为</w:t>
            </w:r>
            <w:r>
              <w:rPr>
                <w:rFonts w:ascii="Times New Roman"/>
                <w:b/>
                <w:color w:val="FF0000"/>
              </w:rPr>
              <w:t>304</w:t>
            </w:r>
            <w:r>
              <w:rPr>
                <w:rFonts w:hint="eastAsia" w:ascii="微软雅黑" w:hAnsi="微软雅黑" w:eastAsia="微软雅黑" w:cs="微软雅黑"/>
                <w:b/>
                <w:color w:val="FF0000"/>
              </w:rPr>
              <w:t>不锈钢</w:t>
            </w:r>
            <w:r>
              <w:rPr>
                <w:rFonts w:hint="eastAsia" w:ascii="微软雅黑" w:hAnsi="微软雅黑" w:eastAsia="微软雅黑" w:cs="微软雅黑"/>
                <w:b/>
              </w:rPr>
              <w:t>，投标人所提供的主要材料的技术参数标准不得低于表中所列参考品牌的技术参数标准。</w:t>
            </w:r>
          </w:p>
          <w:p>
            <w:pPr>
              <w:spacing w:before="120" w:after="160"/>
              <w:jc w:val="left"/>
              <w:rPr>
                <w:rFonts w:ascii="仿宋" w:hAnsi="仿宋" w:eastAsia="仿宋"/>
                <w:color w:val="000000"/>
                <w:sz w:val="24"/>
                <w:szCs w:val="24"/>
              </w:rPr>
            </w:pPr>
          </w:p>
          <w:p>
            <w:pPr>
              <w:pStyle w:val="2"/>
            </w:pPr>
            <w:r>
              <w:t>十</w:t>
            </w:r>
            <w:r>
              <w:rPr>
                <w:rFonts w:hint="eastAsia"/>
              </w:rPr>
              <w:t>七</w:t>
            </w:r>
            <w:r>
              <w:t>、招标</w:t>
            </w:r>
            <w:r>
              <w:rPr>
                <w:rFonts w:hint="eastAsia"/>
              </w:rPr>
              <w:t>人</w:t>
            </w:r>
            <w:r>
              <w:t>会同采购人接受或拒绝任何投标或所有投标的权利</w:t>
            </w:r>
          </w:p>
          <w:p>
            <w:pPr>
              <w:spacing w:before="120" w:after="160"/>
              <w:jc w:val="left"/>
              <w:rPr>
                <w:rFonts w:ascii="仿宋" w:hAnsi="仿宋" w:eastAsia="仿宋"/>
                <w:color w:val="000000"/>
                <w:sz w:val="24"/>
                <w:szCs w:val="24"/>
              </w:rPr>
            </w:pPr>
            <w:r>
              <w:rPr>
                <w:rFonts w:ascii="仿宋" w:hAnsi="仿宋" w:eastAsia="仿宋"/>
                <w:color w:val="000000"/>
                <w:sz w:val="24"/>
                <w:szCs w:val="24"/>
              </w:rPr>
              <w:t>　　出现下列任何一种情形，招标代理人和采购人保留拒绝任何投标以及宣布招标程序无效的权力：</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出现影响采购公正的违法、违规行为的；</w:t>
            </w:r>
          </w:p>
          <w:p>
            <w:pPr>
              <w:pStyle w:val="40"/>
              <w:numPr>
                <w:ilvl w:val="0"/>
                <w:numId w:val="18"/>
              </w:numPr>
              <w:spacing w:before="120" w:after="160"/>
              <w:jc w:val="left"/>
              <w:rPr>
                <w:rFonts w:ascii="仿宋" w:hAnsi="仿宋" w:eastAsia="仿宋"/>
                <w:color w:val="FF0000"/>
                <w:sz w:val="24"/>
                <w:szCs w:val="24"/>
              </w:rPr>
            </w:pPr>
            <w:r>
              <w:rPr>
                <w:rFonts w:ascii="仿宋" w:hAnsi="仿宋" w:eastAsia="仿宋"/>
                <w:color w:val="FF0000"/>
                <w:sz w:val="24"/>
                <w:szCs w:val="24"/>
              </w:rPr>
              <w:t>因重大变故采购任务取消的。</w:t>
            </w:r>
          </w:p>
          <w:p>
            <w:pPr>
              <w:spacing w:before="120" w:after="160"/>
              <w:jc w:val="left"/>
              <w:rPr>
                <w:rFonts w:ascii="仿宋" w:hAnsi="仿宋" w:eastAsia="仿宋"/>
                <w:color w:val="000000"/>
                <w:sz w:val="24"/>
                <w:szCs w:val="24"/>
              </w:rPr>
            </w:pPr>
          </w:p>
          <w:p>
            <w:pPr>
              <w:pStyle w:val="2"/>
            </w:pPr>
            <w:r>
              <w:rPr>
                <w:rFonts w:hint="eastAsia"/>
              </w:rPr>
              <w:t>十八</w:t>
            </w:r>
            <w:r>
              <w:t xml:space="preserve">、质疑 </w:t>
            </w:r>
          </w:p>
          <w:p>
            <w:pPr>
              <w:spacing w:before="120" w:after="160"/>
              <w:jc w:val="left"/>
              <w:rPr>
                <w:rFonts w:ascii="仿宋" w:hAnsi="仿宋" w:eastAsia="仿宋"/>
                <w:color w:val="000000"/>
                <w:sz w:val="24"/>
                <w:szCs w:val="24"/>
              </w:rPr>
            </w:pPr>
            <w:r>
              <w:rPr>
                <w:rFonts w:ascii="仿宋" w:hAnsi="仿宋" w:eastAsia="仿宋"/>
                <w:color w:val="000000"/>
                <w:sz w:val="24"/>
                <w:szCs w:val="24"/>
              </w:rPr>
              <w:t>　　如投标人对评标结果有质疑，须以质疑函的形式将全部质疑内容一次性向招标代理人提出，否则不予接收。函中需明确质疑对象、内容，同时提供证明其质疑内容的材料。</w:t>
            </w:r>
          </w:p>
          <w:p>
            <w:pPr>
              <w:spacing w:before="120" w:after="160"/>
              <w:ind w:firstLine="480"/>
              <w:jc w:val="left"/>
              <w:rPr>
                <w:rFonts w:ascii="仿宋" w:hAnsi="仿宋" w:eastAsia="仿宋"/>
                <w:color w:val="000000"/>
                <w:sz w:val="24"/>
                <w:szCs w:val="24"/>
              </w:rPr>
            </w:pPr>
            <w:r>
              <w:rPr>
                <w:rFonts w:ascii="仿宋" w:hAnsi="仿宋" w:eastAsia="仿宋"/>
                <w:color w:val="000000"/>
                <w:sz w:val="24"/>
                <w:szCs w:val="24"/>
              </w:rPr>
              <w:t>提出质疑的投标人应保证提出质疑内容及相应证明材料的真实性及来源的合法性，并承担相应的法律责任。</w:t>
            </w:r>
          </w:p>
          <w:p>
            <w:pPr>
              <w:pStyle w:val="40"/>
              <w:spacing w:before="120" w:after="160"/>
              <w:ind w:left="900"/>
              <w:jc w:val="left"/>
              <w:rPr>
                <w:rFonts w:ascii="仿宋" w:hAnsi="仿宋" w:eastAsia="仿宋"/>
                <w:color w:val="000000"/>
                <w:sz w:val="24"/>
                <w:szCs w:val="24"/>
              </w:rPr>
            </w:pPr>
            <w:r>
              <w:rPr>
                <w:rFonts w:ascii="仿宋" w:hAnsi="仿宋" w:eastAsia="仿宋"/>
                <w:color w:val="000000"/>
                <w:sz w:val="24"/>
                <w:szCs w:val="24"/>
              </w:rPr>
              <w:t>属以下情况之一者，为不合格质疑或投诉，不予受理：</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质疑人不是该项目的投标人；</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质疑投诉文件无合格签字及盖章的；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质疑投诉文件无明确质疑对象或内容的；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未提供详实有效的证明材料；</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质疑投诉人多次提供虚假情况的；</w:t>
            </w:r>
          </w:p>
          <w:p>
            <w:pPr>
              <w:pStyle w:val="40"/>
              <w:numPr>
                <w:ilvl w:val="0"/>
                <w:numId w:val="19"/>
              </w:numPr>
              <w:spacing w:before="120" w:after="160"/>
              <w:jc w:val="left"/>
              <w:rPr>
                <w:rFonts w:ascii="仿宋" w:hAnsi="仿宋" w:eastAsia="仿宋"/>
                <w:color w:val="000000"/>
                <w:sz w:val="24"/>
                <w:szCs w:val="24"/>
              </w:rPr>
            </w:pPr>
            <w:r>
              <w:rPr>
                <w:rFonts w:ascii="仿宋" w:hAnsi="仿宋" w:eastAsia="仿宋"/>
                <w:color w:val="000000"/>
                <w:sz w:val="24"/>
                <w:szCs w:val="24"/>
              </w:rPr>
              <w:t>非在公示期内送达的</w:t>
            </w:r>
            <w:r>
              <w:rPr>
                <w:rFonts w:hint="eastAsia" w:ascii="仿宋" w:hAnsi="仿宋" w:eastAsia="仿宋"/>
                <w:color w:val="000000"/>
                <w:sz w:val="24"/>
                <w:szCs w:val="24"/>
              </w:rPr>
              <w:t>。</w:t>
            </w:r>
          </w:p>
          <w:p>
            <w:pPr>
              <w:pStyle w:val="2"/>
            </w:pPr>
          </w:p>
          <w:p>
            <w:pPr>
              <w:pStyle w:val="2"/>
            </w:pPr>
            <w:r>
              <w:rPr>
                <w:rFonts w:hint="eastAsia"/>
              </w:rPr>
              <w:t>十九</w:t>
            </w:r>
            <w:r>
              <w:t>、</w:t>
            </w:r>
            <w:r>
              <w:rPr>
                <w:rFonts w:hint="eastAsia"/>
              </w:rPr>
              <w:t>注意事项</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中标人不得将项目非法分包或转包给任何单位和个人。否则，采购方有权即刻终止合同，并要求中标人赔偿相应损失。</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投标人若认为招标文件的技术要求或其他要求有倾向性或不公正性，可在招标答疑阶段提出，以维护招标行为的公平、公正。</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投标人使用的标准必须是国际公认或国家、或地方政府颁布的同等或更高的标准，如投标人使用的标准低于上述标准</w:t>
            </w:r>
            <w:r>
              <w:rPr>
                <w:rFonts w:ascii="仿宋" w:hAnsi="仿宋" w:eastAsia="仿宋"/>
                <w:color w:val="000000"/>
                <w:sz w:val="24"/>
                <w:szCs w:val="24"/>
              </w:rPr>
              <w:t>,</w:t>
            </w:r>
            <w:r>
              <w:rPr>
                <w:rFonts w:hint="eastAsia" w:ascii="仿宋" w:hAnsi="仿宋" w:eastAsia="仿宋"/>
                <w:color w:val="000000"/>
                <w:sz w:val="24"/>
                <w:szCs w:val="24"/>
              </w:rPr>
              <w:t>评标委员会将有权不予接受，投标人必须列表将明显的差异详细说明。</w:t>
            </w:r>
          </w:p>
          <w:p>
            <w:pPr>
              <w:pStyle w:val="40"/>
              <w:numPr>
                <w:ilvl w:val="0"/>
                <w:numId w:val="20"/>
              </w:numPr>
              <w:spacing w:after="160"/>
              <w:jc w:val="left"/>
              <w:rPr>
                <w:rFonts w:ascii="仿宋" w:hAnsi="仿宋" w:eastAsia="仿宋"/>
                <w:color w:val="000000"/>
                <w:sz w:val="24"/>
                <w:szCs w:val="24"/>
              </w:rPr>
            </w:pPr>
            <w:r>
              <w:rPr>
                <w:rFonts w:hint="eastAsia" w:ascii="仿宋" w:hAnsi="仿宋" w:eastAsia="仿宋"/>
                <w:color w:val="000000"/>
                <w:sz w:val="24"/>
                <w:szCs w:val="24"/>
              </w:rPr>
              <w:t>招标文件、图纸、工程量清单中出现的材料、设备品牌均为投标参考，投标人可根据项目情况结合自身实际选择不低于参考品牌的材料、设备投标。</w:t>
            </w:r>
          </w:p>
          <w:p>
            <w:pPr>
              <w:spacing w:after="160"/>
              <w:jc w:val="left"/>
              <w:rPr>
                <w:rFonts w:ascii="仿宋" w:hAnsi="仿宋" w:eastAsia="仿宋"/>
                <w:color w:val="000000"/>
                <w:sz w:val="24"/>
                <w:szCs w:val="24"/>
              </w:rPr>
            </w:pPr>
          </w:p>
          <w:p>
            <w:pPr>
              <w:pStyle w:val="2"/>
            </w:pPr>
            <w:r>
              <w:rPr>
                <w:rFonts w:hint="eastAsia"/>
              </w:rPr>
              <w:t>二十</w:t>
            </w:r>
            <w:r>
              <w:t>、成交通知</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采购信息公开</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为体现“公开、公平、公正”的原则，评标结束后，招标人将在“招标人网站”上发布采购信息公示。投标人如对评标结果有异议，可在发布公示日期起三个工作日内向招标人提出。若在规定期限内未提出质疑，则视为认同该评标结果。</w:t>
            </w:r>
          </w:p>
          <w:p>
            <w:pPr>
              <w:pStyle w:val="40"/>
              <w:numPr>
                <w:ilvl w:val="0"/>
                <w:numId w:val="22"/>
              </w:numPr>
              <w:rPr>
                <w:rFonts w:ascii="仿宋" w:hAnsi="仿宋" w:eastAsia="仿宋"/>
                <w:color w:val="000000"/>
                <w:sz w:val="24"/>
                <w:szCs w:val="24"/>
              </w:rPr>
            </w:pPr>
            <w:r>
              <w:rPr>
                <w:rFonts w:hint="eastAsia" w:ascii="仿宋" w:hAnsi="仿宋" w:eastAsia="仿宋"/>
                <w:color w:val="000000"/>
                <w:sz w:val="24"/>
                <w:szCs w:val="24"/>
              </w:rPr>
              <w:t>质疑投诉人应保证质疑投诉内容的真实性和可靠性，并承担相应的法律责任。</w:t>
            </w:r>
          </w:p>
          <w:p>
            <w:pPr>
              <w:pStyle w:val="40"/>
              <w:numPr>
                <w:ilvl w:val="0"/>
                <w:numId w:val="21"/>
              </w:numPr>
              <w:rPr>
                <w:rFonts w:ascii="仿宋" w:hAnsi="仿宋" w:eastAsia="仿宋"/>
                <w:color w:val="000000"/>
                <w:sz w:val="24"/>
                <w:szCs w:val="24"/>
              </w:rPr>
            </w:pPr>
            <w:r>
              <w:rPr>
                <w:rFonts w:hint="eastAsia" w:ascii="仿宋" w:hAnsi="仿宋" w:eastAsia="仿宋"/>
                <w:color w:val="000000"/>
                <w:sz w:val="24"/>
                <w:szCs w:val="24"/>
              </w:rPr>
              <w:t>成交</w:t>
            </w:r>
            <w:r>
              <w:rPr>
                <w:rFonts w:ascii="仿宋" w:hAnsi="仿宋" w:eastAsia="仿宋"/>
                <w:color w:val="000000"/>
                <w:sz w:val="24"/>
                <w:szCs w:val="24"/>
              </w:rPr>
              <w:t>通知书</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采购信息公示结束以后</w:t>
            </w:r>
            <w:r>
              <w:rPr>
                <w:rFonts w:ascii="仿宋" w:hAnsi="仿宋" w:eastAsia="仿宋"/>
                <w:color w:val="000000"/>
                <w:sz w:val="24"/>
                <w:szCs w:val="24"/>
              </w:rPr>
              <w:t>,</w:t>
            </w:r>
            <w:r>
              <w:rPr>
                <w:rFonts w:hint="eastAsia" w:ascii="仿宋" w:hAnsi="仿宋" w:eastAsia="仿宋"/>
                <w:color w:val="000000"/>
                <w:sz w:val="24"/>
                <w:szCs w:val="24"/>
              </w:rPr>
              <w:t>在公示期内无有效质疑投诉</w:t>
            </w:r>
            <w:r>
              <w:rPr>
                <w:rFonts w:ascii="仿宋" w:hAnsi="仿宋" w:eastAsia="仿宋"/>
                <w:color w:val="000000"/>
                <w:sz w:val="24"/>
                <w:szCs w:val="24"/>
              </w:rPr>
              <w:t>,</w:t>
            </w:r>
            <w:r>
              <w:rPr>
                <w:rFonts w:hint="eastAsia" w:ascii="仿宋" w:hAnsi="仿宋" w:eastAsia="仿宋"/>
                <w:color w:val="000000"/>
                <w:sz w:val="24"/>
                <w:szCs w:val="24"/>
              </w:rPr>
              <w:t>中标投标人可到招标人处领取《成交通知书》（咨询电话：</w:t>
            </w:r>
            <w:r>
              <w:rPr>
                <w:rFonts w:ascii="仿宋" w:hAnsi="仿宋" w:eastAsia="仿宋"/>
                <w:color w:val="FF0000"/>
                <w:sz w:val="24"/>
                <w:szCs w:val="24"/>
              </w:rPr>
              <w:t>0755-86531403</w:t>
            </w:r>
            <w:r>
              <w:rPr>
                <w:rFonts w:hint="eastAsia" w:ascii="仿宋" w:hAnsi="仿宋" w:eastAsia="仿宋"/>
                <w:color w:val="000000"/>
                <w:sz w:val="24"/>
                <w:szCs w:val="24"/>
              </w:rPr>
              <w:t>，地点：深圳大学</w:t>
            </w:r>
            <w:r>
              <w:rPr>
                <w:rFonts w:hint="eastAsia" w:ascii="仿宋" w:hAnsi="仿宋" w:eastAsia="仿宋"/>
                <w:color w:val="FF0000"/>
                <w:sz w:val="24"/>
                <w:szCs w:val="24"/>
              </w:rPr>
              <w:t>丽湖校区守正楼A212</w:t>
            </w:r>
            <w:r>
              <w:rPr>
                <w:rFonts w:hint="eastAsia" w:ascii="仿宋" w:hAnsi="仿宋" w:eastAsia="仿宋"/>
                <w:color w:val="000000"/>
                <w:sz w:val="24"/>
                <w:szCs w:val="24"/>
              </w:rPr>
              <w:t>室内，联系人：</w:t>
            </w:r>
            <w:r>
              <w:rPr>
                <w:rFonts w:hint="eastAsia" w:ascii="仿宋" w:hAnsi="仿宋" w:eastAsia="仿宋"/>
                <w:color w:val="FF0000"/>
                <w:sz w:val="24"/>
                <w:szCs w:val="24"/>
              </w:rPr>
              <w:t>黄老师</w:t>
            </w:r>
            <w:r>
              <w:rPr>
                <w:rFonts w:hint="eastAsia" w:ascii="仿宋" w:hAnsi="仿宋" w:eastAsia="仿宋"/>
                <w:color w:val="000000"/>
                <w:sz w:val="24"/>
                <w:szCs w:val="24"/>
              </w:rPr>
              <w:t>）。</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成交通知书是合同的重要组成部分。</w:t>
            </w:r>
          </w:p>
          <w:p>
            <w:pPr>
              <w:pStyle w:val="40"/>
              <w:numPr>
                <w:ilvl w:val="0"/>
                <w:numId w:val="23"/>
              </w:numPr>
              <w:spacing w:after="160"/>
              <w:jc w:val="left"/>
              <w:rPr>
                <w:rFonts w:ascii="仿宋" w:hAnsi="仿宋" w:eastAsia="仿宋"/>
                <w:color w:val="000000"/>
                <w:sz w:val="24"/>
                <w:szCs w:val="24"/>
              </w:rPr>
            </w:pPr>
            <w:r>
              <w:rPr>
                <w:rFonts w:hint="eastAsia" w:ascii="仿宋" w:hAnsi="仿宋" w:eastAsia="仿宋"/>
                <w:color w:val="000000"/>
                <w:sz w:val="24"/>
                <w:szCs w:val="24"/>
              </w:rPr>
              <w:t>因质疑投诉或其它原因导致项目结果变更或采购终止的，招标人有权吊销成交通知书或终止采购合同。</w:t>
            </w:r>
          </w:p>
          <w:p>
            <w:pPr>
              <w:pStyle w:val="2"/>
            </w:pPr>
          </w:p>
          <w:p>
            <w:pPr>
              <w:pStyle w:val="2"/>
            </w:pPr>
            <w:r>
              <w:rPr>
                <w:rFonts w:hint="eastAsia"/>
              </w:rPr>
              <w:t>二十一</w:t>
            </w:r>
            <w:r>
              <w:t>、</w:t>
            </w:r>
            <w:r>
              <w:rPr>
                <w:rFonts w:hint="eastAsia"/>
              </w:rPr>
              <w:t>合同签订与授予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合同授予标准</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本项目的合同将授予按本招标文件规定评审确定的中标人。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接受和拒绝任何或所有投标的权力</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招标人和采购人保留在签订合同之前任何时候接受或拒绝任何投标或所有投标，以及宣布招标无效的权力，对受影响的投标人不承担任何责任，也无义务向受影响的投标人解释采取这一行动的理由。</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合同协议书的签订</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中标人将于成交通知书发出之日起</w:t>
            </w:r>
            <w:r>
              <w:rPr>
                <w:rFonts w:hint="eastAsia" w:ascii="仿宋" w:hAnsi="仿宋" w:eastAsia="仿宋"/>
                <w:color w:val="FF0000"/>
                <w:sz w:val="24"/>
                <w:szCs w:val="24"/>
              </w:rPr>
              <w:t>五个</w:t>
            </w:r>
            <w:r>
              <w:rPr>
                <w:rFonts w:hint="eastAsia" w:ascii="仿宋" w:hAnsi="仿宋" w:eastAsia="仿宋"/>
                <w:color w:val="000000"/>
                <w:sz w:val="24"/>
                <w:szCs w:val="24"/>
              </w:rPr>
              <w:t>工作日内，按照采购文件（招标文件和投标文件等）内容与采购人签订采购合同；合同的实质性内容应当符合招标文件的规定；</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中标人如不按规定与采购人签订合同，招标人将有充分的理由取消中标人的中标，并计入供应商诚信档案；</w:t>
            </w:r>
          </w:p>
          <w:p>
            <w:pPr>
              <w:pStyle w:val="40"/>
              <w:numPr>
                <w:ilvl w:val="0"/>
                <w:numId w:val="25"/>
              </w:numPr>
              <w:spacing w:after="160"/>
              <w:jc w:val="left"/>
              <w:rPr>
                <w:rFonts w:ascii="仿宋" w:hAnsi="仿宋" w:eastAsia="仿宋"/>
                <w:color w:val="000000"/>
                <w:sz w:val="24"/>
                <w:szCs w:val="24"/>
              </w:rPr>
            </w:pPr>
            <w:r>
              <w:rPr>
                <w:rFonts w:hint="eastAsia" w:ascii="仿宋" w:hAnsi="仿宋" w:eastAsia="仿宋"/>
                <w:color w:val="000000"/>
                <w:sz w:val="24"/>
                <w:szCs w:val="24"/>
              </w:rPr>
              <w:t>中标人应当按照合同约定履行义务，完成中标项目，不得将中标项目转让（转包）给他人。</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合同的备案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采购人与中标人应于合同签订之日起</w:t>
            </w:r>
            <w:r>
              <w:rPr>
                <w:rFonts w:hint="eastAsia" w:ascii="仿宋" w:hAnsi="仿宋" w:eastAsia="仿宋"/>
                <w:color w:val="FF0000"/>
                <w:sz w:val="24"/>
                <w:szCs w:val="24"/>
              </w:rPr>
              <w:t>十个</w:t>
            </w:r>
            <w:r>
              <w:rPr>
                <w:rFonts w:hint="eastAsia" w:ascii="仿宋" w:hAnsi="仿宋" w:eastAsia="仿宋"/>
                <w:color w:val="000000"/>
                <w:sz w:val="24"/>
                <w:szCs w:val="24"/>
              </w:rPr>
              <w:t>日内，由采购人将本项目采购文件与采购合同提交学校招投标管理中心备案。</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项目将严格按照《深圳大学履约验收管理办法》有关要求进行履约验收。</w:t>
            </w:r>
          </w:p>
          <w:p>
            <w:pPr>
              <w:pStyle w:val="40"/>
              <w:numPr>
                <w:ilvl w:val="0"/>
                <w:numId w:val="24"/>
              </w:numPr>
              <w:spacing w:after="160"/>
              <w:jc w:val="left"/>
              <w:rPr>
                <w:rFonts w:ascii="仿宋" w:hAnsi="仿宋" w:eastAsia="仿宋"/>
                <w:color w:val="000000"/>
                <w:sz w:val="24"/>
                <w:szCs w:val="24"/>
              </w:rPr>
            </w:pPr>
            <w:r>
              <w:rPr>
                <w:rFonts w:hint="eastAsia" w:ascii="仿宋" w:hAnsi="仿宋" w:eastAsia="仿宋"/>
                <w:color w:val="000000"/>
                <w:sz w:val="24"/>
                <w:szCs w:val="24"/>
              </w:rPr>
              <w:t>履约情况的反馈</w:t>
            </w:r>
          </w:p>
          <w:p>
            <w:pPr>
              <w:spacing w:after="160"/>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采购人应及时向招标人反馈中标人的履约情况（填写《深圳大学采购履约情况反馈表》），中标人的履约情况将作为供应商考核的重要依据，并将成为日后深圳大学采购活动中的项目评标依据。</w:t>
            </w:r>
          </w:p>
          <w:p>
            <w:pPr>
              <w:jc w:val="center"/>
              <w:rPr>
                <w:rFonts w:ascii="楷体" w:hAnsi="楷体" w:eastAsia="楷体"/>
                <w:color w:val="FF0000"/>
                <w:sz w:val="28"/>
                <w:szCs w:val="28"/>
              </w:rPr>
            </w:pPr>
          </w:p>
          <w:p>
            <w:pPr>
              <w:jc w:val="center"/>
              <w:rPr>
                <w:rFonts w:ascii="方正小标宋简体" w:hAnsi="方正小标宋简体" w:eastAsia="方正小标宋简体" w:cs="方正小标宋简体"/>
                <w:sz w:val="44"/>
                <w:szCs w:val="44"/>
              </w:rPr>
            </w:pPr>
          </w:p>
          <w:p>
            <w:pPr>
              <w:spacing w:after="160"/>
              <w:rPr>
                <w:rFonts w:hAnsi="宋体" w:eastAsia="宋体"/>
                <w:b/>
                <w:color w:val="000000"/>
                <w:sz w:val="32"/>
                <w:szCs w:val="32"/>
              </w:rPr>
            </w:pPr>
          </w:p>
        </w:tc>
      </w:tr>
    </w:tbl>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spacing w:after="160" w:line="360" w:lineRule="auto"/>
        <w:ind w:right="87"/>
        <w:rPr>
          <w:rFonts w:ascii="华文新魏" w:hAnsi="华文新魏" w:eastAsia="华文新魏"/>
          <w:b/>
          <w:sz w:val="48"/>
          <w:szCs w:val="48"/>
        </w:rPr>
      </w:pPr>
    </w:p>
    <w:p>
      <w:pPr>
        <w:pStyle w:val="24"/>
        <w:rPr>
          <w:rFonts w:ascii="华文新魏"/>
        </w:rPr>
      </w:pPr>
      <w:r>
        <w:rPr>
          <w:rFonts w:hint="eastAsia" w:ascii="华文新魏"/>
        </w:rPr>
        <w:t>投标文件格式</w:t>
      </w:r>
      <w:bookmarkStart w:id="0" w:name="_Toc49329264"/>
      <w:bookmarkStart w:id="1" w:name="_Toc29817725"/>
      <w:bookmarkStart w:id="2" w:name="_Toc37670362"/>
      <w:bookmarkStart w:id="3" w:name="_Toc119321148"/>
    </w:p>
    <w:p>
      <w:pPr>
        <w:spacing w:after="160" w:line="360" w:lineRule="auto"/>
        <w:ind w:right="-89"/>
        <w:jc w:val="center"/>
        <w:rPr>
          <w:rFonts w:ascii="黑体" w:hAnsi="黑体" w:eastAsia="黑体"/>
          <w:color w:val="000000"/>
          <w:sz w:val="36"/>
          <w:szCs w:val="36"/>
        </w:rPr>
      </w:pPr>
    </w:p>
    <w:p>
      <w:pPr>
        <w:spacing w:after="160" w:line="360" w:lineRule="auto"/>
        <w:ind w:right="-89"/>
        <w:jc w:val="center"/>
        <w:rPr>
          <w:rFonts w:ascii="黑体" w:hAnsi="黑体" w:eastAsia="黑体"/>
          <w:color w:val="000000"/>
          <w:sz w:val="36"/>
          <w:szCs w:val="36"/>
        </w:rPr>
      </w:pPr>
      <w:r>
        <w:rPr>
          <w:rFonts w:ascii="黑体" w:hAnsi="黑体" w:eastAsia="黑体"/>
          <w:color w:val="000000"/>
          <w:sz w:val="36"/>
          <w:szCs w:val="36"/>
        </w:rPr>
        <w:t>投标文件</w:t>
      </w:r>
      <w:bookmarkEnd w:id="0"/>
      <w:bookmarkEnd w:id="1"/>
      <w:bookmarkEnd w:id="2"/>
      <w:r>
        <w:rPr>
          <w:rFonts w:ascii="黑体" w:hAnsi="黑体" w:eastAsia="黑体"/>
          <w:color w:val="000000"/>
          <w:sz w:val="36"/>
          <w:szCs w:val="36"/>
        </w:rPr>
        <w:t>目录</w:t>
      </w:r>
      <w:bookmarkEnd w:id="3"/>
    </w:p>
    <w:p>
      <w:pPr>
        <w:spacing w:after="160"/>
        <w:rPr>
          <w:rFonts w:hAnsi="宋体" w:eastAsia="宋体"/>
          <w:b/>
          <w:color w:val="000000"/>
          <w:sz w:val="24"/>
          <w:szCs w:val="24"/>
        </w:rPr>
      </w:pPr>
    </w:p>
    <w:p>
      <w:pPr>
        <w:spacing w:after="160" w:line="360" w:lineRule="auto"/>
        <w:ind w:firstLine="280"/>
        <w:rPr>
          <w:rFonts w:hAnsi="宋体" w:eastAsia="宋体"/>
          <w:b/>
          <w:color w:val="000000"/>
          <w:sz w:val="30"/>
          <w:szCs w:val="30"/>
          <w:u w:val="single"/>
        </w:rPr>
      </w:pPr>
      <w:r>
        <w:fldChar w:fldCharType="begin"/>
      </w:r>
      <w:r>
        <w:instrText xml:space="preserve"> HYPERLINK </w:instrText>
      </w:r>
      <w:r>
        <w:fldChar w:fldCharType="separate"/>
      </w:r>
      <w:r>
        <w:rPr>
          <w:rFonts w:hAnsi="宋体" w:eastAsia="宋体"/>
          <w:b/>
          <w:color w:val="000000"/>
          <w:sz w:val="30"/>
          <w:szCs w:val="30"/>
          <w:u w:val="single"/>
        </w:rPr>
        <w:t>第一部分</w:t>
      </w:r>
      <w:r>
        <w:rPr>
          <w:rFonts w:hAnsi="宋体" w:eastAsia="宋体"/>
          <w:b/>
          <w:color w:val="000000"/>
          <w:sz w:val="30"/>
          <w:szCs w:val="30"/>
          <w:u w:val="single"/>
        </w:rPr>
        <w:fldChar w:fldCharType="end"/>
      </w:r>
      <w:r>
        <w:rPr>
          <w:rFonts w:hAnsi="宋体" w:eastAsia="宋体"/>
          <w:b/>
          <w:color w:val="000000"/>
          <w:sz w:val="30"/>
          <w:szCs w:val="30"/>
          <w:u w:val="single"/>
        </w:rPr>
        <w:t xml:space="preserve"> </w:t>
      </w:r>
      <w:r>
        <w:rPr>
          <w:rFonts w:hAnsi="宋体" w:eastAsia="宋体"/>
          <w:b/>
          <w:color w:val="000000"/>
          <w:sz w:val="30"/>
          <w:szCs w:val="30"/>
          <w:u w:val="single"/>
        </w:rPr>
        <w:tab/>
      </w:r>
      <w:r>
        <w:rPr>
          <w:rFonts w:hint="eastAsia" w:hAnsi="宋体" w:eastAsia="宋体"/>
          <w:b/>
          <w:color w:val="000000"/>
          <w:sz w:val="30"/>
          <w:szCs w:val="30"/>
          <w:u w:val="single"/>
        </w:rPr>
        <w:t>拟采用材料品牌型号表</w:t>
      </w:r>
      <w:r>
        <w:rPr>
          <w:rFonts w:hAnsi="宋体" w:eastAsia="宋体"/>
          <w:b/>
          <w:color w:val="000000"/>
          <w:sz w:val="30"/>
          <w:szCs w:val="30"/>
          <w:u w:val="single"/>
        </w:rPr>
        <w:t xml:space="preserve"> </w:t>
      </w:r>
    </w:p>
    <w:p>
      <w:pPr>
        <w:tabs>
          <w:tab w:val="left" w:pos="540"/>
          <w:tab w:val="left" w:pos="1260"/>
        </w:tabs>
        <w:spacing w:after="160" w:line="360" w:lineRule="auto"/>
        <w:ind w:left="1260"/>
        <w:rPr>
          <w:rFonts w:hAnsi="宋体" w:eastAsia="宋体"/>
          <w:color w:val="000000"/>
          <w:sz w:val="28"/>
          <w:szCs w:val="28"/>
        </w:rPr>
      </w:pPr>
    </w:p>
    <w:p>
      <w:pPr>
        <w:spacing w:after="160" w:line="360" w:lineRule="auto"/>
        <w:ind w:firstLine="280"/>
        <w:rPr>
          <w:rFonts w:hAnsi="宋体" w:eastAsia="宋体"/>
          <w:b/>
          <w:color w:val="000000"/>
          <w:sz w:val="30"/>
          <w:szCs w:val="30"/>
        </w:rPr>
      </w:pPr>
      <w:r>
        <w:fldChar w:fldCharType="begin"/>
      </w:r>
      <w:r>
        <w:instrText xml:space="preserve"> HYPERLINK </w:instrText>
      </w:r>
      <w:r>
        <w:fldChar w:fldCharType="separate"/>
      </w:r>
      <w:r>
        <w:rPr>
          <w:rFonts w:hAnsi="宋体" w:eastAsia="宋体"/>
          <w:b/>
          <w:color w:val="000000"/>
          <w:sz w:val="30"/>
          <w:szCs w:val="30"/>
          <w:u w:val="single"/>
        </w:rPr>
        <w:t>第二部分   资格性文件</w:t>
      </w:r>
      <w:r>
        <w:rPr>
          <w:rFonts w:hAnsi="宋体" w:eastAsia="宋体"/>
          <w:b/>
          <w:color w:val="000000"/>
          <w:sz w:val="30"/>
          <w:szCs w:val="30"/>
          <w:u w:val="single"/>
        </w:rPr>
        <w:fldChar w:fldCharType="end"/>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2.1法定代表人授权书</w:t>
      </w:r>
    </w:p>
    <w:p>
      <w:pPr>
        <w:tabs>
          <w:tab w:val="left" w:pos="540"/>
        </w:tabs>
        <w:spacing w:after="160" w:line="360" w:lineRule="auto"/>
        <w:ind w:firstLine="560"/>
        <w:rPr>
          <w:rFonts w:hAnsi="宋体" w:eastAsia="宋体"/>
          <w:sz w:val="28"/>
          <w:szCs w:val="28"/>
        </w:rPr>
      </w:pPr>
      <w:r>
        <w:rPr>
          <w:rFonts w:hAnsi="宋体" w:eastAsia="宋体"/>
          <w:color w:val="000000"/>
          <w:sz w:val="28"/>
          <w:szCs w:val="28"/>
        </w:rPr>
        <w:t>2.2</w:t>
      </w:r>
      <w:r>
        <w:fldChar w:fldCharType="begin"/>
      </w:r>
      <w:r>
        <w:instrText xml:space="preserve"> HYPERLINK </w:instrText>
      </w:r>
      <w:r>
        <w:fldChar w:fldCharType="separate"/>
      </w:r>
      <w:r>
        <w:rPr>
          <w:rFonts w:hAnsi="宋体" w:eastAsia="宋体"/>
          <w:sz w:val="28"/>
          <w:szCs w:val="28"/>
        </w:rPr>
        <w:t>投标承诺函</w:t>
      </w:r>
      <w:r>
        <w:rPr>
          <w:rFonts w:hAnsi="宋体" w:eastAsia="宋体"/>
          <w:sz w:val="28"/>
          <w:szCs w:val="28"/>
        </w:rPr>
        <w:fldChar w:fldCharType="end"/>
      </w:r>
    </w:p>
    <w:p>
      <w:pPr>
        <w:tabs>
          <w:tab w:val="left" w:pos="540"/>
        </w:tabs>
        <w:spacing w:after="160" w:line="360" w:lineRule="auto"/>
        <w:ind w:firstLine="560"/>
        <w:rPr>
          <w:rFonts w:hAnsi="宋体" w:eastAsia="宋体"/>
          <w:sz w:val="28"/>
          <w:szCs w:val="28"/>
        </w:rPr>
      </w:pPr>
      <w:r>
        <w:rPr>
          <w:rFonts w:hAnsi="宋体" w:eastAsia="宋体"/>
          <w:sz w:val="28"/>
          <w:szCs w:val="28"/>
        </w:rPr>
        <w:t>2.3营业执照</w:t>
      </w:r>
    </w:p>
    <w:p>
      <w:pPr>
        <w:tabs>
          <w:tab w:val="left" w:pos="540"/>
        </w:tabs>
        <w:spacing w:after="160" w:line="360" w:lineRule="auto"/>
        <w:ind w:firstLine="560"/>
        <w:rPr>
          <w:rFonts w:hAnsi="宋体" w:eastAsia="宋体"/>
          <w:sz w:val="28"/>
          <w:szCs w:val="28"/>
        </w:rPr>
      </w:pPr>
      <w:r>
        <w:rPr>
          <w:rFonts w:hAnsi="宋体" w:eastAsia="宋体"/>
          <w:sz w:val="28"/>
          <w:szCs w:val="28"/>
        </w:rPr>
        <w:t>2.4资质证书</w:t>
      </w:r>
    </w:p>
    <w:p>
      <w:pPr>
        <w:spacing w:after="160" w:line="360" w:lineRule="auto"/>
        <w:ind w:firstLine="280"/>
        <w:rPr>
          <w:rFonts w:hAnsi="宋体" w:eastAsia="宋体"/>
          <w:b/>
          <w:color w:val="000000"/>
          <w:sz w:val="30"/>
          <w:szCs w:val="30"/>
          <w:u w:val="single"/>
        </w:rPr>
      </w:pPr>
      <w:r>
        <w:rPr>
          <w:rFonts w:hAnsi="宋体" w:eastAsia="宋体"/>
          <w:b/>
          <w:color w:val="000000"/>
          <w:sz w:val="30"/>
          <w:szCs w:val="30"/>
          <w:u w:val="single"/>
        </w:rPr>
        <w:t>第三部分  技术性文件</w:t>
      </w:r>
    </w:p>
    <w:p>
      <w:pPr>
        <w:tabs>
          <w:tab w:val="left" w:pos="540"/>
        </w:tabs>
        <w:spacing w:after="160" w:line="360" w:lineRule="auto"/>
        <w:ind w:firstLine="560"/>
        <w:rPr>
          <w:rFonts w:hAnsi="宋体" w:eastAsia="宋体"/>
          <w:color w:val="000000"/>
          <w:sz w:val="28"/>
          <w:szCs w:val="28"/>
        </w:rPr>
      </w:pPr>
      <w:r>
        <w:rPr>
          <w:rFonts w:hAnsi="宋体" w:eastAsia="宋体"/>
          <w:color w:val="000000"/>
          <w:sz w:val="28"/>
          <w:szCs w:val="28"/>
        </w:rPr>
        <w:t>3.1</w:t>
      </w:r>
      <w:r>
        <w:rPr>
          <w:rFonts w:hint="eastAsia" w:hAnsi="宋体" w:eastAsia="宋体"/>
          <w:color w:val="000000"/>
          <w:sz w:val="28"/>
          <w:szCs w:val="28"/>
        </w:rPr>
        <w:t>项目经理</w:t>
      </w:r>
      <w:r>
        <w:rPr>
          <w:rFonts w:hAnsi="宋体" w:eastAsia="宋体"/>
          <w:color w:val="000000"/>
          <w:sz w:val="28"/>
          <w:szCs w:val="28"/>
        </w:rPr>
        <w:t>及现场负责人简介</w:t>
      </w:r>
    </w:p>
    <w:p>
      <w:pPr>
        <w:tabs>
          <w:tab w:val="left" w:pos="720"/>
        </w:tabs>
        <w:spacing w:after="160"/>
        <w:rPr>
          <w:rFonts w:hAnsi="宋体" w:eastAsia="宋体"/>
          <w:color w:val="FF0000"/>
          <w:sz w:val="36"/>
          <w:szCs w:val="36"/>
        </w:rPr>
      </w:pPr>
      <w:r>
        <w:rPr>
          <w:rFonts w:hAnsi="宋体" w:eastAsia="宋体"/>
          <w:color w:val="FF0000"/>
        </w:rPr>
        <w:t>注：  投标文件封面自行设计，但内容须严格按照以上清单顺序进行装订，每页须编注页码。</w:t>
      </w:r>
    </w:p>
    <w:p>
      <w:pPr>
        <w:spacing w:after="160"/>
        <w:jc w:val="left"/>
        <w:rPr>
          <w:rFonts w:ascii="华文新魏" w:hAnsi="MS Sans Serif" w:eastAsia="华文新魏"/>
          <w:b/>
          <w:bCs/>
          <w:sz w:val="48"/>
          <w:szCs w:val="46"/>
        </w:rPr>
      </w:pPr>
      <w:bookmarkStart w:id="4" w:name="_Toc49329266"/>
      <w:bookmarkStart w:id="5" w:name="_Toc37670364"/>
      <w:bookmarkStart w:id="6" w:name="_Toc119321152"/>
      <w:r>
        <w:rPr>
          <w:rFonts w:ascii="华文新魏" w:hAnsi="MS Sans Serif" w:eastAsia="华文新魏"/>
          <w:b/>
          <w:bCs/>
          <w:sz w:val="48"/>
          <w:szCs w:val="46"/>
        </w:rPr>
        <w:t xml:space="preserve"> </w:t>
      </w:r>
    </w:p>
    <w:p>
      <w:pPr>
        <w:autoSpaceDE w:val="0"/>
        <w:autoSpaceDN w:val="0"/>
        <w:adjustRightInd w:val="0"/>
        <w:jc w:val="center"/>
        <w:rPr>
          <w:rFonts w:ascii="华文新魏" w:hAnsi="MS Sans Serif" w:eastAsia="华文新魏"/>
          <w:b/>
          <w:bCs/>
          <w:sz w:val="48"/>
          <w:szCs w:val="46"/>
        </w:rPr>
      </w:pPr>
    </w:p>
    <w:p>
      <w:pPr>
        <w:autoSpaceDE w:val="0"/>
        <w:autoSpaceDN w:val="0"/>
        <w:adjustRightInd w:val="0"/>
        <w:rPr>
          <w:rFonts w:ascii="华文新魏" w:hAnsi="MS Sans Serif" w:eastAsia="华文新魏"/>
          <w:b/>
          <w:bCs/>
          <w:sz w:val="48"/>
          <w:szCs w:val="46"/>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法定代表人授权书</w:t>
      </w:r>
    </w:p>
    <w:p>
      <w:pPr>
        <w:spacing w:line="360" w:lineRule="auto"/>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深圳大学：</w:t>
      </w:r>
    </w:p>
    <w:p>
      <w:pPr>
        <w:spacing w:line="360" w:lineRule="auto"/>
        <w:ind w:firstLine="480" w:firstLineChars="200"/>
        <w:rPr>
          <w:color w:val="000000"/>
          <w:sz w:val="24"/>
          <w:lang w:val="en-GB"/>
        </w:rPr>
      </w:pPr>
      <w:r>
        <w:rPr>
          <w:rFonts w:hint="eastAsia"/>
          <w:color w:val="000000"/>
          <w:sz w:val="24"/>
          <w:lang w:val="en-GB"/>
        </w:rPr>
        <w:t>兹授权：</w:t>
      </w:r>
      <w:r>
        <w:rPr>
          <w:rFonts w:hint="eastAsia"/>
          <w:color w:val="000000"/>
          <w:sz w:val="24"/>
          <w:u w:val="single"/>
          <w:lang w:val="en-GB"/>
        </w:rPr>
        <w:t xml:space="preserve">  （授权代表全名）</w:t>
      </w:r>
      <w:r>
        <w:rPr>
          <w:rFonts w:hint="eastAsia"/>
          <w:color w:val="000000"/>
          <w:sz w:val="24"/>
          <w:lang w:val="en-GB"/>
        </w:rPr>
        <w:t>先生/女士作为我公司的合法授权代理人，参与贵单位组织的采购项目投标和谈判。</w:t>
      </w:r>
    </w:p>
    <w:p>
      <w:pPr>
        <w:spacing w:line="360" w:lineRule="auto"/>
        <w:ind w:firstLine="540" w:firstLineChars="225"/>
        <w:rPr>
          <w:rFonts w:eastAsiaTheme="minorEastAsia"/>
          <w:color w:val="000000"/>
          <w:sz w:val="24"/>
        </w:rPr>
      </w:pPr>
      <w:r>
        <w:rPr>
          <w:rFonts w:hint="eastAsia"/>
          <w:color w:val="000000"/>
          <w:sz w:val="24"/>
        </w:rPr>
        <w:t>招标编号：</w:t>
      </w:r>
      <w:r>
        <w:rPr>
          <w:color w:val="FF0000"/>
          <w:sz w:val="24"/>
        </w:rPr>
        <w:t xml:space="preserve">SZULHXQB202207004GC </w:t>
      </w:r>
    </w:p>
    <w:p>
      <w:pPr>
        <w:spacing w:line="360" w:lineRule="auto"/>
        <w:ind w:firstLine="480" w:firstLineChars="200"/>
        <w:jc w:val="left"/>
        <w:rPr>
          <w:rFonts w:eastAsiaTheme="minorEastAsia"/>
          <w:color w:val="FF0000"/>
        </w:rPr>
      </w:pPr>
      <w:r>
        <w:rPr>
          <w:rFonts w:hint="eastAsia"/>
          <w:color w:val="000000"/>
          <w:sz w:val="24"/>
        </w:rPr>
        <w:t>项目名称：</w:t>
      </w:r>
      <w:r>
        <w:rPr>
          <w:rFonts w:eastAsiaTheme="minorEastAsia"/>
          <w:color w:val="FF0000"/>
        </w:rPr>
        <w:t>A6-402、403、410实验室漏水修补</w:t>
      </w:r>
    </w:p>
    <w:p>
      <w:pPr>
        <w:spacing w:line="360" w:lineRule="auto"/>
        <w:ind w:firstLine="480" w:firstLineChars="200"/>
        <w:jc w:val="left"/>
        <w:rPr>
          <w:color w:val="000000"/>
          <w:sz w:val="24"/>
          <w:lang w:val="en-GB"/>
        </w:rPr>
      </w:pPr>
      <w:r>
        <w:rPr>
          <w:rFonts w:hint="eastAsia"/>
          <w:color w:val="000000"/>
          <w:sz w:val="24"/>
          <w:lang w:val="en-GB"/>
        </w:rPr>
        <w:t>授权权限：全权代表本公司参与上述采购项目的投标和谈判，并负责一切文书资料的提供与确认。</w:t>
      </w:r>
    </w:p>
    <w:p>
      <w:pPr>
        <w:spacing w:line="360" w:lineRule="auto"/>
        <w:ind w:left="1679" w:leftChars="228" w:hanging="1200" w:hangingChars="500"/>
        <w:rPr>
          <w:color w:val="000000"/>
          <w:sz w:val="24"/>
          <w:lang w:val="en-GB"/>
        </w:rPr>
      </w:pPr>
      <w:r>
        <w:rPr>
          <w:rFonts w:hint="eastAsia"/>
          <w:color w:val="000000"/>
          <w:sz w:val="24"/>
          <w:lang w:val="en-GB"/>
        </w:rPr>
        <w:t>有效期限：与本公司投标文件中标注的投标有效期相同，自法人代表签字之日起生效。</w:t>
      </w:r>
    </w:p>
    <w:p>
      <w:pPr>
        <w:spacing w:line="360" w:lineRule="auto"/>
        <w:ind w:firstLine="480" w:firstLineChars="200"/>
        <w:rPr>
          <w:color w:val="000000"/>
          <w:sz w:val="24"/>
          <w:lang w:val="en-GB"/>
        </w:rPr>
      </w:pPr>
    </w:p>
    <w:p>
      <w:pPr>
        <w:spacing w:line="360" w:lineRule="auto"/>
        <w:ind w:firstLine="480" w:firstLineChars="200"/>
        <w:rPr>
          <w:color w:val="000000"/>
          <w:sz w:val="24"/>
          <w:lang w:val="en-GB"/>
        </w:rPr>
      </w:pPr>
      <w:r>
        <w:rPr>
          <w:rFonts w:hint="eastAsia"/>
          <w:color w:val="000000"/>
          <w:sz w:val="24"/>
          <w:lang w:val="en-GB"/>
        </w:rPr>
        <w:t>授权代理人：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lang w:val="en-GB"/>
        </w:rPr>
      </w:pPr>
      <w:r>
        <w:rPr>
          <w:rFonts w:hint="eastAsia"/>
          <w:color w:val="000000"/>
          <w:sz w:val="24"/>
          <w:lang w:val="en-GB"/>
        </w:rPr>
        <w:t>职    务：  身份证号码：</w:t>
      </w:r>
    </w:p>
    <w:p>
      <w:pPr>
        <w:spacing w:line="360" w:lineRule="auto"/>
        <w:rPr>
          <w:color w:val="000000"/>
          <w:sz w:val="24"/>
          <w:lang w:val="en-GB"/>
        </w:rPr>
      </w:pPr>
    </w:p>
    <w:p>
      <w:pPr>
        <w:spacing w:line="360" w:lineRule="auto"/>
        <w:rPr>
          <w:color w:val="000000"/>
          <w:sz w:val="24"/>
          <w:lang w:val="en-GB"/>
        </w:rPr>
      </w:pPr>
    </w:p>
    <w:p>
      <w:pPr>
        <w:spacing w:line="360" w:lineRule="auto"/>
        <w:ind w:firstLine="480" w:firstLineChars="20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（公章）</w:t>
      </w:r>
      <w:r>
        <w:rPr>
          <w:rFonts w:hint="eastAsia"/>
          <w:color w:val="000000"/>
          <w:sz w:val="24"/>
          <w:lang w:val="en-GB"/>
        </w:rPr>
        <w:t xml:space="preserve"> 营业执照号码：</w:t>
      </w:r>
    </w:p>
    <w:p>
      <w:pPr>
        <w:spacing w:line="360" w:lineRule="auto"/>
        <w:ind w:firstLine="480" w:firstLineChars="20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（亲笔签名）       </w:t>
      </w:r>
      <w:r>
        <w:rPr>
          <w:rFonts w:hint="eastAsia"/>
          <w:color w:val="000000"/>
          <w:sz w:val="24"/>
          <w:lang w:val="en-GB"/>
        </w:rPr>
        <w:t xml:space="preserve">  联系电话：</w:t>
      </w:r>
    </w:p>
    <w:p>
      <w:pPr>
        <w:spacing w:line="360" w:lineRule="auto"/>
        <w:ind w:firstLine="480" w:firstLineChars="200"/>
        <w:rPr>
          <w:color w:val="000000"/>
          <w:sz w:val="24"/>
          <w:u w:val="single"/>
          <w:lang w:val="en-GB"/>
        </w:rPr>
      </w:pPr>
      <w:r>
        <w:rPr>
          <w:rFonts w:hint="eastAsia"/>
          <w:color w:val="000000"/>
          <w:sz w:val="24"/>
          <w:lang w:val="en-GB"/>
        </w:rPr>
        <w:t>职    务：  身份证号码：</w:t>
      </w:r>
    </w:p>
    <w:p>
      <w:pPr>
        <w:spacing w:line="360" w:lineRule="auto"/>
        <w:ind w:firstLine="480" w:firstLineChars="200"/>
        <w:rPr>
          <w:color w:val="000000"/>
          <w:sz w:val="24"/>
          <w:lang w:val="en-GB"/>
        </w:rPr>
      </w:pPr>
    </w:p>
    <w:p>
      <w:pPr>
        <w:spacing w:line="360" w:lineRule="auto"/>
        <w:ind w:firstLine="480" w:firstLineChars="200"/>
        <w:rPr>
          <w:color w:val="000000"/>
          <w:lang w:val="en-GB"/>
        </w:rPr>
      </w:pPr>
      <w:r>
        <w:rPr>
          <w:rFonts w:hint="eastAsia"/>
          <w:color w:val="000000"/>
          <w:sz w:val="24"/>
          <w:lang w:val="en-GB"/>
        </w:rPr>
        <w:t>生效日期：      年   月   日</w:t>
      </w: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000000"/>
          <w:lang w:val="en-GB"/>
        </w:rPr>
      </w:pPr>
    </w:p>
    <w:p>
      <w:pPr>
        <w:spacing w:line="360" w:lineRule="auto"/>
        <w:ind w:firstLine="420" w:firstLineChars="200"/>
        <w:rPr>
          <w:color w:val="FF0000"/>
          <w:lang w:val="en-GB"/>
        </w:rPr>
      </w:pPr>
      <w:r>
        <w:rPr>
          <w:rFonts w:hint="eastAsia"/>
          <w:color w:val="FF0000"/>
          <w:lang w:val="en-GB"/>
        </w:rPr>
        <w:t>注：本授权书内容不得擅自修改。</w:t>
      </w:r>
    </w:p>
    <w:p>
      <w:pPr>
        <w:spacing w:line="360" w:lineRule="auto"/>
        <w:ind w:firstLine="420" w:firstLineChars="200"/>
        <w:rPr>
          <w:color w:val="FF0000"/>
          <w:lang w:val="en-GB"/>
        </w:rPr>
      </w:pPr>
    </w:p>
    <w:p>
      <w:pPr>
        <w:spacing w:line="360" w:lineRule="auto"/>
        <w:ind w:firstLine="420" w:firstLineChars="200"/>
        <w:rPr>
          <w:color w:val="FF0000"/>
          <w:lang w:val="en-GB"/>
        </w:rPr>
      </w:pPr>
    </w:p>
    <w:p>
      <w:pPr>
        <w:spacing w:line="360" w:lineRule="auto"/>
        <w:ind w:firstLine="420" w:firstLineChars="200"/>
        <w:rPr>
          <w:color w:val="FF0000"/>
          <w:lang w:val="en-GB"/>
        </w:r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投标承诺函</w:t>
      </w:r>
    </w:p>
    <w:p>
      <w:pPr>
        <w:spacing w:line="360" w:lineRule="auto"/>
        <w:ind w:left="361" w:hanging="360" w:hangingChars="150"/>
        <w:rPr>
          <w:b/>
          <w:bCs/>
          <w:color w:val="000000"/>
          <w:sz w:val="24"/>
          <w:lang w:val="en-GB"/>
        </w:rPr>
      </w:pPr>
    </w:p>
    <w:p>
      <w:pPr>
        <w:spacing w:line="360" w:lineRule="auto"/>
        <w:ind w:left="361" w:hanging="360" w:hangingChars="150"/>
        <w:rPr>
          <w:b/>
          <w:bCs/>
          <w:color w:val="000000"/>
          <w:sz w:val="24"/>
          <w:lang w:val="en-GB"/>
        </w:rPr>
      </w:pPr>
      <w:r>
        <w:rPr>
          <w:rFonts w:hint="eastAsia"/>
          <w:b/>
          <w:bCs/>
          <w:color w:val="000000"/>
          <w:sz w:val="24"/>
          <w:lang w:val="en-GB"/>
        </w:rPr>
        <w:t>致 深圳大学：</w:t>
      </w:r>
    </w:p>
    <w:p>
      <w:pPr>
        <w:spacing w:line="360" w:lineRule="auto"/>
        <w:ind w:firstLine="420"/>
        <w:rPr>
          <w:color w:val="000000"/>
          <w:sz w:val="24"/>
        </w:rPr>
      </w:pPr>
      <w:r>
        <w:rPr>
          <w:rFonts w:hint="eastAsia"/>
          <w:color w:val="000000"/>
          <w:sz w:val="24"/>
        </w:rPr>
        <w:t>根据招标文件的要求，现提供已签署和密封的正副本投标文件，并正式授权：</w:t>
      </w:r>
    </w:p>
    <w:p>
      <w:pPr>
        <w:spacing w:line="360" w:lineRule="auto"/>
        <w:rPr>
          <w:color w:val="000000"/>
          <w:sz w:val="24"/>
        </w:rPr>
      </w:pPr>
      <w:r>
        <w:rPr>
          <w:rFonts w:hint="eastAsia"/>
          <w:color w:val="000000"/>
          <w:sz w:val="24"/>
          <w:u w:val="single"/>
        </w:rPr>
        <w:t xml:space="preserve">          （授权代表全名）</w:t>
      </w:r>
      <w:r>
        <w:rPr>
          <w:rFonts w:hint="eastAsia"/>
          <w:color w:val="000000"/>
          <w:sz w:val="24"/>
        </w:rPr>
        <w:t>以本公司名义，全权代表我方参加投标和谈判。</w:t>
      </w:r>
    </w:p>
    <w:p>
      <w:pPr>
        <w:spacing w:line="360" w:lineRule="auto"/>
        <w:rPr>
          <w:rFonts w:eastAsiaTheme="minorEastAsia"/>
          <w:color w:val="000000"/>
          <w:sz w:val="24"/>
        </w:rPr>
      </w:pPr>
      <w:r>
        <w:rPr>
          <w:rFonts w:hint="eastAsia"/>
          <w:color w:val="000000"/>
          <w:sz w:val="24"/>
        </w:rPr>
        <w:t>项目名称：</w:t>
      </w:r>
      <w:r>
        <w:rPr>
          <w:rFonts w:eastAsiaTheme="minorEastAsia"/>
          <w:color w:val="FF0000"/>
        </w:rPr>
        <w:t>A6-402、403、410实验室漏水修补</w:t>
      </w:r>
    </w:p>
    <w:p>
      <w:pPr>
        <w:spacing w:line="360" w:lineRule="auto"/>
        <w:rPr>
          <w:rFonts w:eastAsiaTheme="minorEastAsia"/>
          <w:color w:val="000000"/>
          <w:sz w:val="24"/>
        </w:rPr>
      </w:pPr>
      <w:r>
        <w:rPr>
          <w:rFonts w:hint="eastAsia"/>
          <w:color w:val="000000"/>
          <w:sz w:val="24"/>
        </w:rPr>
        <w:t>招标编号：</w:t>
      </w:r>
      <w:r>
        <w:rPr>
          <w:color w:val="FF0000"/>
          <w:sz w:val="24"/>
        </w:rPr>
        <w:t xml:space="preserve">SZULHXQB202207004GC </w:t>
      </w:r>
    </w:p>
    <w:p>
      <w:pPr>
        <w:spacing w:line="420" w:lineRule="exact"/>
        <w:rPr>
          <w:b/>
          <w:bCs/>
          <w:color w:val="000000"/>
          <w:sz w:val="24"/>
        </w:rPr>
      </w:pPr>
      <w:r>
        <w:rPr>
          <w:rFonts w:hint="eastAsia"/>
          <w:b/>
          <w:bCs/>
          <w:color w:val="000000"/>
          <w:sz w:val="24"/>
        </w:rPr>
        <w:t>本公司郑重承诺并声明：</w:t>
      </w:r>
    </w:p>
    <w:p>
      <w:pPr>
        <w:pStyle w:val="40"/>
        <w:numPr>
          <w:ilvl w:val="0"/>
          <w:numId w:val="26"/>
        </w:numPr>
        <w:tabs>
          <w:tab w:val="left" w:pos="-3780"/>
        </w:tabs>
        <w:spacing w:line="360" w:lineRule="auto"/>
        <w:rPr>
          <w:color w:val="000000"/>
          <w:sz w:val="24"/>
        </w:rPr>
      </w:pPr>
      <w:r>
        <w:rPr>
          <w:rFonts w:hint="eastAsia"/>
          <w:color w:val="000000"/>
          <w:sz w:val="24"/>
        </w:rPr>
        <w:t>我公司本招标项目所提供的货物或服务未侵犯知识产权。</w:t>
      </w:r>
    </w:p>
    <w:p>
      <w:pPr>
        <w:pStyle w:val="40"/>
        <w:numPr>
          <w:ilvl w:val="0"/>
          <w:numId w:val="26"/>
        </w:numPr>
        <w:tabs>
          <w:tab w:val="left" w:pos="-3780"/>
        </w:tabs>
        <w:spacing w:line="360" w:lineRule="auto"/>
        <w:rPr>
          <w:color w:val="000000"/>
          <w:sz w:val="24"/>
        </w:rPr>
      </w:pPr>
      <w:r>
        <w:rPr>
          <w:rFonts w:hint="eastAsia"/>
          <w:color w:val="000000"/>
          <w:sz w:val="24"/>
        </w:rPr>
        <w:t>我公司参与本项目政府采购活动时不存在被有关部门禁止参与政府采购活动且在有效期内的情况。</w:t>
      </w:r>
    </w:p>
    <w:p>
      <w:pPr>
        <w:pStyle w:val="40"/>
        <w:numPr>
          <w:ilvl w:val="0"/>
          <w:numId w:val="26"/>
        </w:numPr>
        <w:tabs>
          <w:tab w:val="left" w:pos="-3780"/>
        </w:tabs>
        <w:spacing w:line="360" w:lineRule="auto"/>
        <w:rPr>
          <w:color w:val="000000"/>
          <w:sz w:val="24"/>
        </w:rPr>
      </w:pPr>
      <w:r>
        <w:rPr>
          <w:rFonts w:hint="eastAsia"/>
          <w:color w:val="000000"/>
          <w:sz w:val="24"/>
        </w:rPr>
        <w:t>我公司具备《中华人民共和国政府采购法》第二十二条第一款规定的六项条件。</w:t>
      </w:r>
    </w:p>
    <w:p>
      <w:pPr>
        <w:pStyle w:val="40"/>
        <w:numPr>
          <w:ilvl w:val="0"/>
          <w:numId w:val="26"/>
        </w:numPr>
        <w:tabs>
          <w:tab w:val="left" w:pos="-3780"/>
        </w:tabs>
        <w:spacing w:line="360" w:lineRule="auto"/>
        <w:rPr>
          <w:color w:val="000000"/>
          <w:sz w:val="24"/>
        </w:rPr>
      </w:pPr>
      <w:r>
        <w:rPr>
          <w:rFonts w:hint="eastAsia"/>
          <w:color w:val="000000"/>
          <w:sz w:val="24"/>
        </w:rPr>
        <w:t>我公司未被列入失信被执行人、重大税收违法案件当事人名单、政府采购严重违法失信行为记录名单</w:t>
      </w:r>
    </w:p>
    <w:p>
      <w:pPr>
        <w:pStyle w:val="40"/>
        <w:numPr>
          <w:ilvl w:val="0"/>
          <w:numId w:val="26"/>
        </w:numPr>
        <w:tabs>
          <w:tab w:val="left" w:pos="-3780"/>
        </w:tabs>
        <w:spacing w:line="360" w:lineRule="auto"/>
        <w:rPr>
          <w:color w:val="000000"/>
          <w:sz w:val="24"/>
        </w:rPr>
      </w:pPr>
      <w:r>
        <w:rPr>
          <w:rFonts w:hint="eastAsia"/>
          <w:color w:val="000000"/>
          <w:sz w:val="24"/>
        </w:rPr>
        <w:t>我公司参与该项目投标，严格遵守相关法律，投标做到诚实，不造假，不围标、串标、陪标。我公司已清楚，如违反上述要求，投标将无效处理，被列入不良记录名单并在网上曝光，同时将被提请深圳大学采购监督管理部门给予一定年限内禁止参与深圳大学后勤保障部采购活动或其他处罚。</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我公司如果中标，做到守信，不偷工减料，依照本项目招标文件需求内容、签署的采购合同及本公司在投标中所作的一切承诺履约。项目验收达到全部指标合格，力争优良。</w:t>
      </w:r>
    </w:p>
    <w:p>
      <w:pPr>
        <w:pStyle w:val="40"/>
        <w:numPr>
          <w:ilvl w:val="0"/>
          <w:numId w:val="26"/>
        </w:numPr>
        <w:tabs>
          <w:tab w:val="left" w:pos="-3780"/>
        </w:tabs>
        <w:spacing w:line="360" w:lineRule="auto"/>
        <w:rPr>
          <w:color w:val="000000"/>
          <w:sz w:val="24"/>
        </w:rPr>
      </w:pPr>
      <w:r>
        <w:rPr>
          <w:rFonts w:hint="eastAsia"/>
          <w:color w:val="000000"/>
          <w:sz w:val="24"/>
        </w:rPr>
        <w:t>我公司如果中标，做到守信，不偷工减料，依照本项目招标文件需求内容、签署的采购合同及本单位在投标中所作的一切承诺履约。我公司对本项目的报价负责，中标后将严格按照本项目招标文件需求、签署的采购合同及我公司在投标中所作的全部承诺履行。</w:t>
      </w:r>
    </w:p>
    <w:p>
      <w:pPr>
        <w:pStyle w:val="40"/>
        <w:numPr>
          <w:ilvl w:val="0"/>
          <w:numId w:val="26"/>
        </w:numPr>
        <w:tabs>
          <w:tab w:val="left" w:pos="-3780"/>
        </w:tabs>
        <w:spacing w:line="360" w:lineRule="auto"/>
        <w:rPr>
          <w:color w:val="000000"/>
          <w:sz w:val="24"/>
        </w:rPr>
      </w:pPr>
      <w:r>
        <w:rPr>
          <w:rFonts w:hint="eastAsia"/>
          <w:color w:val="000000"/>
          <w:sz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40"/>
        <w:numPr>
          <w:ilvl w:val="0"/>
          <w:numId w:val="26"/>
        </w:numPr>
        <w:tabs>
          <w:tab w:val="left" w:pos="-3780"/>
        </w:tabs>
        <w:spacing w:line="360" w:lineRule="auto"/>
        <w:rPr>
          <w:color w:val="000000"/>
          <w:sz w:val="24"/>
        </w:rPr>
      </w:pPr>
      <w:r>
        <w:rPr>
          <w:rFonts w:hint="eastAsia"/>
          <w:color w:val="000000"/>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pPr>
        <w:pStyle w:val="40"/>
        <w:numPr>
          <w:ilvl w:val="0"/>
          <w:numId w:val="26"/>
        </w:numPr>
        <w:tabs>
          <w:tab w:val="left" w:pos="-3780"/>
        </w:tabs>
        <w:spacing w:line="360" w:lineRule="auto"/>
        <w:rPr>
          <w:color w:val="000000"/>
          <w:sz w:val="24"/>
        </w:rPr>
      </w:pPr>
      <w:r>
        <w:rPr>
          <w:rFonts w:hint="eastAsia"/>
          <w:color w:val="000000"/>
          <w:sz w:val="24"/>
        </w:rPr>
        <w:t>我公司承诺不违法分包转包。</w:t>
      </w:r>
    </w:p>
    <w:p>
      <w:pPr>
        <w:pStyle w:val="40"/>
        <w:numPr>
          <w:ilvl w:val="0"/>
          <w:numId w:val="26"/>
        </w:numPr>
        <w:tabs>
          <w:tab w:val="left" w:pos="-3780"/>
        </w:tabs>
        <w:spacing w:line="360" w:lineRule="auto"/>
        <w:rPr>
          <w:color w:val="000000"/>
          <w:sz w:val="24"/>
        </w:rPr>
      </w:pPr>
      <w:r>
        <w:rPr>
          <w:rFonts w:hint="eastAsia" w:eastAsiaTheme="minorEastAsia"/>
          <w:color w:val="000000"/>
          <w:sz w:val="24"/>
        </w:rPr>
        <w:t>我公司</w:t>
      </w:r>
      <w:r>
        <w:rPr>
          <w:rFonts w:hint="eastAsia"/>
          <w:color w:val="000000"/>
          <w:sz w:val="24"/>
        </w:rPr>
        <w:t>接受、遵守、满足招标文件招标项目需求的全部内容。</w:t>
      </w:r>
    </w:p>
    <w:p>
      <w:pPr>
        <w:pStyle w:val="40"/>
        <w:numPr>
          <w:ilvl w:val="0"/>
          <w:numId w:val="26"/>
        </w:numPr>
        <w:tabs>
          <w:tab w:val="left" w:pos="-3780"/>
        </w:tabs>
        <w:spacing w:line="360" w:lineRule="auto"/>
        <w:rPr>
          <w:color w:val="000000"/>
          <w:sz w:val="24"/>
        </w:rPr>
      </w:pPr>
      <w:r>
        <w:rPr>
          <w:rFonts w:hint="eastAsia"/>
          <w:color w:val="000000"/>
          <w:sz w:val="24"/>
        </w:rPr>
        <w:t>我公司保证，若所投货物涉及《财政部生态环境部关于印发节能产品政府采购品目清单的通知》（财库〔</w:t>
      </w:r>
      <w:r>
        <w:rPr>
          <w:color w:val="000000"/>
          <w:sz w:val="24"/>
        </w:rPr>
        <w:t>2019</w:t>
      </w:r>
      <w:r>
        <w:rPr>
          <w:rFonts w:hint="eastAsia"/>
          <w:color w:val="000000"/>
          <w:sz w:val="24"/>
        </w:rPr>
        <w:t>〕</w:t>
      </w:r>
      <w:r>
        <w:rPr>
          <w:color w:val="000000"/>
          <w:sz w:val="24"/>
        </w:rPr>
        <w:t>19</w:t>
      </w:r>
      <w:r>
        <w:rPr>
          <w:rFonts w:hint="eastAsia"/>
          <w:color w:val="000000"/>
          <w:sz w:val="24"/>
        </w:rPr>
        <w:t>号）列明的政府采购强制产品，则所投该产品符合节能产品的认证要求。</w:t>
      </w:r>
    </w:p>
    <w:p>
      <w:pPr>
        <w:tabs>
          <w:tab w:val="left" w:pos="-3780"/>
        </w:tabs>
        <w:spacing w:line="360" w:lineRule="auto"/>
        <w:ind w:firstLine="480" w:firstLineChars="200"/>
        <w:rPr>
          <w:rFonts w:ascii="宋体" w:hAnsi="宋体" w:eastAsia="Times New Roman"/>
          <w:color w:val="000000"/>
          <w:sz w:val="24"/>
        </w:rPr>
      </w:pPr>
    </w:p>
    <w:p>
      <w:pPr>
        <w:tabs>
          <w:tab w:val="left" w:pos="-3780"/>
        </w:tabs>
        <w:spacing w:line="360" w:lineRule="auto"/>
        <w:ind w:firstLine="480" w:firstLineChars="200"/>
        <w:rPr>
          <w:rFonts w:ascii="宋体" w:hAnsi="宋体" w:eastAsia="Times New Roman"/>
          <w:color w:val="000000"/>
          <w:sz w:val="24"/>
        </w:rPr>
      </w:pPr>
      <w:r>
        <w:rPr>
          <w:rFonts w:hint="eastAsia" w:ascii="宋体" w:hAnsi="宋体" w:eastAsia="Times New Roman"/>
          <w:color w:val="000000"/>
          <w:sz w:val="24"/>
        </w:rPr>
        <w:t>以上承诺，如有违反，愿依照国家相关法律处理，并承担由此给采购人带来的损失。</w:t>
      </w:r>
    </w:p>
    <w:p>
      <w:pPr>
        <w:tabs>
          <w:tab w:val="left" w:pos="-3780"/>
        </w:tabs>
        <w:spacing w:line="360" w:lineRule="auto"/>
        <w:ind w:firstLine="480" w:firstLineChars="200"/>
        <w:rPr>
          <w:color w:val="000000"/>
          <w:sz w:val="24"/>
        </w:rPr>
      </w:pPr>
    </w:p>
    <w:p>
      <w:pPr>
        <w:tabs>
          <w:tab w:val="left" w:pos="-3780"/>
        </w:tabs>
        <w:spacing w:line="360" w:lineRule="auto"/>
        <w:ind w:firstLine="480" w:firstLineChars="200"/>
        <w:rPr>
          <w:color w:val="000000"/>
          <w:sz w:val="24"/>
        </w:rPr>
      </w:pPr>
      <w:r>
        <w:rPr>
          <w:rFonts w:hint="eastAsia"/>
          <w:color w:val="000000"/>
          <w:sz w:val="24"/>
        </w:rPr>
        <w:t>投标人：</w:t>
      </w:r>
      <w:r>
        <w:rPr>
          <w:rFonts w:hint="eastAsia"/>
          <w:color w:val="000000"/>
          <w:sz w:val="24"/>
          <w:u w:val="single"/>
        </w:rPr>
        <w:t xml:space="preserve">                           （公司名全称）</w:t>
      </w:r>
      <w:r>
        <w:rPr>
          <w:rFonts w:hint="eastAsia"/>
          <w:color w:val="000000"/>
          <w:sz w:val="24"/>
        </w:rPr>
        <w:t>（公章）</w:t>
      </w:r>
    </w:p>
    <w:p>
      <w:pPr>
        <w:tabs>
          <w:tab w:val="left" w:pos="-3780"/>
        </w:tabs>
        <w:spacing w:line="360" w:lineRule="auto"/>
        <w:ind w:firstLine="480" w:firstLineChars="200"/>
        <w:rPr>
          <w:color w:val="000000"/>
          <w:sz w:val="24"/>
          <w:u w:val="single"/>
        </w:rPr>
      </w:pPr>
      <w:r>
        <w:rPr>
          <w:rFonts w:hint="eastAsia"/>
          <w:color w:val="000000"/>
          <w:sz w:val="24"/>
        </w:rPr>
        <w:t>法定代表人或授权代表：</w:t>
      </w:r>
      <w:r>
        <w:rPr>
          <w:rFonts w:hint="eastAsia"/>
          <w:color w:val="000000"/>
          <w:sz w:val="24"/>
          <w:u w:val="single"/>
        </w:rPr>
        <w:t xml:space="preserve">              （亲笔签名）</w:t>
      </w:r>
    </w:p>
    <w:p>
      <w:pPr>
        <w:tabs>
          <w:tab w:val="left" w:pos="-3780"/>
        </w:tabs>
        <w:spacing w:line="360" w:lineRule="auto"/>
        <w:ind w:firstLine="480" w:firstLineChars="200"/>
        <w:rPr>
          <w:color w:val="000000"/>
          <w:sz w:val="24"/>
          <w:u w:val="single"/>
        </w:rPr>
      </w:pPr>
      <w:r>
        <w:rPr>
          <w:rFonts w:hint="eastAsia"/>
          <w:color w:val="000000"/>
          <w:sz w:val="24"/>
        </w:rPr>
        <w:t>通讯地址：邮政编码：</w:t>
      </w:r>
    </w:p>
    <w:p>
      <w:pPr>
        <w:tabs>
          <w:tab w:val="left" w:pos="-3780"/>
        </w:tabs>
        <w:spacing w:line="360" w:lineRule="auto"/>
        <w:ind w:firstLine="480" w:firstLineChars="200"/>
        <w:rPr>
          <w:color w:val="000000"/>
          <w:sz w:val="24"/>
          <w:u w:val="single"/>
        </w:rPr>
      </w:pPr>
      <w:r>
        <w:rPr>
          <w:rFonts w:hint="eastAsia"/>
          <w:color w:val="000000"/>
          <w:sz w:val="24"/>
        </w:rPr>
        <w:t>电话：传真：</w:t>
      </w:r>
    </w:p>
    <w:p>
      <w:pPr>
        <w:tabs>
          <w:tab w:val="left" w:pos="-3780"/>
        </w:tabs>
        <w:spacing w:line="360" w:lineRule="auto"/>
        <w:ind w:firstLine="480" w:firstLineChars="200"/>
        <w:rPr>
          <w:color w:val="000000"/>
          <w:sz w:val="24"/>
        </w:rPr>
      </w:pPr>
      <w:r>
        <w:rPr>
          <w:rFonts w:hint="eastAsia"/>
          <w:color w:val="000000"/>
          <w:sz w:val="24"/>
        </w:rPr>
        <w:t>承诺日期：      年    月    日</w:t>
      </w: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80" w:firstLineChars="200"/>
        <w:rPr>
          <w:rFonts w:eastAsiaTheme="minorEastAsia"/>
          <w:color w:val="000000"/>
          <w:sz w:val="24"/>
        </w:rPr>
      </w:pPr>
    </w:p>
    <w:p>
      <w:pPr>
        <w:tabs>
          <w:tab w:val="left" w:pos="-3780"/>
        </w:tabs>
        <w:spacing w:line="360" w:lineRule="auto"/>
        <w:ind w:firstLine="420" w:firstLineChars="200"/>
        <w:rPr>
          <w:rFonts w:eastAsiaTheme="minorEastAsia"/>
          <w:color w:val="FF0000"/>
          <w:lang w:val="en-GB"/>
        </w:rPr>
      </w:pPr>
      <w:r>
        <w:rPr>
          <w:rFonts w:hint="eastAsia"/>
          <w:color w:val="FF0000"/>
          <w:lang w:val="en-GB"/>
        </w:rPr>
        <w:t>注：本承诺函内容不得擅自修改。</w:t>
      </w:r>
    </w:p>
    <w:p>
      <w:pPr>
        <w:tabs>
          <w:tab w:val="left" w:pos="-3780"/>
        </w:tabs>
        <w:spacing w:line="360" w:lineRule="auto"/>
        <w:ind w:firstLine="420" w:firstLineChars="200"/>
        <w:rPr>
          <w:rFonts w:eastAsiaTheme="minorEastAsia"/>
          <w:color w:val="FF0000"/>
          <w:lang w:val="en-GB"/>
        </w:rPr>
      </w:pPr>
    </w:p>
    <w:p>
      <w:pPr>
        <w:tabs>
          <w:tab w:val="left" w:pos="-3780"/>
        </w:tabs>
        <w:spacing w:line="360" w:lineRule="auto"/>
        <w:ind w:firstLine="420" w:firstLineChars="200"/>
        <w:rPr>
          <w:rFonts w:eastAsiaTheme="minorEastAsia"/>
          <w:color w:val="FF0000"/>
          <w:lang w:val="en-GB"/>
        </w:rPr>
      </w:pPr>
    </w:p>
    <w:p>
      <w:pPr>
        <w:pStyle w:val="4"/>
        <w:jc w:val="center"/>
        <w:rPr>
          <w:rFonts w:ascii="华文新魏" w:hAnsi="MS Sans Serif" w:eastAsia="华文新魏"/>
          <w:sz w:val="48"/>
          <w:szCs w:val="20"/>
        </w:rPr>
      </w:pPr>
    </w:p>
    <w:p>
      <w:pPr>
        <w:rPr>
          <w:rFonts w:eastAsiaTheme="minorEastAsia"/>
        </w:rPr>
      </w:pPr>
    </w:p>
    <w:p>
      <w:pPr>
        <w:rPr>
          <w:rFonts w:eastAsiaTheme="minorEastAsia"/>
        </w:rPr>
      </w:pPr>
    </w:p>
    <w:bookmarkEnd w:id="4"/>
    <w:bookmarkEnd w:id="5"/>
    <w:bookmarkEnd w:id="6"/>
    <w:p>
      <w:pPr>
        <w:tabs>
          <w:tab w:val="left" w:pos="-3780"/>
        </w:tabs>
        <w:spacing w:line="360" w:lineRule="auto"/>
        <w:jc w:val="center"/>
        <w:rPr>
          <w:rFonts w:hAnsi="宋体" w:eastAsia="宋体"/>
        </w:rPr>
      </w:pPr>
      <w:r>
        <w:br w:type="page"/>
      </w:r>
      <w:r>
        <w:rPr>
          <w:rFonts w:ascii="华文新魏" w:hAnsi="华文新魏" w:eastAsia="华文新魏"/>
          <w:b/>
          <w:sz w:val="48"/>
          <w:szCs w:val="48"/>
        </w:rPr>
        <w:t>施工负责人简历表</w:t>
      </w:r>
    </w:p>
    <w:p>
      <w:pPr>
        <w:spacing w:after="160" w:line="360" w:lineRule="auto"/>
        <w:rPr>
          <w:rFonts w:ascii="宋体" w:hAnsi="宋体" w:eastAsia="宋体"/>
          <w:b/>
        </w:rPr>
      </w:pP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533"/>
        <w:gridCol w:w="1243"/>
        <w:gridCol w:w="179"/>
        <w:gridCol w:w="1282"/>
        <w:gridCol w:w="1812"/>
        <w:gridCol w:w="1067"/>
        <w:gridCol w:w="27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姓名</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性  别</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年  龄</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职务</w:t>
            </w:r>
          </w:p>
        </w:tc>
        <w:tc>
          <w:tcPr>
            <w:tcW w:w="1955" w:type="dxa"/>
            <w:gridSpan w:val="3"/>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职  称</w:t>
            </w:r>
          </w:p>
        </w:tc>
        <w:tc>
          <w:tcPr>
            <w:tcW w:w="1812" w:type="dxa"/>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学  历</w:t>
            </w:r>
          </w:p>
        </w:tc>
        <w:tc>
          <w:tcPr>
            <w:tcW w:w="1521" w:type="dxa"/>
            <w:gridSpan w:val="2"/>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85"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手机号码</w:t>
            </w:r>
          </w:p>
        </w:tc>
        <w:tc>
          <w:tcPr>
            <w:tcW w:w="1955" w:type="dxa"/>
            <w:gridSpan w:val="3"/>
            <w:vAlign w:val="center"/>
          </w:tcPr>
          <w:p>
            <w:pPr>
              <w:spacing w:after="160" w:line="360" w:lineRule="auto"/>
              <w:ind w:left="-107" w:right="-107"/>
              <w:rPr>
                <w:rFonts w:ascii="宋体" w:hAnsi="Times New Roman" w:eastAsia="Times New Roman"/>
              </w:rPr>
            </w:pP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参加工作时间</w:t>
            </w:r>
          </w:p>
        </w:tc>
        <w:tc>
          <w:tcPr>
            <w:tcW w:w="1812" w:type="dxa"/>
            <w:vAlign w:val="center"/>
          </w:tcPr>
          <w:p>
            <w:pPr>
              <w:spacing w:after="160" w:line="360" w:lineRule="auto"/>
              <w:ind w:left="-107" w:right="-107"/>
              <w:rPr>
                <w:rFonts w:ascii="宋体" w:hAnsi="Times New Roman" w:eastAsia="Times New Roman"/>
              </w:rPr>
            </w:pPr>
          </w:p>
        </w:tc>
        <w:tc>
          <w:tcPr>
            <w:tcW w:w="1067" w:type="dxa"/>
            <w:vAlign w:val="center"/>
          </w:tcPr>
          <w:p>
            <w:pPr>
              <w:spacing w:after="160" w:line="360" w:lineRule="auto"/>
              <w:ind w:left="-107" w:right="-107"/>
              <w:rPr>
                <w:rFonts w:ascii="宋体" w:hAnsi="Times New Roman" w:eastAsia="Times New Roman"/>
              </w:rPr>
            </w:pPr>
            <w:r>
              <w:rPr>
                <w:rFonts w:ascii="宋体" w:hAnsi="Times New Roman" w:eastAsia="Times New Roman"/>
              </w:rPr>
              <w:t>从事施工管理工作年限</w:t>
            </w:r>
          </w:p>
        </w:tc>
        <w:tc>
          <w:tcPr>
            <w:tcW w:w="1521" w:type="dxa"/>
            <w:gridSpan w:val="2"/>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661" w:type="dxa"/>
            <w:gridSpan w:val="3"/>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相关资格证书</w:t>
            </w:r>
          </w:p>
        </w:tc>
        <w:tc>
          <w:tcPr>
            <w:tcW w:w="5861" w:type="dxa"/>
            <w:gridSpan w:val="6"/>
            <w:vAlign w:val="center"/>
          </w:tcPr>
          <w:p>
            <w:pPr>
              <w:spacing w:after="160" w:line="360" w:lineRule="auto"/>
              <w:ind w:left="-107" w:right="-107"/>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8522" w:type="dxa"/>
            <w:gridSpan w:val="9"/>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418"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建设单位</w:t>
            </w:r>
          </w:p>
        </w:tc>
        <w:tc>
          <w:tcPr>
            <w:tcW w:w="1422"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项目名称</w:t>
            </w:r>
          </w:p>
        </w:tc>
        <w:tc>
          <w:tcPr>
            <w:tcW w:w="128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建设规模</w:t>
            </w:r>
          </w:p>
        </w:tc>
        <w:tc>
          <w:tcPr>
            <w:tcW w:w="1812"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开、竣工日期</w:t>
            </w:r>
          </w:p>
        </w:tc>
        <w:tc>
          <w:tcPr>
            <w:tcW w:w="1345" w:type="dxa"/>
            <w:gridSpan w:val="2"/>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在建或已完</w:t>
            </w:r>
          </w:p>
        </w:tc>
        <w:tc>
          <w:tcPr>
            <w:tcW w:w="1243" w:type="dxa"/>
            <w:vAlign w:val="center"/>
          </w:tcPr>
          <w:p>
            <w:pPr>
              <w:spacing w:after="160" w:line="360" w:lineRule="auto"/>
              <w:ind w:left="-107" w:right="-107"/>
              <w:jc w:val="center"/>
              <w:rPr>
                <w:rFonts w:ascii="宋体" w:hAnsi="Times New Roman" w:eastAsia="Times New Roman"/>
              </w:rPr>
            </w:pPr>
            <w:r>
              <w:rPr>
                <w:rFonts w:ascii="宋体" w:hAnsi="Times New Roman" w:eastAsia="Times New Roman"/>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418" w:type="dxa"/>
            <w:gridSpan w:val="2"/>
          </w:tcPr>
          <w:p>
            <w:pPr>
              <w:spacing w:after="160" w:line="360" w:lineRule="auto"/>
              <w:rPr>
                <w:rFonts w:ascii="宋体" w:hAnsi="Times New Roman" w:eastAsia="Times New Roman"/>
              </w:rPr>
            </w:pPr>
          </w:p>
        </w:tc>
        <w:tc>
          <w:tcPr>
            <w:tcW w:w="1422" w:type="dxa"/>
            <w:gridSpan w:val="2"/>
          </w:tcPr>
          <w:p>
            <w:pPr>
              <w:spacing w:after="160" w:line="360" w:lineRule="auto"/>
              <w:rPr>
                <w:rFonts w:ascii="宋体" w:hAnsi="Times New Roman" w:eastAsia="Times New Roman"/>
              </w:rPr>
            </w:pPr>
          </w:p>
        </w:tc>
        <w:tc>
          <w:tcPr>
            <w:tcW w:w="1282" w:type="dxa"/>
          </w:tcPr>
          <w:p>
            <w:pPr>
              <w:spacing w:after="160" w:line="360" w:lineRule="auto"/>
              <w:rPr>
                <w:rFonts w:ascii="宋体" w:hAnsi="Times New Roman" w:eastAsia="Times New Roman"/>
              </w:rPr>
            </w:pPr>
          </w:p>
        </w:tc>
        <w:tc>
          <w:tcPr>
            <w:tcW w:w="1812" w:type="dxa"/>
          </w:tcPr>
          <w:p>
            <w:pPr>
              <w:spacing w:after="160" w:line="360" w:lineRule="auto"/>
              <w:rPr>
                <w:rFonts w:ascii="宋体" w:hAnsi="Times New Roman" w:eastAsia="Times New Roman"/>
              </w:rPr>
            </w:pPr>
          </w:p>
        </w:tc>
        <w:tc>
          <w:tcPr>
            <w:tcW w:w="1345" w:type="dxa"/>
            <w:gridSpan w:val="2"/>
          </w:tcPr>
          <w:p>
            <w:pPr>
              <w:spacing w:after="160" w:line="360" w:lineRule="auto"/>
              <w:rPr>
                <w:rFonts w:ascii="宋体" w:hAnsi="Times New Roman" w:eastAsia="Times New Roman"/>
              </w:rPr>
            </w:pPr>
          </w:p>
        </w:tc>
        <w:tc>
          <w:tcPr>
            <w:tcW w:w="1243" w:type="dxa"/>
          </w:tcPr>
          <w:p>
            <w:pPr>
              <w:spacing w:after="160" w:line="360" w:lineRule="auto"/>
              <w:rPr>
                <w:rFonts w:ascii="宋体" w:hAnsi="Times New Roman" w:eastAsia="Times New Roman"/>
              </w:rPr>
            </w:pPr>
          </w:p>
        </w:tc>
      </w:tr>
    </w:tbl>
    <w:p>
      <w:pPr>
        <w:spacing w:after="160" w:line="360" w:lineRule="auto"/>
        <w:ind w:right="-89"/>
        <w:jc w:val="left"/>
        <w:rPr>
          <w:rFonts w:ascii="宋体" w:hAnsi="宋体" w:eastAsia="宋体"/>
        </w:rPr>
      </w:pPr>
      <w:bookmarkStart w:id="7" w:name="_技术条款响应表"/>
      <w:bookmarkEnd w:id="7"/>
      <w:bookmarkStart w:id="8" w:name="_2.8_拟任本项目管理及技术人员"/>
      <w:bookmarkEnd w:id="8"/>
      <w:bookmarkStart w:id="9" w:name="_保证金退付书"/>
      <w:bookmarkEnd w:id="9"/>
      <w:bookmarkStart w:id="10" w:name="_附__件"/>
      <w:bookmarkEnd w:id="10"/>
      <w:bookmarkStart w:id="11" w:name="_商务条款响应表"/>
      <w:bookmarkEnd w:id="11"/>
      <w:bookmarkStart w:id="12" w:name="_投标报价一览表"/>
      <w:bookmarkEnd w:id="12"/>
      <w:bookmarkStart w:id="13" w:name="_详细配置及工程量清单"/>
      <w:bookmarkEnd w:id="13"/>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身份证正面</w:t>
            </w:r>
          </w:p>
        </w:tc>
        <w:tc>
          <w:tcPr>
            <w:tcW w:w="4261" w:type="dxa"/>
            <w:shd w:val="clear" w:color="000000" w:fill="auto"/>
            <w:vAlign w:val="center"/>
          </w:tcPr>
          <w:p>
            <w:pPr>
              <w:spacing w:after="160" w:line="360" w:lineRule="auto"/>
              <w:ind w:right="-89"/>
              <w:jc w:val="center"/>
              <w:rPr>
                <w:rFonts w:ascii="宋体" w:hAnsi="宋体" w:eastAsia="宋体"/>
              </w:rPr>
            </w:pPr>
            <w:r>
              <w:rPr>
                <w:rFonts w:ascii="宋体" w:hAnsi="宋体" w:eastAsia="宋体"/>
              </w:rPr>
              <w:t>身份证反面</w:t>
            </w:r>
          </w:p>
        </w:tc>
      </w:tr>
    </w:tbl>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投标人名称：（盖章）</w:t>
      </w:r>
    </w:p>
    <w:p>
      <w:pPr>
        <w:spacing w:after="160" w:line="360" w:lineRule="auto"/>
        <w:ind w:right="-89" w:firstLine="4935"/>
        <w:jc w:val="left"/>
        <w:rPr>
          <w:rFonts w:ascii="宋体" w:hAnsi="宋体" w:eastAsia="宋体"/>
        </w:rPr>
      </w:pPr>
    </w:p>
    <w:p>
      <w:pPr>
        <w:spacing w:after="160" w:line="360" w:lineRule="auto"/>
        <w:ind w:right="-89" w:firstLine="4935"/>
        <w:jc w:val="left"/>
        <w:rPr>
          <w:rFonts w:ascii="宋体" w:hAnsi="宋体" w:eastAsia="宋体"/>
        </w:rPr>
      </w:pPr>
      <w:r>
        <w:rPr>
          <w:rFonts w:ascii="宋体" w:hAnsi="宋体" w:eastAsia="宋体"/>
        </w:rPr>
        <w:t xml:space="preserve">投标人授权代表签字：          </w:t>
      </w:r>
    </w:p>
    <w:p>
      <w:pPr>
        <w:spacing w:after="160" w:line="360" w:lineRule="auto"/>
        <w:ind w:right="-89" w:firstLine="4935"/>
        <w:jc w:val="left"/>
        <w:rPr>
          <w:rFonts w:ascii="仿宋_GB2312" w:hAnsi="仿宋_GB2312" w:eastAsia="仿宋_GB2312"/>
        </w:rPr>
      </w:pPr>
      <w:r>
        <w:rPr>
          <w:rFonts w:ascii="宋体" w:hAnsi="宋体" w:eastAsia="宋体"/>
        </w:rPr>
        <w:t xml:space="preserve">日    期：             </w:t>
      </w:r>
      <w:bookmarkStart w:id="14" w:name="_投标承诺函"/>
      <w:bookmarkEnd w:id="14"/>
      <w:bookmarkStart w:id="15" w:name="_Toc38337722"/>
      <w:bookmarkStart w:id="16" w:name="_Toc49329276"/>
      <w:bookmarkStart w:id="17" w:name="_Toc119321166"/>
    </w:p>
    <w:p>
      <w:pPr>
        <w:spacing w:after="160"/>
        <w:ind w:firstLine="2310"/>
        <w:jc w:val="left"/>
        <w:rPr>
          <w:rFonts w:ascii="仿宋_GB2312" w:hAnsi="仿宋_GB2312" w:eastAsia="仿宋_GB2312"/>
        </w:rPr>
      </w:pPr>
      <w:r>
        <w:br w:type="page"/>
      </w:r>
      <w:r>
        <w:rPr>
          <w:rFonts w:ascii="华文新魏" w:hAnsi="华文新魏" w:eastAsia="华文新魏"/>
          <w:b/>
          <w:sz w:val="48"/>
          <w:szCs w:val="48"/>
        </w:rPr>
        <w:t>文件袋封</w:t>
      </w:r>
      <w:bookmarkEnd w:id="15"/>
      <w:r>
        <w:rPr>
          <w:rFonts w:ascii="华文新魏" w:hAnsi="华文新魏" w:eastAsia="华文新魏"/>
          <w:b/>
          <w:sz w:val="48"/>
          <w:szCs w:val="48"/>
        </w:rPr>
        <w:t>面</w:t>
      </w:r>
      <w:bookmarkEnd w:id="16"/>
      <w:r>
        <w:rPr>
          <w:rFonts w:ascii="华文新魏" w:hAnsi="华文新魏" w:eastAsia="华文新魏"/>
          <w:b/>
          <w:sz w:val="48"/>
          <w:szCs w:val="48"/>
        </w:rPr>
        <w:t>格式</w:t>
      </w:r>
      <w:bookmarkEnd w:id="17"/>
    </w:p>
    <w:tbl>
      <w:tblPr>
        <w:tblStyle w:val="25"/>
        <w:tblW w:w="852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000000" w:fill="FCFEEA"/>
          </w:tcPr>
          <w:p>
            <w:pPr>
              <w:snapToGrid w:val="0"/>
              <w:spacing w:after="160"/>
              <w:jc w:val="center"/>
              <w:rPr>
                <w:rFonts w:hAnsi="宋体" w:eastAsia="宋体"/>
                <w:b/>
                <w:color w:val="000000"/>
                <w:sz w:val="30"/>
                <w:szCs w:val="30"/>
              </w:rPr>
            </w:pPr>
          </w:p>
          <w:p>
            <w:pPr>
              <w:spacing w:after="160"/>
              <w:jc w:val="center"/>
              <w:rPr>
                <w:rFonts w:ascii="隶书" w:hAnsi="隶书" w:eastAsia="隶书"/>
                <w:b/>
                <w:color w:val="000000"/>
                <w:sz w:val="48"/>
                <w:szCs w:val="48"/>
              </w:rPr>
            </w:pPr>
            <w:bookmarkStart w:id="18" w:name="_Toc108234932"/>
            <w:r>
              <w:rPr>
                <w:rFonts w:ascii="隶书" w:hAnsi="隶书" w:eastAsia="隶书"/>
                <w:b/>
                <w:color w:val="000000"/>
                <w:sz w:val="48"/>
                <w:szCs w:val="48"/>
              </w:rPr>
              <w:t>工程投标文件</w:t>
            </w:r>
            <w:bookmarkEnd w:id="18"/>
          </w:p>
          <w:p>
            <w:pPr>
              <w:spacing w:after="160"/>
              <w:jc w:val="center"/>
              <w:rPr>
                <w:rFonts w:ascii="黑体" w:hAnsi="黑体" w:eastAsia="黑体"/>
                <w:b/>
                <w:color w:val="000000"/>
                <w:sz w:val="28"/>
                <w:szCs w:val="28"/>
              </w:rPr>
            </w:pPr>
            <w:r>
              <w:rPr>
                <w:rFonts w:ascii="黑体" w:hAnsi="黑体" w:eastAsia="黑体"/>
                <w:b/>
                <w:color w:val="000000"/>
                <w:sz w:val="28"/>
                <w:szCs w:val="28"/>
              </w:rPr>
              <w:t>内容：正、副本文件</w:t>
            </w:r>
          </w:p>
          <w:p>
            <w:pPr>
              <w:spacing w:after="160"/>
              <w:jc w:val="center"/>
              <w:rPr>
                <w:rFonts w:hAnsi="宋体" w:eastAsia="宋体"/>
                <w:b/>
                <w:color w:val="000000"/>
                <w:sz w:val="32"/>
                <w:szCs w:val="32"/>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投 标 人：</w:t>
            </w:r>
          </w:p>
          <w:p>
            <w:pPr>
              <w:spacing w:after="160" w:line="360" w:lineRule="auto"/>
              <w:rPr>
                <w:rFonts w:hAnsi="宋体" w:eastAsia="宋体"/>
                <w:color w:val="000000"/>
                <w:sz w:val="24"/>
                <w:szCs w:val="24"/>
                <w:u w:val="single"/>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招标编号：</w:t>
            </w:r>
          </w:p>
          <w:p>
            <w:pPr>
              <w:spacing w:after="160" w:line="360" w:lineRule="auto"/>
              <w:ind w:left="176" w:firstLine="960"/>
              <w:rPr>
                <w:rFonts w:hAnsi="宋体" w:eastAsia="宋体"/>
                <w:color w:val="000000"/>
                <w:sz w:val="24"/>
                <w:szCs w:val="24"/>
              </w:rPr>
            </w:pPr>
          </w:p>
          <w:p>
            <w:pPr>
              <w:spacing w:after="160" w:line="360" w:lineRule="auto"/>
              <w:ind w:left="176" w:firstLine="960"/>
              <w:rPr>
                <w:rFonts w:hAnsi="宋体" w:eastAsia="宋体"/>
                <w:color w:val="000000"/>
                <w:sz w:val="24"/>
                <w:szCs w:val="24"/>
                <w:u w:val="single"/>
              </w:rPr>
            </w:pPr>
            <w:r>
              <w:rPr>
                <w:rFonts w:hAnsi="宋体" w:eastAsia="宋体"/>
                <w:color w:val="000000"/>
                <w:sz w:val="24"/>
                <w:szCs w:val="24"/>
              </w:rPr>
              <w:t>项目名称：</w:t>
            </w:r>
          </w:p>
          <w:p>
            <w:pPr>
              <w:spacing w:after="160" w:line="360" w:lineRule="auto"/>
              <w:ind w:left="176" w:firstLine="960"/>
              <w:rPr>
                <w:rFonts w:hAnsi="宋体" w:eastAsia="宋体"/>
                <w:color w:val="000000"/>
                <w:sz w:val="24"/>
                <w:szCs w:val="24"/>
                <w:u w:val="single"/>
              </w:rPr>
            </w:pPr>
          </w:p>
          <w:p>
            <w:pPr>
              <w:spacing w:after="160"/>
              <w:jc w:val="center"/>
              <w:rPr>
                <w:rFonts w:hAnsi="宋体" w:eastAsia="宋体"/>
                <w:b/>
                <w:color w:val="000000"/>
              </w:rPr>
            </w:pPr>
            <w:r>
              <w:rPr>
                <w:rFonts w:hAnsi="宋体" w:eastAsia="宋体"/>
                <w:b/>
                <w:color w:val="000000"/>
              </w:rPr>
              <w:t>在</w:t>
            </w:r>
            <w:r>
              <w:rPr>
                <w:rFonts w:hAnsi="宋体" w:eastAsia="宋体"/>
                <w:b/>
                <w:color w:val="FF0000"/>
              </w:rPr>
              <w:t xml:space="preserve"> 2022年</w:t>
            </w:r>
            <w:r>
              <w:rPr>
                <w:rFonts w:hint="eastAsia" w:hAnsi="宋体" w:eastAsia="宋体"/>
                <w:b/>
                <w:color w:val="FF0000"/>
              </w:rPr>
              <w:t>9</w:t>
            </w:r>
            <w:r>
              <w:rPr>
                <w:rFonts w:hAnsi="宋体" w:eastAsia="宋体"/>
                <w:b/>
                <w:color w:val="FF0000"/>
              </w:rPr>
              <w:t>月13日15点</w:t>
            </w:r>
            <w:r>
              <w:rPr>
                <w:rFonts w:hAnsi="宋体" w:eastAsia="宋体"/>
                <w:b/>
                <w:color w:val="000000"/>
              </w:rPr>
              <w:t>之前不得启封</w:t>
            </w:r>
          </w:p>
          <w:p>
            <w:pPr>
              <w:spacing w:after="160"/>
              <w:jc w:val="center"/>
              <w:rPr>
                <w:rFonts w:hAnsi="宋体" w:eastAsia="宋体"/>
                <w:b/>
                <w:color w:val="000000"/>
              </w:rPr>
            </w:pPr>
          </w:p>
          <w:p>
            <w:pPr>
              <w:spacing w:after="160"/>
              <w:jc w:val="center"/>
              <w:rPr>
                <w:rFonts w:hAnsi="宋体" w:eastAsia="宋体"/>
                <w:color w:val="000000"/>
              </w:rPr>
            </w:pPr>
            <w:r>
              <w:rPr>
                <w:rFonts w:hAnsi="宋体" w:eastAsia="宋体"/>
                <w:b/>
                <w:color w:val="000000"/>
              </w:rPr>
              <w:t>递交地点：</w:t>
            </w:r>
            <w:r>
              <w:rPr>
                <w:rFonts w:ascii="宋体" w:hAnsi="宋体" w:eastAsia="宋体"/>
                <w:color w:val="000000"/>
              </w:rPr>
              <w:t>深圳大学</w:t>
            </w:r>
            <w:r>
              <w:rPr>
                <w:rFonts w:hint="eastAsia" w:ascii="宋体" w:hAnsi="宋体" w:eastAsia="宋体"/>
                <w:color w:val="000000"/>
              </w:rPr>
              <w:t>守正楼A座</w:t>
            </w:r>
            <w:r>
              <w:rPr>
                <w:rFonts w:ascii="宋体" w:hAnsi="宋体" w:eastAsia="宋体"/>
                <w:color w:val="000000"/>
              </w:rPr>
              <w:t>212室</w:t>
            </w:r>
          </w:p>
          <w:p>
            <w:pPr>
              <w:spacing w:after="160"/>
              <w:jc w:val="center"/>
              <w:rPr>
                <w:rFonts w:hAnsi="宋体" w:eastAsia="宋体"/>
                <w:color w:val="000000"/>
              </w:rPr>
            </w:pPr>
          </w:p>
        </w:tc>
      </w:tr>
    </w:tbl>
    <w:p>
      <w:pPr>
        <w:spacing w:after="160" w:line="360" w:lineRule="auto"/>
        <w:ind w:firstLine="482"/>
        <w:rPr>
          <w:rFonts w:hAnsi="宋体" w:eastAsia="宋体"/>
          <w:b/>
          <w:color w:val="FF0000"/>
          <w:sz w:val="24"/>
          <w:szCs w:val="24"/>
        </w:rPr>
      </w:pPr>
      <w:r>
        <w:rPr>
          <w:rFonts w:hAnsi="宋体" w:eastAsia="宋体"/>
          <w:b/>
          <w:color w:val="FF0000"/>
          <w:sz w:val="24"/>
          <w:szCs w:val="24"/>
        </w:rPr>
        <w:t>重要提示：</w:t>
      </w:r>
    </w:p>
    <w:p>
      <w:pPr>
        <w:numPr>
          <w:ilvl w:val="0"/>
          <w:numId w:val="27"/>
        </w:numPr>
        <w:tabs>
          <w:tab w:val="left" w:pos="1200"/>
        </w:tabs>
        <w:spacing w:after="160" w:line="360" w:lineRule="auto"/>
        <w:ind w:left="840"/>
        <w:rPr>
          <w:rFonts w:ascii="宋体" w:hAnsi="宋体" w:eastAsia="宋体"/>
          <w:color w:val="FF0000"/>
          <w:sz w:val="24"/>
          <w:szCs w:val="24"/>
        </w:rPr>
      </w:pPr>
      <w:r>
        <w:rPr>
          <w:rFonts w:ascii="宋体" w:hAnsi="宋体" w:eastAsia="宋体"/>
          <w:color w:val="FF0000"/>
          <w:sz w:val="24"/>
          <w:szCs w:val="24"/>
        </w:rPr>
        <w:t>正、副本必须合并封装并标贴此封面，封口处加盖公章。</w:t>
      </w:r>
    </w:p>
    <w:p>
      <w:pPr>
        <w:numPr>
          <w:ilvl w:val="0"/>
          <w:numId w:val="27"/>
        </w:numPr>
        <w:tabs>
          <w:tab w:val="left" w:pos="1200"/>
        </w:tabs>
        <w:spacing w:after="160" w:line="360" w:lineRule="auto"/>
        <w:ind w:left="840"/>
        <w:rPr>
          <w:rFonts w:hAnsi="宋体" w:eastAsia="宋体"/>
          <w:color w:val="FF0000"/>
          <w:sz w:val="24"/>
          <w:szCs w:val="24"/>
        </w:rPr>
      </w:pPr>
      <w:r>
        <w:rPr>
          <w:rFonts w:hAnsi="宋体" w:eastAsia="宋体"/>
          <w:color w:val="FF0000"/>
          <w:sz w:val="24"/>
          <w:szCs w:val="24"/>
        </w:rPr>
        <w:t>开标报价内容正本与副本必须一致，否则，以正本开标报价为准。</w:t>
      </w:r>
    </w:p>
    <w:p>
      <w:pPr>
        <w:numPr>
          <w:ilvl w:val="0"/>
          <w:numId w:val="27"/>
        </w:numPr>
        <w:tabs>
          <w:tab w:val="left" w:pos="1200"/>
        </w:tabs>
        <w:spacing w:after="160" w:line="360" w:lineRule="auto"/>
        <w:ind w:left="840"/>
        <w:rPr>
          <w:rFonts w:hAnsi="宋体" w:eastAsia="宋体"/>
        </w:rPr>
      </w:pPr>
      <w:r>
        <w:rPr>
          <w:rFonts w:hAnsi="宋体" w:eastAsia="宋体"/>
          <w:color w:val="FF0000"/>
          <w:sz w:val="24"/>
          <w:szCs w:val="24"/>
        </w:rPr>
        <w:t>递交投标文件时务请提早到达！</w:t>
      </w:r>
    </w:p>
    <w:p>
      <w:pPr>
        <w:tabs>
          <w:tab w:val="left" w:pos="780"/>
          <w:tab w:val="left" w:pos="1200"/>
        </w:tabs>
        <w:spacing w:after="160" w:line="360" w:lineRule="auto"/>
        <w:ind w:left="840"/>
        <w:rPr>
          <w:rFonts w:hAnsi="宋体" w:eastAsia="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hAnsi="宋体" w:eastAsia="宋体"/>
      </w:rPr>
    </w:pPr>
    <w:r>
      <w:rPr>
        <w:rFonts w:hAnsi="宋体" w:eastAsia="宋体"/>
      </w:rPr>
      <w:t>　　　　　　　　　　　　　　　　　　　　　　</w:t>
    </w:r>
    <w:r>
      <w:fldChar w:fldCharType="begin"/>
    </w:r>
    <w:r>
      <w:rPr>
        <w:rFonts w:hint="eastAsia"/>
      </w:rPr>
      <w:instrText xml:space="preserve">PAGE \* Arabic \* MERGEFORMAT</w:instrText>
    </w:r>
    <w:r>
      <w:fldChar w:fldCharType="separate"/>
    </w:r>
    <w:r>
      <w:rPr>
        <w:rFonts w:hAnsi="宋体" w:eastAsia="宋体"/>
      </w:rPr>
      <w:t>1</w:t>
    </w:r>
    <w:r>
      <w:rPr>
        <w:rFonts w:hAnsi="宋体" w:eastAsia="宋体"/>
      </w:rPr>
      <w:fldChar w:fldCharType="end"/>
    </w:r>
    <w:r>
      <w:rPr>
        <w:rFonts w:hAnsi="宋体" w:eastAsia="宋体"/>
      </w:rPr>
      <w:t xml:space="preserve"> / </w:t>
    </w:r>
    <w:r>
      <w:fldChar w:fldCharType="begin"/>
    </w:r>
    <w:r>
      <w:instrText xml:space="preserve">NUMPAGES \* Arabic \* MERGEFORMAT</w:instrText>
    </w:r>
    <w:r>
      <w:fldChar w:fldCharType="separate"/>
    </w:r>
    <w:r>
      <w:rPr>
        <w:rFonts w:hAnsi="宋体" w:eastAsia="宋体"/>
      </w:rPr>
      <w:t>23</w:t>
    </w:r>
    <w:r>
      <w:rPr>
        <w:rFonts w:hAnsi="宋体"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spacing w:after="160"/>
      <w:rPr>
        <w:rFonts w:hAnsi="宋体" w:eastAsia="宋体"/>
      </w:rPr>
    </w:pPr>
    <w:r>
      <w:rPr>
        <w:rFonts w:hAnsi="宋体" w:eastAsia="宋体"/>
      </w:rPr>
      <w:t>深圳大学</w:t>
    </w:r>
    <w:r>
      <w:rPr>
        <w:rFonts w:hint="eastAsia" w:hAnsi="宋体" w:eastAsia="宋体"/>
      </w:rPr>
      <w:t>丽湖校区</w:t>
    </w:r>
    <w:r>
      <w:rPr>
        <w:rFonts w:hAnsi="宋体" w:eastAsia="宋体"/>
      </w:rPr>
      <w:t>管理办公室招标文件　　　　　　　　　　　　　招标编号：</w:t>
    </w:r>
    <w:r>
      <w:rPr>
        <w:rFonts w:hAnsi="宋体" w:eastAsia="宋体"/>
        <w:color w:val="FF0000"/>
      </w:rPr>
      <w:t xml:space="preserve">SZULHXQB202207004GC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2EF"/>
    <w:multiLevelType w:val="multilevel"/>
    <w:tmpl w:val="00F272EF"/>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025D4E1C"/>
    <w:multiLevelType w:val="multilevel"/>
    <w:tmpl w:val="025D4E1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8B4126"/>
    <w:multiLevelType w:val="multilevel"/>
    <w:tmpl w:val="098B4126"/>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
    <w:nsid w:val="0EED4B95"/>
    <w:multiLevelType w:val="multilevel"/>
    <w:tmpl w:val="0EED4B9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119F266E"/>
    <w:multiLevelType w:val="multilevel"/>
    <w:tmpl w:val="119F26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2B0254F"/>
    <w:multiLevelType w:val="multilevel"/>
    <w:tmpl w:val="12B0254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CB5708"/>
    <w:multiLevelType w:val="multilevel"/>
    <w:tmpl w:val="14CB57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24C035E"/>
    <w:multiLevelType w:val="multilevel"/>
    <w:tmpl w:val="224C035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7ED6466"/>
    <w:multiLevelType w:val="multilevel"/>
    <w:tmpl w:val="27ED64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8E939DE"/>
    <w:multiLevelType w:val="multilevel"/>
    <w:tmpl w:val="28E939D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2E466595"/>
    <w:multiLevelType w:val="multilevel"/>
    <w:tmpl w:val="2E466595"/>
    <w:lvl w:ilvl="0" w:tentative="0">
      <w:start w:val="1"/>
      <w:numFmt w:val="decimal"/>
      <w:lvlText w:val="%1)"/>
      <w:lvlJc w:val="left"/>
      <w:pPr>
        <w:ind w:left="1800" w:hanging="420"/>
      </w:pPr>
    </w:lvl>
    <w:lvl w:ilvl="1" w:tentative="0">
      <w:start w:val="1"/>
      <w:numFmt w:val="lowerLetter"/>
      <w:lvlText w:val="%2)"/>
      <w:lvlJc w:val="left"/>
      <w:pPr>
        <w:ind w:left="2220" w:hanging="420"/>
      </w:pPr>
    </w:lvl>
    <w:lvl w:ilvl="2" w:tentative="0">
      <w:start w:val="1"/>
      <w:numFmt w:val="lowerRoman"/>
      <w:lvlText w:val="%3."/>
      <w:lvlJc w:val="right"/>
      <w:pPr>
        <w:ind w:left="2640" w:hanging="420"/>
      </w:pPr>
    </w:lvl>
    <w:lvl w:ilvl="3" w:tentative="0">
      <w:start w:val="1"/>
      <w:numFmt w:val="decimal"/>
      <w:lvlText w:val="%4."/>
      <w:lvlJc w:val="left"/>
      <w:pPr>
        <w:ind w:left="3060" w:hanging="420"/>
      </w:pPr>
    </w:lvl>
    <w:lvl w:ilvl="4" w:tentative="0">
      <w:start w:val="1"/>
      <w:numFmt w:val="lowerLetter"/>
      <w:lvlText w:val="%5)"/>
      <w:lvlJc w:val="left"/>
      <w:pPr>
        <w:ind w:left="3480" w:hanging="420"/>
      </w:pPr>
    </w:lvl>
    <w:lvl w:ilvl="5" w:tentative="0">
      <w:start w:val="1"/>
      <w:numFmt w:val="lowerRoman"/>
      <w:lvlText w:val="%6."/>
      <w:lvlJc w:val="right"/>
      <w:pPr>
        <w:ind w:left="3900" w:hanging="420"/>
      </w:pPr>
    </w:lvl>
    <w:lvl w:ilvl="6" w:tentative="0">
      <w:start w:val="1"/>
      <w:numFmt w:val="decimal"/>
      <w:lvlText w:val="%7."/>
      <w:lvlJc w:val="left"/>
      <w:pPr>
        <w:ind w:left="4320" w:hanging="420"/>
      </w:pPr>
    </w:lvl>
    <w:lvl w:ilvl="7" w:tentative="0">
      <w:start w:val="1"/>
      <w:numFmt w:val="lowerLetter"/>
      <w:lvlText w:val="%8)"/>
      <w:lvlJc w:val="left"/>
      <w:pPr>
        <w:ind w:left="4740" w:hanging="420"/>
      </w:pPr>
    </w:lvl>
    <w:lvl w:ilvl="8" w:tentative="0">
      <w:start w:val="1"/>
      <w:numFmt w:val="lowerRoman"/>
      <w:lvlText w:val="%9."/>
      <w:lvlJc w:val="right"/>
      <w:pPr>
        <w:ind w:left="5160" w:hanging="420"/>
      </w:pPr>
    </w:lvl>
  </w:abstractNum>
  <w:abstractNum w:abstractNumId="11">
    <w:nsid w:val="2F000001"/>
    <w:multiLevelType w:val="multilevel"/>
    <w:tmpl w:val="2F000001"/>
    <w:lvl w:ilvl="0" w:tentative="0">
      <w:start w:val="1"/>
      <w:numFmt w:val="decimal"/>
      <w:lvlText w:val="%1."/>
      <w:lvlJc w:val="left"/>
      <w:pPr>
        <w:tabs>
          <w:tab w:val="left" w:pos="780"/>
        </w:tabs>
        <w:ind w:left="780" w:hanging="360"/>
        <w:jc w:val="both"/>
      </w:pPr>
      <w:rPr>
        <w:w w:val="100"/>
        <w:sz w:val="20"/>
        <w:szCs w:val="20"/>
        <w:shd w:val="clear" w:color="000000" w:fill="auto"/>
      </w:rPr>
    </w:lvl>
    <w:lvl w:ilvl="1" w:tentative="0">
      <w:start w:val="1"/>
      <w:numFmt w:val="lowerLetter"/>
      <w:lvlText w:val="%2)"/>
      <w:lvlJc w:val="left"/>
      <w:pPr>
        <w:tabs>
          <w:tab w:val="left" w:pos="420"/>
        </w:tabs>
        <w:ind w:left="420" w:hanging="420"/>
        <w:jc w:val="both"/>
      </w:pPr>
    </w:lvl>
    <w:lvl w:ilvl="2" w:tentative="0">
      <w:start w:val="1"/>
      <w:numFmt w:val="lowerRoman"/>
      <w:lvlText w:val="%3."/>
      <w:lvlJc w:val="right"/>
      <w:pPr>
        <w:tabs>
          <w:tab w:val="left" w:pos="840"/>
        </w:tabs>
        <w:ind w:left="840" w:hanging="420"/>
        <w:jc w:val="both"/>
      </w:pPr>
    </w:lvl>
    <w:lvl w:ilvl="3" w:tentative="0">
      <w:start w:val="1"/>
      <w:numFmt w:val="decimal"/>
      <w:lvlText w:val="%4."/>
      <w:lvlJc w:val="left"/>
      <w:pPr>
        <w:tabs>
          <w:tab w:val="left" w:pos="1260"/>
        </w:tabs>
        <w:ind w:left="1260" w:hanging="420"/>
        <w:jc w:val="both"/>
      </w:pPr>
    </w:lvl>
    <w:lvl w:ilvl="4" w:tentative="0">
      <w:start w:val="1"/>
      <w:numFmt w:val="lowerLetter"/>
      <w:lvlText w:val="%5)"/>
      <w:lvlJc w:val="left"/>
      <w:pPr>
        <w:tabs>
          <w:tab w:val="left" w:pos="1680"/>
        </w:tabs>
        <w:ind w:left="1680" w:hanging="420"/>
        <w:jc w:val="both"/>
      </w:pPr>
    </w:lvl>
    <w:lvl w:ilvl="5" w:tentative="0">
      <w:start w:val="1"/>
      <w:numFmt w:val="lowerRoman"/>
      <w:lvlText w:val="%6."/>
      <w:lvlJc w:val="right"/>
      <w:pPr>
        <w:tabs>
          <w:tab w:val="left" w:pos="2100"/>
        </w:tabs>
        <w:ind w:left="2100" w:hanging="420"/>
        <w:jc w:val="both"/>
      </w:pPr>
    </w:lvl>
    <w:lvl w:ilvl="6" w:tentative="0">
      <w:start w:val="1"/>
      <w:numFmt w:val="decimal"/>
      <w:lvlText w:val="%7."/>
      <w:lvlJc w:val="left"/>
      <w:pPr>
        <w:tabs>
          <w:tab w:val="left" w:pos="2520"/>
        </w:tabs>
        <w:ind w:left="2520" w:hanging="420"/>
        <w:jc w:val="both"/>
      </w:pPr>
    </w:lvl>
    <w:lvl w:ilvl="7" w:tentative="0">
      <w:start w:val="1"/>
      <w:numFmt w:val="lowerLetter"/>
      <w:lvlText w:val="%8)"/>
      <w:lvlJc w:val="left"/>
      <w:pPr>
        <w:tabs>
          <w:tab w:val="left" w:pos="2940"/>
        </w:tabs>
        <w:ind w:left="2940" w:hanging="420"/>
        <w:jc w:val="both"/>
      </w:pPr>
    </w:lvl>
    <w:lvl w:ilvl="8" w:tentative="0">
      <w:start w:val="1"/>
      <w:numFmt w:val="lowerRoman"/>
      <w:lvlText w:val="%9."/>
      <w:lvlJc w:val="right"/>
      <w:pPr>
        <w:tabs>
          <w:tab w:val="left" w:pos="3360"/>
        </w:tabs>
        <w:ind w:left="3360" w:hanging="420"/>
        <w:jc w:val="both"/>
      </w:pPr>
    </w:lvl>
  </w:abstractNum>
  <w:abstractNum w:abstractNumId="12">
    <w:nsid w:val="33AD4300"/>
    <w:multiLevelType w:val="multilevel"/>
    <w:tmpl w:val="33AD43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DB1575"/>
    <w:multiLevelType w:val="multilevel"/>
    <w:tmpl w:val="33DB157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755699E"/>
    <w:multiLevelType w:val="multilevel"/>
    <w:tmpl w:val="375569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79799F"/>
    <w:multiLevelType w:val="multilevel"/>
    <w:tmpl w:val="4579799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6">
    <w:nsid w:val="4BF4251A"/>
    <w:multiLevelType w:val="multilevel"/>
    <w:tmpl w:val="4BF4251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7437FC"/>
    <w:multiLevelType w:val="multilevel"/>
    <w:tmpl w:val="4C7437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567F1EB2"/>
    <w:multiLevelType w:val="multilevel"/>
    <w:tmpl w:val="567F1EB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7260B5C"/>
    <w:multiLevelType w:val="multilevel"/>
    <w:tmpl w:val="57260B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C946295"/>
    <w:multiLevelType w:val="multilevel"/>
    <w:tmpl w:val="5C946295"/>
    <w:lvl w:ilvl="0" w:tentative="0">
      <w:start w:val="1"/>
      <w:numFmt w:val="decimal"/>
      <w:lvlText w:val="%1."/>
      <w:lvlJc w:val="left"/>
      <w:pPr>
        <w:ind w:left="0" w:firstLine="0"/>
      </w:pPr>
      <w:rPr>
        <w:rFonts w:hint="default" w:ascii="宋体" w:hAnsi="宋体" w:eastAsia="宋体"/>
        <w:b w:val="0"/>
        <w:color w:val="000000"/>
        <w:w w:val="100"/>
        <w:sz w:val="20"/>
      </w:rPr>
    </w:lvl>
    <w:lvl w:ilvl="1" w:tentative="0">
      <w:start w:val="1"/>
      <w:numFmt w:val="lowerLetter"/>
      <w:lvlText w:val="%2)"/>
      <w:lvlJc w:val="left"/>
      <w:pPr>
        <w:ind w:left="0" w:firstLine="0"/>
      </w:pPr>
      <w:rPr>
        <w:rFonts w:hint="default" w:ascii="宋体" w:hAnsi="宋体" w:eastAsia="宋体"/>
        <w:w w:val="100"/>
      </w:rPr>
    </w:lvl>
    <w:lvl w:ilvl="2" w:tentative="0">
      <w:start w:val="1"/>
      <w:numFmt w:val="lowerRoman"/>
      <w:lvlText w:val="%3."/>
      <w:lvlJc w:val="left"/>
      <w:pPr>
        <w:ind w:left="0" w:firstLine="0"/>
      </w:pPr>
      <w:rPr>
        <w:rFonts w:hint="default" w:ascii="宋体" w:hAnsi="宋体" w:eastAsia="宋体"/>
        <w:w w:val="100"/>
      </w:rPr>
    </w:lvl>
    <w:lvl w:ilvl="3" w:tentative="0">
      <w:start w:val="1"/>
      <w:numFmt w:val="decimal"/>
      <w:lvlText w:val="%4."/>
      <w:lvlJc w:val="left"/>
      <w:pPr>
        <w:ind w:left="0" w:firstLine="0"/>
      </w:pPr>
      <w:rPr>
        <w:rFonts w:hint="default" w:ascii="宋体" w:hAnsi="宋体" w:eastAsia="宋体"/>
        <w:w w:val="100"/>
      </w:rPr>
    </w:lvl>
    <w:lvl w:ilvl="4" w:tentative="0">
      <w:start w:val="1"/>
      <w:numFmt w:val="lowerLetter"/>
      <w:lvlText w:val="%5)"/>
      <w:lvlJc w:val="left"/>
      <w:pPr>
        <w:ind w:left="0" w:firstLine="0"/>
      </w:pPr>
      <w:rPr>
        <w:rFonts w:hint="default" w:ascii="宋体" w:hAnsi="宋体" w:eastAsia="宋体"/>
        <w:w w:val="100"/>
      </w:rPr>
    </w:lvl>
    <w:lvl w:ilvl="5" w:tentative="0">
      <w:start w:val="1"/>
      <w:numFmt w:val="lowerRoman"/>
      <w:lvlText w:val="%6."/>
      <w:lvlJc w:val="left"/>
      <w:pPr>
        <w:ind w:left="0" w:firstLine="0"/>
      </w:pPr>
      <w:rPr>
        <w:rFonts w:hint="default" w:ascii="宋体" w:hAnsi="宋体" w:eastAsia="宋体"/>
        <w:w w:val="100"/>
      </w:rPr>
    </w:lvl>
    <w:lvl w:ilvl="6" w:tentative="0">
      <w:start w:val="1"/>
      <w:numFmt w:val="decimal"/>
      <w:lvlText w:val="%7."/>
      <w:lvlJc w:val="left"/>
      <w:pPr>
        <w:ind w:left="0" w:firstLine="0"/>
      </w:pPr>
      <w:rPr>
        <w:rFonts w:hint="default" w:ascii="宋体" w:hAnsi="宋体" w:eastAsia="宋体"/>
        <w:w w:val="100"/>
      </w:rPr>
    </w:lvl>
    <w:lvl w:ilvl="7" w:tentative="0">
      <w:start w:val="1"/>
      <w:numFmt w:val="lowerLetter"/>
      <w:lvlText w:val="%8)"/>
      <w:lvlJc w:val="left"/>
      <w:pPr>
        <w:ind w:left="0" w:firstLine="0"/>
      </w:pPr>
      <w:rPr>
        <w:rFonts w:hint="default" w:ascii="宋体" w:hAnsi="宋体" w:eastAsia="宋体"/>
        <w:w w:val="100"/>
      </w:rPr>
    </w:lvl>
    <w:lvl w:ilvl="8" w:tentative="0">
      <w:start w:val="1"/>
      <w:numFmt w:val="lowerRoman"/>
      <w:lvlText w:val="%9."/>
      <w:lvlJc w:val="left"/>
      <w:pPr>
        <w:ind w:left="0" w:firstLine="0"/>
      </w:pPr>
      <w:rPr>
        <w:rFonts w:hint="default" w:ascii="宋体" w:hAnsi="宋体" w:eastAsia="宋体"/>
        <w:w w:val="100"/>
      </w:rPr>
    </w:lvl>
  </w:abstractNum>
  <w:abstractNum w:abstractNumId="21">
    <w:nsid w:val="5EFA6D06"/>
    <w:multiLevelType w:val="multilevel"/>
    <w:tmpl w:val="5EFA6D0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621A3E74"/>
    <w:multiLevelType w:val="multilevel"/>
    <w:tmpl w:val="621A3E74"/>
    <w:lvl w:ilvl="0" w:tentative="0">
      <w:start w:val="1"/>
      <w:numFmt w:val="decimal"/>
      <w:lvlText w:val="%1)"/>
      <w:lvlJc w:val="left"/>
      <w:pPr>
        <w:ind w:left="1740" w:hanging="420"/>
      </w:p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23">
    <w:nsid w:val="6638434E"/>
    <w:multiLevelType w:val="multilevel"/>
    <w:tmpl w:val="6638434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2C2409B"/>
    <w:multiLevelType w:val="multilevel"/>
    <w:tmpl w:val="72C2409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9C26325"/>
    <w:multiLevelType w:val="multilevel"/>
    <w:tmpl w:val="79C26325"/>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C632D63"/>
    <w:multiLevelType w:val="multilevel"/>
    <w:tmpl w:val="7C632D6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0"/>
  </w:num>
  <w:num w:numId="2">
    <w:abstractNumId w:val="14"/>
  </w:num>
  <w:num w:numId="3">
    <w:abstractNumId w:val="16"/>
  </w:num>
  <w:num w:numId="4">
    <w:abstractNumId w:val="6"/>
  </w:num>
  <w:num w:numId="5">
    <w:abstractNumId w:val="5"/>
  </w:num>
  <w:num w:numId="6">
    <w:abstractNumId w:val="3"/>
  </w:num>
  <w:num w:numId="7">
    <w:abstractNumId w:val="26"/>
  </w:num>
  <w:num w:numId="8">
    <w:abstractNumId w:val="24"/>
  </w:num>
  <w:num w:numId="9">
    <w:abstractNumId w:val="15"/>
  </w:num>
  <w:num w:numId="10">
    <w:abstractNumId w:val="0"/>
  </w:num>
  <w:num w:numId="11">
    <w:abstractNumId w:val="2"/>
  </w:num>
  <w:num w:numId="12">
    <w:abstractNumId w:val="22"/>
  </w:num>
  <w:num w:numId="13">
    <w:abstractNumId w:val="10"/>
  </w:num>
  <w:num w:numId="14">
    <w:abstractNumId w:val="25"/>
  </w:num>
  <w:num w:numId="15">
    <w:abstractNumId w:val="13"/>
  </w:num>
  <w:num w:numId="16">
    <w:abstractNumId w:val="7"/>
  </w:num>
  <w:num w:numId="17">
    <w:abstractNumId w:val="17"/>
  </w:num>
  <w:num w:numId="18">
    <w:abstractNumId w:val="23"/>
  </w:num>
  <w:num w:numId="19">
    <w:abstractNumId w:val="1"/>
  </w:num>
  <w:num w:numId="20">
    <w:abstractNumId w:val="19"/>
  </w:num>
  <w:num w:numId="21">
    <w:abstractNumId w:val="4"/>
  </w:num>
  <w:num w:numId="22">
    <w:abstractNumId w:val="18"/>
  </w:num>
  <w:num w:numId="23">
    <w:abstractNumId w:val="21"/>
  </w:num>
  <w:num w:numId="24">
    <w:abstractNumId w:val="8"/>
  </w:num>
  <w:num w:numId="25">
    <w:abstractNumId w:val="9"/>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wY2EyMGQ4ZTVkNzJiNjhkNDcxNGU5N2JkOWEwN2UifQ=="/>
  </w:docVars>
  <w:rsids>
    <w:rsidRoot w:val="0008449C"/>
    <w:rsid w:val="00000A36"/>
    <w:rsid w:val="00003B78"/>
    <w:rsid w:val="00005B10"/>
    <w:rsid w:val="00007417"/>
    <w:rsid w:val="00007BA6"/>
    <w:rsid w:val="00011F45"/>
    <w:rsid w:val="00012831"/>
    <w:rsid w:val="00012EA4"/>
    <w:rsid w:val="00015BD1"/>
    <w:rsid w:val="000168FA"/>
    <w:rsid w:val="00016B1D"/>
    <w:rsid w:val="00016B47"/>
    <w:rsid w:val="00017340"/>
    <w:rsid w:val="000211D2"/>
    <w:rsid w:val="0002472B"/>
    <w:rsid w:val="0002573A"/>
    <w:rsid w:val="00030D81"/>
    <w:rsid w:val="000312AC"/>
    <w:rsid w:val="00034B00"/>
    <w:rsid w:val="0003629F"/>
    <w:rsid w:val="00037E6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B3FDD"/>
    <w:rsid w:val="000C0CF4"/>
    <w:rsid w:val="000C4A66"/>
    <w:rsid w:val="000C53A8"/>
    <w:rsid w:val="000C5ED2"/>
    <w:rsid w:val="000D02F6"/>
    <w:rsid w:val="000D1059"/>
    <w:rsid w:val="000D3A27"/>
    <w:rsid w:val="000D5A32"/>
    <w:rsid w:val="000D70DB"/>
    <w:rsid w:val="000D7AEA"/>
    <w:rsid w:val="000D7EE5"/>
    <w:rsid w:val="000E17FE"/>
    <w:rsid w:val="000E23C8"/>
    <w:rsid w:val="000E36D8"/>
    <w:rsid w:val="000E383D"/>
    <w:rsid w:val="000E39E9"/>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3174"/>
    <w:rsid w:val="001468AC"/>
    <w:rsid w:val="00151126"/>
    <w:rsid w:val="001514B8"/>
    <w:rsid w:val="0015199E"/>
    <w:rsid w:val="00152556"/>
    <w:rsid w:val="00153309"/>
    <w:rsid w:val="0015561F"/>
    <w:rsid w:val="00155D2C"/>
    <w:rsid w:val="0016301D"/>
    <w:rsid w:val="001630F9"/>
    <w:rsid w:val="00163365"/>
    <w:rsid w:val="0016586D"/>
    <w:rsid w:val="00165B53"/>
    <w:rsid w:val="0017311C"/>
    <w:rsid w:val="0017557F"/>
    <w:rsid w:val="00177F6B"/>
    <w:rsid w:val="00194799"/>
    <w:rsid w:val="00194E71"/>
    <w:rsid w:val="001A0684"/>
    <w:rsid w:val="001A1238"/>
    <w:rsid w:val="001A1FD3"/>
    <w:rsid w:val="001A288A"/>
    <w:rsid w:val="001A3779"/>
    <w:rsid w:val="001A3A0B"/>
    <w:rsid w:val="001A69FE"/>
    <w:rsid w:val="001B0710"/>
    <w:rsid w:val="001B5F77"/>
    <w:rsid w:val="001B7065"/>
    <w:rsid w:val="001B76C8"/>
    <w:rsid w:val="001C2BAC"/>
    <w:rsid w:val="001C3095"/>
    <w:rsid w:val="001D0A76"/>
    <w:rsid w:val="001D0A96"/>
    <w:rsid w:val="001D29A3"/>
    <w:rsid w:val="001D479E"/>
    <w:rsid w:val="001D4D32"/>
    <w:rsid w:val="001D65A7"/>
    <w:rsid w:val="001D77E9"/>
    <w:rsid w:val="001E0613"/>
    <w:rsid w:val="001E0C37"/>
    <w:rsid w:val="001E3FA5"/>
    <w:rsid w:val="001E4629"/>
    <w:rsid w:val="001E7F2D"/>
    <w:rsid w:val="001F1417"/>
    <w:rsid w:val="001F1B0D"/>
    <w:rsid w:val="001F397F"/>
    <w:rsid w:val="002021DF"/>
    <w:rsid w:val="00202E54"/>
    <w:rsid w:val="0020622A"/>
    <w:rsid w:val="00216EB6"/>
    <w:rsid w:val="002200D0"/>
    <w:rsid w:val="00221986"/>
    <w:rsid w:val="00221A86"/>
    <w:rsid w:val="00225645"/>
    <w:rsid w:val="00225839"/>
    <w:rsid w:val="00226B26"/>
    <w:rsid w:val="00227BE3"/>
    <w:rsid w:val="0023284C"/>
    <w:rsid w:val="00235219"/>
    <w:rsid w:val="0023694F"/>
    <w:rsid w:val="00236DB6"/>
    <w:rsid w:val="00240123"/>
    <w:rsid w:val="002428DF"/>
    <w:rsid w:val="00250216"/>
    <w:rsid w:val="00250D2C"/>
    <w:rsid w:val="00251879"/>
    <w:rsid w:val="0025401A"/>
    <w:rsid w:val="00255713"/>
    <w:rsid w:val="00257557"/>
    <w:rsid w:val="00260653"/>
    <w:rsid w:val="00260ACF"/>
    <w:rsid w:val="00266785"/>
    <w:rsid w:val="00266D3E"/>
    <w:rsid w:val="00270F9C"/>
    <w:rsid w:val="00277537"/>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13A"/>
    <w:rsid w:val="002D6BC5"/>
    <w:rsid w:val="002E08DE"/>
    <w:rsid w:val="002E0AD2"/>
    <w:rsid w:val="002E4D6E"/>
    <w:rsid w:val="002E62A7"/>
    <w:rsid w:val="002F0FBE"/>
    <w:rsid w:val="002F515D"/>
    <w:rsid w:val="002F5339"/>
    <w:rsid w:val="002F68D7"/>
    <w:rsid w:val="00300EAA"/>
    <w:rsid w:val="003015AD"/>
    <w:rsid w:val="003039A0"/>
    <w:rsid w:val="00304089"/>
    <w:rsid w:val="0031155A"/>
    <w:rsid w:val="00312D72"/>
    <w:rsid w:val="00317D58"/>
    <w:rsid w:val="00320EF9"/>
    <w:rsid w:val="003262F3"/>
    <w:rsid w:val="00330E00"/>
    <w:rsid w:val="00334C39"/>
    <w:rsid w:val="00336CD3"/>
    <w:rsid w:val="00336D2A"/>
    <w:rsid w:val="0033708D"/>
    <w:rsid w:val="00340155"/>
    <w:rsid w:val="0034032A"/>
    <w:rsid w:val="00340823"/>
    <w:rsid w:val="003408D6"/>
    <w:rsid w:val="00341B48"/>
    <w:rsid w:val="00343010"/>
    <w:rsid w:val="0034307B"/>
    <w:rsid w:val="003445C8"/>
    <w:rsid w:val="00346C1C"/>
    <w:rsid w:val="0035121C"/>
    <w:rsid w:val="00355949"/>
    <w:rsid w:val="00356B35"/>
    <w:rsid w:val="00356EC8"/>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0B0"/>
    <w:rsid w:val="003A283D"/>
    <w:rsid w:val="003A2A57"/>
    <w:rsid w:val="003A2B2A"/>
    <w:rsid w:val="003A42AD"/>
    <w:rsid w:val="003B2AB3"/>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D90"/>
    <w:rsid w:val="003F0F88"/>
    <w:rsid w:val="003F1C4F"/>
    <w:rsid w:val="003F23D1"/>
    <w:rsid w:val="003F32CD"/>
    <w:rsid w:val="003F5717"/>
    <w:rsid w:val="003F69E1"/>
    <w:rsid w:val="003F750A"/>
    <w:rsid w:val="003F76FC"/>
    <w:rsid w:val="00402701"/>
    <w:rsid w:val="00404A3D"/>
    <w:rsid w:val="00405C7E"/>
    <w:rsid w:val="00411AD5"/>
    <w:rsid w:val="00414A05"/>
    <w:rsid w:val="004213CF"/>
    <w:rsid w:val="0042195A"/>
    <w:rsid w:val="00421F4C"/>
    <w:rsid w:val="00425C35"/>
    <w:rsid w:val="00426E91"/>
    <w:rsid w:val="00427DC6"/>
    <w:rsid w:val="004326F7"/>
    <w:rsid w:val="004355B3"/>
    <w:rsid w:val="00436391"/>
    <w:rsid w:val="0043641D"/>
    <w:rsid w:val="00436B8C"/>
    <w:rsid w:val="00437832"/>
    <w:rsid w:val="0044199E"/>
    <w:rsid w:val="00441DA4"/>
    <w:rsid w:val="00445D4C"/>
    <w:rsid w:val="00450F8B"/>
    <w:rsid w:val="0045200C"/>
    <w:rsid w:val="00453D4C"/>
    <w:rsid w:val="00456616"/>
    <w:rsid w:val="00457885"/>
    <w:rsid w:val="004608DE"/>
    <w:rsid w:val="00461F14"/>
    <w:rsid w:val="00462020"/>
    <w:rsid w:val="004627CE"/>
    <w:rsid w:val="00462A05"/>
    <w:rsid w:val="00463B21"/>
    <w:rsid w:val="00466DD4"/>
    <w:rsid w:val="00467481"/>
    <w:rsid w:val="004675D1"/>
    <w:rsid w:val="0047432C"/>
    <w:rsid w:val="00474B7E"/>
    <w:rsid w:val="0048299C"/>
    <w:rsid w:val="0048301E"/>
    <w:rsid w:val="0048507E"/>
    <w:rsid w:val="0048543B"/>
    <w:rsid w:val="004864AE"/>
    <w:rsid w:val="00486921"/>
    <w:rsid w:val="00492F76"/>
    <w:rsid w:val="00496FED"/>
    <w:rsid w:val="004A1C3B"/>
    <w:rsid w:val="004A3495"/>
    <w:rsid w:val="004A3C1B"/>
    <w:rsid w:val="004A4E68"/>
    <w:rsid w:val="004A6760"/>
    <w:rsid w:val="004B0689"/>
    <w:rsid w:val="004B1014"/>
    <w:rsid w:val="004B1F59"/>
    <w:rsid w:val="004B3ADA"/>
    <w:rsid w:val="004B68E5"/>
    <w:rsid w:val="004C16E2"/>
    <w:rsid w:val="004C1B54"/>
    <w:rsid w:val="004C6C68"/>
    <w:rsid w:val="004C7864"/>
    <w:rsid w:val="004C7878"/>
    <w:rsid w:val="004D1C0E"/>
    <w:rsid w:val="004D3844"/>
    <w:rsid w:val="004D4382"/>
    <w:rsid w:val="004D5472"/>
    <w:rsid w:val="004D58CC"/>
    <w:rsid w:val="004D71DE"/>
    <w:rsid w:val="004E0EDE"/>
    <w:rsid w:val="004E2323"/>
    <w:rsid w:val="004E6186"/>
    <w:rsid w:val="004E6ED5"/>
    <w:rsid w:val="004F13F2"/>
    <w:rsid w:val="004F16E0"/>
    <w:rsid w:val="004F17EC"/>
    <w:rsid w:val="00500295"/>
    <w:rsid w:val="005022FD"/>
    <w:rsid w:val="005028D2"/>
    <w:rsid w:val="005037AD"/>
    <w:rsid w:val="00505585"/>
    <w:rsid w:val="00505A98"/>
    <w:rsid w:val="00507FCE"/>
    <w:rsid w:val="00510FFC"/>
    <w:rsid w:val="00511D6F"/>
    <w:rsid w:val="00512A06"/>
    <w:rsid w:val="0051590B"/>
    <w:rsid w:val="00522A21"/>
    <w:rsid w:val="005241AA"/>
    <w:rsid w:val="00526900"/>
    <w:rsid w:val="00526A31"/>
    <w:rsid w:val="00526B1D"/>
    <w:rsid w:val="00531E6E"/>
    <w:rsid w:val="005323E5"/>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2FB5"/>
    <w:rsid w:val="00556E54"/>
    <w:rsid w:val="00557CDC"/>
    <w:rsid w:val="0056272D"/>
    <w:rsid w:val="005668F3"/>
    <w:rsid w:val="00570846"/>
    <w:rsid w:val="00577137"/>
    <w:rsid w:val="00583FC4"/>
    <w:rsid w:val="00585676"/>
    <w:rsid w:val="00591157"/>
    <w:rsid w:val="00594109"/>
    <w:rsid w:val="00597028"/>
    <w:rsid w:val="005977D2"/>
    <w:rsid w:val="005A6388"/>
    <w:rsid w:val="005A7E8F"/>
    <w:rsid w:val="005B204C"/>
    <w:rsid w:val="005B289B"/>
    <w:rsid w:val="005B2C7D"/>
    <w:rsid w:val="005B4ED1"/>
    <w:rsid w:val="005C22B0"/>
    <w:rsid w:val="005C2969"/>
    <w:rsid w:val="005C6EE2"/>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152C"/>
    <w:rsid w:val="005F39EA"/>
    <w:rsid w:val="005F5669"/>
    <w:rsid w:val="005F6666"/>
    <w:rsid w:val="005F6AE9"/>
    <w:rsid w:val="005F714F"/>
    <w:rsid w:val="005F7683"/>
    <w:rsid w:val="005F7D1F"/>
    <w:rsid w:val="006006C8"/>
    <w:rsid w:val="00601678"/>
    <w:rsid w:val="00603C94"/>
    <w:rsid w:val="00607299"/>
    <w:rsid w:val="0061594A"/>
    <w:rsid w:val="00616018"/>
    <w:rsid w:val="00617A29"/>
    <w:rsid w:val="00622971"/>
    <w:rsid w:val="0062520A"/>
    <w:rsid w:val="0062668B"/>
    <w:rsid w:val="00627EF2"/>
    <w:rsid w:val="006301BB"/>
    <w:rsid w:val="006337F6"/>
    <w:rsid w:val="00634043"/>
    <w:rsid w:val="006376A4"/>
    <w:rsid w:val="0064403D"/>
    <w:rsid w:val="00646DEF"/>
    <w:rsid w:val="00647C81"/>
    <w:rsid w:val="00650227"/>
    <w:rsid w:val="00650B05"/>
    <w:rsid w:val="00652336"/>
    <w:rsid w:val="0065376F"/>
    <w:rsid w:val="006549D8"/>
    <w:rsid w:val="00661EA8"/>
    <w:rsid w:val="00665715"/>
    <w:rsid w:val="006737BF"/>
    <w:rsid w:val="0067580F"/>
    <w:rsid w:val="00676510"/>
    <w:rsid w:val="00680208"/>
    <w:rsid w:val="006814DC"/>
    <w:rsid w:val="00681599"/>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62A9"/>
    <w:rsid w:val="0074637B"/>
    <w:rsid w:val="00762541"/>
    <w:rsid w:val="00762792"/>
    <w:rsid w:val="00764494"/>
    <w:rsid w:val="00765AC5"/>
    <w:rsid w:val="00767548"/>
    <w:rsid w:val="00771C4E"/>
    <w:rsid w:val="00772A77"/>
    <w:rsid w:val="00772D31"/>
    <w:rsid w:val="00773263"/>
    <w:rsid w:val="0077791C"/>
    <w:rsid w:val="007801E1"/>
    <w:rsid w:val="00783054"/>
    <w:rsid w:val="00784889"/>
    <w:rsid w:val="007851C6"/>
    <w:rsid w:val="0078768E"/>
    <w:rsid w:val="007912DD"/>
    <w:rsid w:val="00792431"/>
    <w:rsid w:val="007930C0"/>
    <w:rsid w:val="007A3445"/>
    <w:rsid w:val="007A37BE"/>
    <w:rsid w:val="007A47BF"/>
    <w:rsid w:val="007A6A24"/>
    <w:rsid w:val="007B16CF"/>
    <w:rsid w:val="007B1824"/>
    <w:rsid w:val="007B4EC2"/>
    <w:rsid w:val="007B62D8"/>
    <w:rsid w:val="007B62EF"/>
    <w:rsid w:val="007C1AA8"/>
    <w:rsid w:val="007C2C97"/>
    <w:rsid w:val="007C46CF"/>
    <w:rsid w:val="007C495D"/>
    <w:rsid w:val="007C6D45"/>
    <w:rsid w:val="007C6F25"/>
    <w:rsid w:val="007C7F6A"/>
    <w:rsid w:val="007D14AB"/>
    <w:rsid w:val="007D242B"/>
    <w:rsid w:val="007D4852"/>
    <w:rsid w:val="007D52EA"/>
    <w:rsid w:val="007E3FD1"/>
    <w:rsid w:val="007E712D"/>
    <w:rsid w:val="007F0EE2"/>
    <w:rsid w:val="007F11A6"/>
    <w:rsid w:val="007F218A"/>
    <w:rsid w:val="007F2516"/>
    <w:rsid w:val="007F4557"/>
    <w:rsid w:val="007F5CC9"/>
    <w:rsid w:val="007F665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5A23"/>
    <w:rsid w:val="008E5F3E"/>
    <w:rsid w:val="008F0D50"/>
    <w:rsid w:val="008F276C"/>
    <w:rsid w:val="008F3EAF"/>
    <w:rsid w:val="008F3F2F"/>
    <w:rsid w:val="008F50CB"/>
    <w:rsid w:val="008F57E7"/>
    <w:rsid w:val="0090097E"/>
    <w:rsid w:val="00900AE5"/>
    <w:rsid w:val="00901B1F"/>
    <w:rsid w:val="00902573"/>
    <w:rsid w:val="009057F4"/>
    <w:rsid w:val="00910EBA"/>
    <w:rsid w:val="00911022"/>
    <w:rsid w:val="00912DB2"/>
    <w:rsid w:val="009147D0"/>
    <w:rsid w:val="00916C74"/>
    <w:rsid w:val="00920762"/>
    <w:rsid w:val="00920C43"/>
    <w:rsid w:val="009266D6"/>
    <w:rsid w:val="00927A1E"/>
    <w:rsid w:val="00930582"/>
    <w:rsid w:val="00930B4B"/>
    <w:rsid w:val="00930E36"/>
    <w:rsid w:val="0093135D"/>
    <w:rsid w:val="0093263C"/>
    <w:rsid w:val="009352D4"/>
    <w:rsid w:val="00936BBC"/>
    <w:rsid w:val="00942AEC"/>
    <w:rsid w:val="00942EB9"/>
    <w:rsid w:val="0094343E"/>
    <w:rsid w:val="009442B1"/>
    <w:rsid w:val="009465E2"/>
    <w:rsid w:val="00946AC2"/>
    <w:rsid w:val="00946F89"/>
    <w:rsid w:val="00950BF8"/>
    <w:rsid w:val="00952DF2"/>
    <w:rsid w:val="00954A9F"/>
    <w:rsid w:val="00966D0A"/>
    <w:rsid w:val="00966DDD"/>
    <w:rsid w:val="0097034F"/>
    <w:rsid w:val="00970687"/>
    <w:rsid w:val="00972BC5"/>
    <w:rsid w:val="0097599C"/>
    <w:rsid w:val="00976A56"/>
    <w:rsid w:val="00980481"/>
    <w:rsid w:val="00982224"/>
    <w:rsid w:val="00984294"/>
    <w:rsid w:val="00986268"/>
    <w:rsid w:val="00986732"/>
    <w:rsid w:val="009913C1"/>
    <w:rsid w:val="0099393C"/>
    <w:rsid w:val="009954B0"/>
    <w:rsid w:val="00995855"/>
    <w:rsid w:val="00995AED"/>
    <w:rsid w:val="00997DDB"/>
    <w:rsid w:val="009A49C4"/>
    <w:rsid w:val="009A4AC4"/>
    <w:rsid w:val="009A6F4F"/>
    <w:rsid w:val="009A7962"/>
    <w:rsid w:val="009B06AC"/>
    <w:rsid w:val="009B2941"/>
    <w:rsid w:val="009C14B8"/>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06AD5"/>
    <w:rsid w:val="00A110BE"/>
    <w:rsid w:val="00A11432"/>
    <w:rsid w:val="00A1408C"/>
    <w:rsid w:val="00A14EEE"/>
    <w:rsid w:val="00A177BC"/>
    <w:rsid w:val="00A23E16"/>
    <w:rsid w:val="00A25F67"/>
    <w:rsid w:val="00A27031"/>
    <w:rsid w:val="00A275C5"/>
    <w:rsid w:val="00A277BB"/>
    <w:rsid w:val="00A324B3"/>
    <w:rsid w:val="00A329F0"/>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015"/>
    <w:rsid w:val="00A742C3"/>
    <w:rsid w:val="00A7509B"/>
    <w:rsid w:val="00A760F7"/>
    <w:rsid w:val="00A80AE4"/>
    <w:rsid w:val="00A81448"/>
    <w:rsid w:val="00A83FAA"/>
    <w:rsid w:val="00A861A4"/>
    <w:rsid w:val="00A86541"/>
    <w:rsid w:val="00A87683"/>
    <w:rsid w:val="00A91867"/>
    <w:rsid w:val="00A93BA5"/>
    <w:rsid w:val="00A97E90"/>
    <w:rsid w:val="00AA0F9B"/>
    <w:rsid w:val="00AA4CB3"/>
    <w:rsid w:val="00AA5E03"/>
    <w:rsid w:val="00AA600C"/>
    <w:rsid w:val="00AB1E2B"/>
    <w:rsid w:val="00AB26FD"/>
    <w:rsid w:val="00AB2977"/>
    <w:rsid w:val="00AB2D9D"/>
    <w:rsid w:val="00AB375E"/>
    <w:rsid w:val="00AC2F51"/>
    <w:rsid w:val="00AC3794"/>
    <w:rsid w:val="00AC6551"/>
    <w:rsid w:val="00AD2F54"/>
    <w:rsid w:val="00AD38C2"/>
    <w:rsid w:val="00AD4C96"/>
    <w:rsid w:val="00AD5856"/>
    <w:rsid w:val="00AE0581"/>
    <w:rsid w:val="00AE22B8"/>
    <w:rsid w:val="00AF5198"/>
    <w:rsid w:val="00AF762C"/>
    <w:rsid w:val="00AF7679"/>
    <w:rsid w:val="00B02C00"/>
    <w:rsid w:val="00B02D34"/>
    <w:rsid w:val="00B037D3"/>
    <w:rsid w:val="00B06092"/>
    <w:rsid w:val="00B06951"/>
    <w:rsid w:val="00B11135"/>
    <w:rsid w:val="00B113B7"/>
    <w:rsid w:val="00B16020"/>
    <w:rsid w:val="00B16277"/>
    <w:rsid w:val="00B21683"/>
    <w:rsid w:val="00B2302B"/>
    <w:rsid w:val="00B2688A"/>
    <w:rsid w:val="00B33915"/>
    <w:rsid w:val="00B33B4B"/>
    <w:rsid w:val="00B33D15"/>
    <w:rsid w:val="00B34CE2"/>
    <w:rsid w:val="00B365CC"/>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4365"/>
    <w:rsid w:val="00B74D91"/>
    <w:rsid w:val="00B7501D"/>
    <w:rsid w:val="00B7693C"/>
    <w:rsid w:val="00B76DD2"/>
    <w:rsid w:val="00B86169"/>
    <w:rsid w:val="00B86286"/>
    <w:rsid w:val="00B866AF"/>
    <w:rsid w:val="00B9077B"/>
    <w:rsid w:val="00B911EF"/>
    <w:rsid w:val="00B91FD2"/>
    <w:rsid w:val="00B92D63"/>
    <w:rsid w:val="00B94BC1"/>
    <w:rsid w:val="00B95386"/>
    <w:rsid w:val="00BA3AEA"/>
    <w:rsid w:val="00BA59D9"/>
    <w:rsid w:val="00BA7B9F"/>
    <w:rsid w:val="00BB1CD4"/>
    <w:rsid w:val="00BB3965"/>
    <w:rsid w:val="00BB3D1F"/>
    <w:rsid w:val="00BB3D20"/>
    <w:rsid w:val="00BB3E79"/>
    <w:rsid w:val="00BB5214"/>
    <w:rsid w:val="00BB6119"/>
    <w:rsid w:val="00BB7EBA"/>
    <w:rsid w:val="00BC0C5C"/>
    <w:rsid w:val="00BC1D2C"/>
    <w:rsid w:val="00BC3026"/>
    <w:rsid w:val="00BC426E"/>
    <w:rsid w:val="00BC5B76"/>
    <w:rsid w:val="00BC64B5"/>
    <w:rsid w:val="00BD33C9"/>
    <w:rsid w:val="00BD36DC"/>
    <w:rsid w:val="00BD375E"/>
    <w:rsid w:val="00BD481A"/>
    <w:rsid w:val="00BD5DAE"/>
    <w:rsid w:val="00BD69D7"/>
    <w:rsid w:val="00BE209B"/>
    <w:rsid w:val="00BE56AD"/>
    <w:rsid w:val="00BE6660"/>
    <w:rsid w:val="00BE7304"/>
    <w:rsid w:val="00BE7F78"/>
    <w:rsid w:val="00BF3869"/>
    <w:rsid w:val="00BF552B"/>
    <w:rsid w:val="00BF5649"/>
    <w:rsid w:val="00BF7CD8"/>
    <w:rsid w:val="00C029B7"/>
    <w:rsid w:val="00C02B00"/>
    <w:rsid w:val="00C0786E"/>
    <w:rsid w:val="00C12223"/>
    <w:rsid w:val="00C12257"/>
    <w:rsid w:val="00C1658A"/>
    <w:rsid w:val="00C16BD3"/>
    <w:rsid w:val="00C20139"/>
    <w:rsid w:val="00C22D67"/>
    <w:rsid w:val="00C24940"/>
    <w:rsid w:val="00C24BB0"/>
    <w:rsid w:val="00C26B42"/>
    <w:rsid w:val="00C32228"/>
    <w:rsid w:val="00C36496"/>
    <w:rsid w:val="00C409F4"/>
    <w:rsid w:val="00C41022"/>
    <w:rsid w:val="00C41E84"/>
    <w:rsid w:val="00C42478"/>
    <w:rsid w:val="00C4332A"/>
    <w:rsid w:val="00C43A7B"/>
    <w:rsid w:val="00C4400F"/>
    <w:rsid w:val="00C44B39"/>
    <w:rsid w:val="00C44E2F"/>
    <w:rsid w:val="00C517D0"/>
    <w:rsid w:val="00C523DB"/>
    <w:rsid w:val="00C54E23"/>
    <w:rsid w:val="00C57BA4"/>
    <w:rsid w:val="00C61B5F"/>
    <w:rsid w:val="00C62108"/>
    <w:rsid w:val="00C6240E"/>
    <w:rsid w:val="00C659E9"/>
    <w:rsid w:val="00C6687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0999"/>
    <w:rsid w:val="00CC308E"/>
    <w:rsid w:val="00CC3395"/>
    <w:rsid w:val="00CC4D4F"/>
    <w:rsid w:val="00CC646A"/>
    <w:rsid w:val="00CC6AA5"/>
    <w:rsid w:val="00CD1038"/>
    <w:rsid w:val="00CD56F8"/>
    <w:rsid w:val="00CE2CB9"/>
    <w:rsid w:val="00CE3E00"/>
    <w:rsid w:val="00CE5E5B"/>
    <w:rsid w:val="00CE6A65"/>
    <w:rsid w:val="00CF4884"/>
    <w:rsid w:val="00CF607D"/>
    <w:rsid w:val="00D07D4E"/>
    <w:rsid w:val="00D11C64"/>
    <w:rsid w:val="00D12BBD"/>
    <w:rsid w:val="00D13172"/>
    <w:rsid w:val="00D16640"/>
    <w:rsid w:val="00D16E23"/>
    <w:rsid w:val="00D17929"/>
    <w:rsid w:val="00D17BD6"/>
    <w:rsid w:val="00D264CE"/>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2D41"/>
    <w:rsid w:val="00DA1E4D"/>
    <w:rsid w:val="00DA1F3D"/>
    <w:rsid w:val="00DA3E2B"/>
    <w:rsid w:val="00DA5147"/>
    <w:rsid w:val="00DB2B93"/>
    <w:rsid w:val="00DB321B"/>
    <w:rsid w:val="00DB3563"/>
    <w:rsid w:val="00DB41F5"/>
    <w:rsid w:val="00DB58A9"/>
    <w:rsid w:val="00DC50D1"/>
    <w:rsid w:val="00DC632F"/>
    <w:rsid w:val="00DC64EA"/>
    <w:rsid w:val="00DC6BBD"/>
    <w:rsid w:val="00DD69D7"/>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66C"/>
    <w:rsid w:val="00E11B7A"/>
    <w:rsid w:val="00E13E28"/>
    <w:rsid w:val="00E14167"/>
    <w:rsid w:val="00E15666"/>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85422"/>
    <w:rsid w:val="00E925AB"/>
    <w:rsid w:val="00E9268B"/>
    <w:rsid w:val="00E9652D"/>
    <w:rsid w:val="00EA1528"/>
    <w:rsid w:val="00EA6AB8"/>
    <w:rsid w:val="00EA6F4C"/>
    <w:rsid w:val="00EC217D"/>
    <w:rsid w:val="00EC35B1"/>
    <w:rsid w:val="00EC39D6"/>
    <w:rsid w:val="00EC4AB4"/>
    <w:rsid w:val="00EC4C07"/>
    <w:rsid w:val="00EC7DD1"/>
    <w:rsid w:val="00ED1991"/>
    <w:rsid w:val="00ED224A"/>
    <w:rsid w:val="00ED330B"/>
    <w:rsid w:val="00ED45CE"/>
    <w:rsid w:val="00ED5FFB"/>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55D1A"/>
    <w:rsid w:val="00F6091F"/>
    <w:rsid w:val="00F60F5E"/>
    <w:rsid w:val="00F61D72"/>
    <w:rsid w:val="00F627C4"/>
    <w:rsid w:val="00F63F45"/>
    <w:rsid w:val="00F64F34"/>
    <w:rsid w:val="00F656BA"/>
    <w:rsid w:val="00F70CC5"/>
    <w:rsid w:val="00F7367A"/>
    <w:rsid w:val="00F73D6F"/>
    <w:rsid w:val="00F75A7D"/>
    <w:rsid w:val="00F84698"/>
    <w:rsid w:val="00F85E1E"/>
    <w:rsid w:val="00F90BCA"/>
    <w:rsid w:val="00F945B9"/>
    <w:rsid w:val="00F94EF8"/>
    <w:rsid w:val="00F958B5"/>
    <w:rsid w:val="00F95948"/>
    <w:rsid w:val="00F95C8E"/>
    <w:rsid w:val="00FA2394"/>
    <w:rsid w:val="00FA38B3"/>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3CC4A00"/>
    <w:rsid w:val="04F668B6"/>
    <w:rsid w:val="05804392"/>
    <w:rsid w:val="06953E27"/>
    <w:rsid w:val="0E500BE1"/>
    <w:rsid w:val="0FD75E8C"/>
    <w:rsid w:val="0FE446AB"/>
    <w:rsid w:val="171F7156"/>
    <w:rsid w:val="17F1542E"/>
    <w:rsid w:val="1B183B5D"/>
    <w:rsid w:val="1BFA5D84"/>
    <w:rsid w:val="1D123C06"/>
    <w:rsid w:val="1ED4007C"/>
    <w:rsid w:val="23381A4B"/>
    <w:rsid w:val="25F17980"/>
    <w:rsid w:val="29A1696C"/>
    <w:rsid w:val="2B0D3271"/>
    <w:rsid w:val="2F1263FF"/>
    <w:rsid w:val="34F07E2D"/>
    <w:rsid w:val="381E2F4A"/>
    <w:rsid w:val="43472CA6"/>
    <w:rsid w:val="4B522CFE"/>
    <w:rsid w:val="546647D0"/>
    <w:rsid w:val="566443F5"/>
    <w:rsid w:val="6C542326"/>
    <w:rsid w:val="6D28029F"/>
    <w:rsid w:val="72362295"/>
    <w:rsid w:val="73037171"/>
    <w:rsid w:val="730A5577"/>
    <w:rsid w:val="77EC4123"/>
    <w:rsid w:val="78591183"/>
    <w:rsid w:val="7895114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sz w:val="21"/>
      <w:szCs w:val="21"/>
      <w:lang w:val="en-US" w:eastAsia="zh-CN" w:bidi="ar-SA"/>
    </w:rPr>
  </w:style>
  <w:style w:type="paragraph" w:styleId="2">
    <w:name w:val="heading 1"/>
    <w:next w:val="1"/>
    <w:link w:val="50"/>
    <w:qFormat/>
    <w:uiPriority w:val="7"/>
    <w:pPr>
      <w:jc w:val="both"/>
      <w:outlineLvl w:val="0"/>
    </w:pPr>
    <w:rPr>
      <w:rFonts w:ascii="宋体" w:hAnsi="宋体" w:eastAsia="仿宋" w:cs="Times New Roman"/>
      <w:b/>
      <w:sz w:val="28"/>
      <w:szCs w:val="28"/>
      <w:lang w:val="en-US" w:eastAsia="zh-CN" w:bidi="ar-SA"/>
    </w:rPr>
  </w:style>
  <w:style w:type="paragraph" w:styleId="3">
    <w:name w:val="heading 2"/>
    <w:next w:val="1"/>
    <w:link w:val="51"/>
    <w:qFormat/>
    <w:uiPriority w:val="8"/>
    <w:pPr>
      <w:jc w:val="both"/>
      <w:outlineLvl w:val="1"/>
    </w:pPr>
    <w:rPr>
      <w:rFonts w:ascii="宋体" w:hAnsi="宋体" w:eastAsia="Times New Roman" w:cs="Times New Roman"/>
      <w:sz w:val="21"/>
      <w:szCs w:val="21"/>
      <w:lang w:val="en-US" w:eastAsia="zh-CN" w:bidi="ar-SA"/>
    </w:rPr>
  </w:style>
  <w:style w:type="paragraph" w:styleId="4">
    <w:name w:val="heading 3"/>
    <w:basedOn w:val="5"/>
    <w:next w:val="1"/>
    <w:link w:val="52"/>
    <w:qFormat/>
    <w:uiPriority w:val="9"/>
    <w:pPr>
      <w:ind w:left="1000"/>
      <w:outlineLvl w:val="2"/>
    </w:pPr>
  </w:style>
  <w:style w:type="paragraph" w:styleId="5">
    <w:name w:val="heading 4"/>
    <w:basedOn w:val="1"/>
    <w:next w:val="1"/>
    <w:link w:val="53"/>
    <w:qFormat/>
    <w:uiPriority w:val="10"/>
    <w:pPr>
      <w:ind w:left="1200" w:hanging="400"/>
      <w:outlineLvl w:val="3"/>
    </w:pPr>
    <w:rPr>
      <w:rFonts w:ascii="宋体" w:hAnsi="宋体" w:eastAsia="Times New Roman"/>
      <w:b/>
    </w:rPr>
  </w:style>
  <w:style w:type="paragraph" w:styleId="6">
    <w:name w:val="heading 5"/>
    <w:next w:val="1"/>
    <w:link w:val="54"/>
    <w:qFormat/>
    <w:uiPriority w:val="11"/>
    <w:pPr>
      <w:ind w:left="1400" w:hanging="400"/>
      <w:jc w:val="both"/>
      <w:outlineLvl w:val="4"/>
    </w:pPr>
    <w:rPr>
      <w:rFonts w:ascii="宋体" w:hAnsi="宋体" w:eastAsia="Times New Roman" w:cs="Times New Roman"/>
      <w:sz w:val="21"/>
      <w:szCs w:val="21"/>
      <w:lang w:val="en-US" w:eastAsia="zh-CN" w:bidi="ar-SA"/>
    </w:rPr>
  </w:style>
  <w:style w:type="paragraph" w:styleId="7">
    <w:name w:val="heading 6"/>
    <w:next w:val="1"/>
    <w:link w:val="55"/>
    <w:qFormat/>
    <w:uiPriority w:val="12"/>
    <w:pPr>
      <w:ind w:left="1600" w:hanging="400"/>
      <w:jc w:val="both"/>
      <w:outlineLvl w:val="5"/>
    </w:pPr>
    <w:rPr>
      <w:rFonts w:ascii="宋体" w:hAnsi="宋体" w:eastAsia="Times New Roman" w:cs="Times New Roman"/>
      <w:b/>
      <w:sz w:val="21"/>
      <w:szCs w:val="21"/>
      <w:lang w:val="en-US" w:eastAsia="zh-CN" w:bidi="ar-SA"/>
    </w:rPr>
  </w:style>
  <w:style w:type="paragraph" w:styleId="8">
    <w:name w:val="heading 7"/>
    <w:next w:val="1"/>
    <w:link w:val="56"/>
    <w:qFormat/>
    <w:uiPriority w:val="13"/>
    <w:pPr>
      <w:ind w:left="1800" w:hanging="400"/>
      <w:jc w:val="both"/>
      <w:outlineLvl w:val="6"/>
    </w:pPr>
    <w:rPr>
      <w:rFonts w:ascii="宋体" w:hAnsi="宋体" w:eastAsia="Times New Roman" w:cs="Times New Roman"/>
      <w:sz w:val="21"/>
      <w:szCs w:val="21"/>
      <w:lang w:val="en-US" w:eastAsia="zh-CN" w:bidi="ar-SA"/>
    </w:rPr>
  </w:style>
  <w:style w:type="paragraph" w:styleId="9">
    <w:name w:val="heading 8"/>
    <w:next w:val="1"/>
    <w:link w:val="57"/>
    <w:qFormat/>
    <w:uiPriority w:val="14"/>
    <w:pPr>
      <w:ind w:left="2000" w:hanging="400"/>
      <w:jc w:val="both"/>
      <w:outlineLvl w:val="7"/>
    </w:pPr>
    <w:rPr>
      <w:rFonts w:ascii="宋体" w:hAnsi="宋体" w:eastAsia="Times New Roman" w:cs="Times New Roman"/>
      <w:sz w:val="21"/>
      <w:szCs w:val="21"/>
      <w:lang w:val="en-US" w:eastAsia="zh-CN" w:bidi="ar-SA"/>
    </w:rPr>
  </w:style>
  <w:style w:type="paragraph" w:styleId="10">
    <w:name w:val="heading 9"/>
    <w:next w:val="1"/>
    <w:link w:val="58"/>
    <w:qFormat/>
    <w:uiPriority w:val="15"/>
    <w:pPr>
      <w:ind w:left="2200" w:hanging="400"/>
      <w:jc w:val="both"/>
      <w:outlineLvl w:val="8"/>
    </w:pPr>
    <w:rPr>
      <w:rFonts w:ascii="宋体" w:hAnsi="宋体" w:eastAsia="Times New Roman" w:cs="Times New Roman"/>
      <w:sz w:val="21"/>
      <w:szCs w:val="21"/>
      <w:lang w:val="en-US" w:eastAsia="zh-CN" w:bidi="ar-SA"/>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宋体" w:hAnsi="宋体" w:eastAsia="Times New Roman" w:cs="Times New Roman"/>
      <w:sz w:val="21"/>
      <w:szCs w:val="21"/>
      <w:lang w:val="en-US" w:eastAsia="zh-CN" w:bidi="ar-SA"/>
    </w:rPr>
  </w:style>
  <w:style w:type="paragraph" w:styleId="12">
    <w:name w:val="toc 5"/>
    <w:next w:val="1"/>
    <w:unhideWhenUsed/>
    <w:qFormat/>
    <w:uiPriority w:val="32"/>
    <w:pPr>
      <w:ind w:left="1700"/>
      <w:jc w:val="both"/>
    </w:pPr>
    <w:rPr>
      <w:rFonts w:ascii="宋体" w:hAnsi="宋体" w:eastAsia="Times New Roman" w:cs="Times New Roman"/>
      <w:sz w:val="21"/>
      <w:szCs w:val="21"/>
      <w:lang w:val="en-US" w:eastAsia="zh-CN" w:bidi="ar-SA"/>
    </w:rPr>
  </w:style>
  <w:style w:type="paragraph" w:styleId="13">
    <w:name w:val="toc 3"/>
    <w:next w:val="1"/>
    <w:unhideWhenUsed/>
    <w:qFormat/>
    <w:uiPriority w:val="30"/>
    <w:pPr>
      <w:ind w:left="850"/>
      <w:jc w:val="both"/>
    </w:pPr>
    <w:rPr>
      <w:rFonts w:ascii="宋体" w:hAnsi="宋体" w:eastAsia="Times New Roman" w:cs="Times New Roman"/>
      <w:sz w:val="21"/>
      <w:szCs w:val="21"/>
      <w:lang w:val="en-US" w:eastAsia="zh-CN" w:bidi="ar-SA"/>
    </w:rPr>
  </w:style>
  <w:style w:type="paragraph" w:styleId="14">
    <w:name w:val="toc 8"/>
    <w:next w:val="1"/>
    <w:unhideWhenUsed/>
    <w:qFormat/>
    <w:uiPriority w:val="35"/>
    <w:pPr>
      <w:ind w:left="2975"/>
      <w:jc w:val="both"/>
    </w:pPr>
    <w:rPr>
      <w:rFonts w:ascii="宋体" w:hAnsi="宋体" w:eastAsia="Times New Roman" w:cs="Times New Roman"/>
      <w:sz w:val="21"/>
      <w:szCs w:val="21"/>
      <w:lang w:val="en-US" w:eastAsia="zh-CN" w:bidi="ar-SA"/>
    </w:rPr>
  </w:style>
  <w:style w:type="paragraph" w:styleId="15">
    <w:name w:val="Balloon Text"/>
    <w:basedOn w:val="1"/>
    <w:link w:val="69"/>
    <w:semiHidden/>
    <w:unhideWhenUsed/>
    <w:qFormat/>
    <w:uiPriority w:val="99"/>
    <w:rPr>
      <w:sz w:val="18"/>
      <w:szCs w:val="18"/>
    </w:rPr>
  </w:style>
  <w:style w:type="paragraph" w:styleId="16">
    <w:name w:val="footer"/>
    <w:basedOn w:val="1"/>
    <w:link w:val="49"/>
    <w:unhideWhenUsed/>
    <w:qFormat/>
    <w:uiPriority w:val="0"/>
    <w:pPr>
      <w:tabs>
        <w:tab w:val="center" w:pos="4153"/>
        <w:tab w:val="right" w:pos="8306"/>
      </w:tabs>
    </w:pPr>
    <w:rPr>
      <w:sz w:val="18"/>
      <w:szCs w:val="18"/>
    </w:rPr>
  </w:style>
  <w:style w:type="paragraph" w:styleId="17">
    <w:name w:val="header"/>
    <w:basedOn w:val="1"/>
    <w:link w:val="48"/>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宋体" w:hAnsi="宋体" w:eastAsia="Times New Roman" w:cs="Times New Roman"/>
      <w:sz w:val="21"/>
      <w:szCs w:val="21"/>
      <w:lang w:val="en-US" w:eastAsia="zh-CN" w:bidi="ar-SA"/>
    </w:rPr>
  </w:style>
  <w:style w:type="paragraph" w:styleId="19">
    <w:name w:val="toc 4"/>
    <w:next w:val="1"/>
    <w:unhideWhenUsed/>
    <w:qFormat/>
    <w:uiPriority w:val="31"/>
    <w:pPr>
      <w:ind w:left="1275"/>
      <w:jc w:val="both"/>
    </w:pPr>
    <w:rPr>
      <w:rFonts w:ascii="宋体" w:hAnsi="宋体" w:eastAsia="Times New Roman" w:cs="Times New Roman"/>
      <w:sz w:val="21"/>
      <w:szCs w:val="21"/>
      <w:lang w:val="en-US" w:eastAsia="zh-CN" w:bidi="ar-SA"/>
    </w:rPr>
  </w:style>
  <w:style w:type="paragraph" w:styleId="20">
    <w:name w:val="Subtitle"/>
    <w:link w:val="59"/>
    <w:qFormat/>
    <w:uiPriority w:val="16"/>
    <w:pPr>
      <w:jc w:val="center"/>
    </w:pPr>
    <w:rPr>
      <w:rFonts w:ascii="宋体" w:hAnsi="宋体" w:eastAsia="Times New Roman" w:cs="Times New Roman"/>
      <w:sz w:val="24"/>
      <w:szCs w:val="24"/>
      <w:lang w:val="en-US" w:eastAsia="zh-CN" w:bidi="ar-SA"/>
    </w:rPr>
  </w:style>
  <w:style w:type="paragraph" w:styleId="21">
    <w:name w:val="toc 6"/>
    <w:next w:val="1"/>
    <w:unhideWhenUsed/>
    <w:qFormat/>
    <w:uiPriority w:val="33"/>
    <w:pPr>
      <w:ind w:left="2125"/>
      <w:jc w:val="both"/>
    </w:pPr>
    <w:rPr>
      <w:rFonts w:ascii="宋体" w:hAnsi="宋体" w:eastAsia="Times New Roman" w:cs="Times New Roman"/>
      <w:sz w:val="21"/>
      <w:szCs w:val="21"/>
      <w:lang w:val="en-US" w:eastAsia="zh-CN" w:bidi="ar-SA"/>
    </w:rPr>
  </w:style>
  <w:style w:type="paragraph" w:styleId="22">
    <w:name w:val="toc 2"/>
    <w:next w:val="1"/>
    <w:unhideWhenUsed/>
    <w:qFormat/>
    <w:uiPriority w:val="29"/>
    <w:pPr>
      <w:ind w:left="425"/>
      <w:jc w:val="both"/>
    </w:pPr>
    <w:rPr>
      <w:rFonts w:ascii="宋体" w:hAnsi="宋体" w:eastAsia="Times New Roman" w:cs="Times New Roman"/>
      <w:sz w:val="21"/>
      <w:szCs w:val="21"/>
      <w:lang w:val="en-US" w:eastAsia="zh-CN" w:bidi="ar-SA"/>
    </w:rPr>
  </w:style>
  <w:style w:type="paragraph" w:styleId="23">
    <w:name w:val="toc 9"/>
    <w:next w:val="1"/>
    <w:unhideWhenUsed/>
    <w:qFormat/>
    <w:uiPriority w:val="36"/>
    <w:pPr>
      <w:ind w:left="3400"/>
      <w:jc w:val="both"/>
    </w:pPr>
    <w:rPr>
      <w:rFonts w:ascii="宋体" w:hAnsi="宋体" w:eastAsia="Times New Roman" w:cs="Times New Roman"/>
      <w:sz w:val="21"/>
      <w:szCs w:val="21"/>
      <w:lang w:val="en-US" w:eastAsia="zh-CN" w:bidi="ar-SA"/>
    </w:rPr>
  </w:style>
  <w:style w:type="paragraph" w:styleId="24">
    <w:name w:val="Title"/>
    <w:link w:val="60"/>
    <w:qFormat/>
    <w:uiPriority w:val="6"/>
    <w:pPr>
      <w:jc w:val="center"/>
    </w:pPr>
    <w:rPr>
      <w:rFonts w:ascii="宋体" w:hAnsi="宋体" w:eastAsia="华文新魏" w:cs="Times New Roman"/>
      <w:b/>
      <w:sz w:val="52"/>
      <w:szCs w:val="32"/>
      <w:lang w:val="en-US" w:eastAsia="zh-CN" w:bidi="ar-SA"/>
    </w:rPr>
  </w:style>
  <w:style w:type="table" w:styleId="26">
    <w:name w:val="Table Grid"/>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0"/>
    <w:rPr>
      <w:b/>
      <w:w w:val="100"/>
      <w:sz w:val="21"/>
      <w:szCs w:val="21"/>
      <w:shd w:val="clear" w:color="000000" w:fill="auto"/>
    </w:rPr>
  </w:style>
  <w:style w:type="character" w:styleId="29">
    <w:name w:val="FollowedHyperlink"/>
    <w:basedOn w:val="27"/>
    <w:unhideWhenUsed/>
    <w:qFormat/>
    <w:uiPriority w:val="0"/>
    <w:rPr>
      <w:color w:val="954F72" w:themeColor="followedHyperlink"/>
      <w:w w:val="100"/>
      <w:sz w:val="20"/>
      <w:szCs w:val="20"/>
      <w:u w:val="single"/>
      <w:shd w:val="clear" w:color="000000" w:fill="auto"/>
    </w:rPr>
  </w:style>
  <w:style w:type="character" w:styleId="30">
    <w:name w:val="Emphasis"/>
    <w:qFormat/>
    <w:uiPriority w:val="18"/>
    <w:rPr>
      <w:i/>
      <w:w w:val="100"/>
      <w:sz w:val="21"/>
      <w:szCs w:val="21"/>
      <w:shd w:val="clear" w:color="000000" w:fill="auto"/>
    </w:rPr>
  </w:style>
  <w:style w:type="character" w:styleId="31">
    <w:name w:val="Hyperlink"/>
    <w:basedOn w:val="27"/>
    <w:unhideWhenUsed/>
    <w:qFormat/>
    <w:uiPriority w:val="0"/>
    <w:rPr>
      <w:color w:val="000000"/>
      <w:w w:val="100"/>
      <w:sz w:val="20"/>
      <w:szCs w:val="20"/>
      <w:u w:val="none"/>
      <w:shd w:val="clear" w:color="000000" w:fill="auto"/>
    </w:rPr>
  </w:style>
  <w:style w:type="paragraph" w:styleId="32">
    <w:name w:val="No Spacing"/>
    <w:qFormat/>
    <w:uiPriority w:val="5"/>
    <w:pPr>
      <w:jc w:val="both"/>
    </w:pPr>
    <w:rPr>
      <w:rFonts w:ascii="宋体" w:hAnsi="宋体" w:eastAsia="Times New Roman" w:cs="Times New Roman"/>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link w:val="61"/>
    <w:qFormat/>
    <w:uiPriority w:val="21"/>
    <w:pPr>
      <w:ind w:left="864" w:right="864"/>
      <w:jc w:val="center"/>
    </w:pPr>
    <w:rPr>
      <w:rFonts w:ascii="宋体" w:hAnsi="宋体" w:eastAsia="Times New Roman" w:cs="Times New Roman"/>
      <w:i/>
      <w:color w:val="404040"/>
      <w:sz w:val="21"/>
      <w:szCs w:val="21"/>
      <w:lang w:val="en-US" w:eastAsia="zh-CN" w:bidi="ar-SA"/>
    </w:rPr>
  </w:style>
  <w:style w:type="paragraph" w:styleId="36">
    <w:name w:val="Intense Quote"/>
    <w:link w:val="62"/>
    <w:qFormat/>
    <w:uiPriority w:val="22"/>
    <w:pPr>
      <w:ind w:left="950" w:right="950"/>
      <w:jc w:val="center"/>
    </w:pPr>
    <w:rPr>
      <w:rFonts w:ascii="宋体" w:hAnsi="宋体" w:eastAsia="Times New Roman" w:cs="Times New Roman"/>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34"/>
    <w:pPr>
      <w:ind w:left="850"/>
      <w:jc w:val="both"/>
    </w:pPr>
    <w:rPr>
      <w:rFonts w:ascii="宋体" w:hAnsi="宋体" w:eastAsia="Times New Roman" w:cs="Times New Roman"/>
      <w:sz w:val="21"/>
      <w:szCs w:val="21"/>
      <w:lang w:val="en-US" w:eastAsia="zh-CN" w:bidi="ar-SA"/>
    </w:rPr>
  </w:style>
  <w:style w:type="paragraph" w:customStyle="1" w:styleId="41">
    <w:name w:val="TOC 标题1"/>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不明显强调111"/>
    <w:qFormat/>
    <w:uiPriority w:val="17"/>
    <w:rPr>
      <w:i/>
      <w:color w:val="404040"/>
      <w:w w:val="100"/>
      <w:sz w:val="21"/>
      <w:szCs w:val="21"/>
      <w:shd w:val="clear" w:color="000000" w:fill="auto"/>
    </w:rPr>
  </w:style>
  <w:style w:type="character" w:customStyle="1" w:styleId="43">
    <w:name w:val="明显强调111"/>
    <w:qFormat/>
    <w:uiPriority w:val="19"/>
    <w:rPr>
      <w:i/>
      <w:color w:val="5B9BD5"/>
      <w:w w:val="100"/>
      <w:sz w:val="21"/>
      <w:szCs w:val="21"/>
      <w:shd w:val="clear" w:color="000000" w:fill="auto"/>
    </w:rPr>
  </w:style>
  <w:style w:type="character" w:customStyle="1" w:styleId="44">
    <w:name w:val="不明显参考111"/>
    <w:qFormat/>
    <w:uiPriority w:val="23"/>
    <w:rPr>
      <w:smallCaps/>
      <w:color w:val="5A5A5A"/>
      <w:w w:val="100"/>
      <w:sz w:val="21"/>
      <w:szCs w:val="21"/>
      <w:shd w:val="clear" w:color="000000" w:fill="auto"/>
    </w:rPr>
  </w:style>
  <w:style w:type="character" w:customStyle="1" w:styleId="45">
    <w:name w:val="明显参考111"/>
    <w:qFormat/>
    <w:uiPriority w:val="24"/>
    <w:rPr>
      <w:b/>
      <w:smallCaps/>
      <w:color w:val="5B9BD5"/>
      <w:w w:val="100"/>
      <w:sz w:val="21"/>
      <w:szCs w:val="21"/>
      <w:shd w:val="clear" w:color="000000" w:fill="auto"/>
    </w:rPr>
  </w:style>
  <w:style w:type="character" w:customStyle="1" w:styleId="46">
    <w:name w:val="书籍标题111"/>
    <w:qFormat/>
    <w:uiPriority w:val="25"/>
    <w:rPr>
      <w:b/>
      <w:i/>
      <w:w w:val="100"/>
      <w:sz w:val="21"/>
      <w:szCs w:val="21"/>
      <w:shd w:val="clear" w:color="000000" w:fill="auto"/>
    </w:rPr>
  </w:style>
  <w:style w:type="paragraph" w:customStyle="1" w:styleId="47">
    <w:name w:val="TOC 标题111"/>
    <w:unhideWhenUsed/>
    <w:qFormat/>
    <w:uiPriority w:val="27"/>
    <w:rPr>
      <w:rFonts w:ascii="宋体" w:hAnsi="宋体" w:eastAsia="Times New Roman" w:cs="Times New Roman"/>
      <w:color w:val="2E74B5"/>
      <w:sz w:val="32"/>
      <w:szCs w:val="32"/>
      <w:lang w:val="en-US" w:eastAsia="zh-CN" w:bidi="ar-SA"/>
    </w:rPr>
  </w:style>
  <w:style w:type="character" w:customStyle="1" w:styleId="48">
    <w:name w:val="页眉 字符"/>
    <w:basedOn w:val="27"/>
    <w:link w:val="17"/>
    <w:qFormat/>
    <w:uiPriority w:val="0"/>
    <w:rPr>
      <w:w w:val="100"/>
      <w:sz w:val="18"/>
      <w:szCs w:val="18"/>
      <w:shd w:val="clear" w:color="000000" w:fill="auto"/>
    </w:rPr>
  </w:style>
  <w:style w:type="character" w:customStyle="1" w:styleId="49">
    <w:name w:val="页脚 字符"/>
    <w:basedOn w:val="27"/>
    <w:link w:val="16"/>
    <w:qFormat/>
    <w:uiPriority w:val="0"/>
    <w:rPr>
      <w:w w:val="100"/>
      <w:sz w:val="18"/>
      <w:szCs w:val="18"/>
      <w:shd w:val="clear" w:color="000000" w:fill="auto"/>
    </w:rPr>
  </w:style>
  <w:style w:type="character" w:customStyle="1" w:styleId="50">
    <w:name w:val="标题 1 字符"/>
    <w:basedOn w:val="27"/>
    <w:link w:val="2"/>
    <w:qFormat/>
    <w:uiPriority w:val="7"/>
    <w:rPr>
      <w:rFonts w:ascii="宋体" w:hAnsi="宋体" w:eastAsia="仿宋"/>
      <w:b/>
      <w:sz w:val="28"/>
      <w:szCs w:val="28"/>
    </w:rPr>
  </w:style>
  <w:style w:type="character" w:customStyle="1" w:styleId="51">
    <w:name w:val="标题 2 字符"/>
    <w:basedOn w:val="27"/>
    <w:link w:val="3"/>
    <w:qFormat/>
    <w:uiPriority w:val="8"/>
    <w:rPr>
      <w:rFonts w:ascii="宋体" w:hAnsi="宋体" w:eastAsia="Times New Roman"/>
      <w:sz w:val="21"/>
      <w:szCs w:val="21"/>
    </w:rPr>
  </w:style>
  <w:style w:type="character" w:customStyle="1" w:styleId="52">
    <w:name w:val="标题 3 字符"/>
    <w:basedOn w:val="27"/>
    <w:link w:val="4"/>
    <w:qFormat/>
    <w:uiPriority w:val="9"/>
    <w:rPr>
      <w:rFonts w:ascii="宋体" w:hAnsi="宋体" w:eastAsia="Times New Roman"/>
      <w:sz w:val="21"/>
      <w:szCs w:val="21"/>
    </w:rPr>
  </w:style>
  <w:style w:type="character" w:customStyle="1" w:styleId="53">
    <w:name w:val="标题 4 字符"/>
    <w:basedOn w:val="27"/>
    <w:link w:val="5"/>
    <w:qFormat/>
    <w:uiPriority w:val="10"/>
    <w:rPr>
      <w:rFonts w:ascii="宋体" w:hAnsi="宋体" w:eastAsia="Times New Roman"/>
      <w:b/>
      <w:sz w:val="21"/>
      <w:szCs w:val="21"/>
    </w:rPr>
  </w:style>
  <w:style w:type="character" w:customStyle="1" w:styleId="54">
    <w:name w:val="标题 5 字符"/>
    <w:basedOn w:val="27"/>
    <w:link w:val="6"/>
    <w:qFormat/>
    <w:uiPriority w:val="11"/>
    <w:rPr>
      <w:rFonts w:ascii="宋体" w:hAnsi="宋体" w:eastAsia="Times New Roman"/>
      <w:sz w:val="21"/>
      <w:szCs w:val="21"/>
    </w:rPr>
  </w:style>
  <w:style w:type="character" w:customStyle="1" w:styleId="55">
    <w:name w:val="标题 6 字符"/>
    <w:basedOn w:val="27"/>
    <w:link w:val="7"/>
    <w:qFormat/>
    <w:uiPriority w:val="12"/>
    <w:rPr>
      <w:rFonts w:ascii="宋体" w:hAnsi="宋体" w:eastAsia="Times New Roman"/>
      <w:b/>
      <w:sz w:val="21"/>
      <w:szCs w:val="21"/>
    </w:rPr>
  </w:style>
  <w:style w:type="character" w:customStyle="1" w:styleId="56">
    <w:name w:val="标题 7 字符"/>
    <w:basedOn w:val="27"/>
    <w:link w:val="8"/>
    <w:qFormat/>
    <w:uiPriority w:val="13"/>
    <w:rPr>
      <w:rFonts w:ascii="宋体" w:hAnsi="宋体" w:eastAsia="Times New Roman"/>
      <w:sz w:val="21"/>
      <w:szCs w:val="21"/>
    </w:rPr>
  </w:style>
  <w:style w:type="character" w:customStyle="1" w:styleId="57">
    <w:name w:val="标题 8 字符"/>
    <w:basedOn w:val="27"/>
    <w:link w:val="9"/>
    <w:qFormat/>
    <w:uiPriority w:val="14"/>
    <w:rPr>
      <w:rFonts w:ascii="宋体" w:hAnsi="宋体" w:eastAsia="Times New Roman"/>
      <w:sz w:val="21"/>
      <w:szCs w:val="21"/>
    </w:rPr>
  </w:style>
  <w:style w:type="character" w:customStyle="1" w:styleId="58">
    <w:name w:val="标题 9 字符"/>
    <w:basedOn w:val="27"/>
    <w:link w:val="10"/>
    <w:qFormat/>
    <w:uiPriority w:val="15"/>
    <w:rPr>
      <w:rFonts w:ascii="宋体" w:hAnsi="宋体" w:eastAsia="Times New Roman"/>
      <w:sz w:val="21"/>
      <w:szCs w:val="21"/>
    </w:rPr>
  </w:style>
  <w:style w:type="character" w:customStyle="1" w:styleId="59">
    <w:name w:val="副标题 字符"/>
    <w:basedOn w:val="27"/>
    <w:link w:val="20"/>
    <w:qFormat/>
    <w:uiPriority w:val="16"/>
    <w:rPr>
      <w:rFonts w:ascii="宋体" w:hAnsi="宋体" w:eastAsia="Times New Roman"/>
      <w:sz w:val="24"/>
      <w:szCs w:val="24"/>
    </w:rPr>
  </w:style>
  <w:style w:type="character" w:customStyle="1" w:styleId="60">
    <w:name w:val="标题 字符"/>
    <w:basedOn w:val="27"/>
    <w:link w:val="24"/>
    <w:qFormat/>
    <w:uiPriority w:val="6"/>
    <w:rPr>
      <w:rFonts w:ascii="宋体" w:hAnsi="宋体" w:eastAsia="华文新魏"/>
      <w:b/>
      <w:sz w:val="52"/>
      <w:szCs w:val="32"/>
    </w:rPr>
  </w:style>
  <w:style w:type="character" w:customStyle="1" w:styleId="61">
    <w:name w:val="引用 字符"/>
    <w:basedOn w:val="27"/>
    <w:link w:val="35"/>
    <w:qFormat/>
    <w:uiPriority w:val="21"/>
    <w:rPr>
      <w:rFonts w:ascii="宋体" w:hAnsi="宋体" w:eastAsia="Times New Roman"/>
      <w:i/>
      <w:color w:val="404040"/>
      <w:sz w:val="21"/>
      <w:szCs w:val="21"/>
    </w:rPr>
  </w:style>
  <w:style w:type="character" w:customStyle="1" w:styleId="62">
    <w:name w:val="明显引用 字符"/>
    <w:basedOn w:val="27"/>
    <w:link w:val="36"/>
    <w:qFormat/>
    <w:uiPriority w:val="22"/>
    <w:rPr>
      <w:rFonts w:ascii="宋体" w:hAnsi="宋体" w:eastAsia="Times New Roman"/>
      <w:i/>
      <w:color w:val="5B9BD5"/>
      <w:sz w:val="21"/>
      <w:szCs w:val="21"/>
    </w:rPr>
  </w:style>
  <w:style w:type="character" w:customStyle="1" w:styleId="63">
    <w:name w:val="不明显强调11"/>
    <w:qFormat/>
    <w:uiPriority w:val="0"/>
    <w:rPr>
      <w:i/>
      <w:color w:val="404040"/>
      <w:w w:val="100"/>
      <w:sz w:val="21"/>
      <w:szCs w:val="21"/>
      <w:shd w:val="clear" w:color="000000" w:fill="auto"/>
    </w:rPr>
  </w:style>
  <w:style w:type="character" w:customStyle="1" w:styleId="64">
    <w:name w:val="明显强调11"/>
    <w:qFormat/>
    <w:uiPriority w:val="0"/>
    <w:rPr>
      <w:i/>
      <w:color w:val="5B9BD5"/>
      <w:w w:val="100"/>
      <w:sz w:val="21"/>
      <w:szCs w:val="21"/>
      <w:shd w:val="clear" w:color="000000" w:fill="auto"/>
    </w:rPr>
  </w:style>
  <w:style w:type="character" w:customStyle="1" w:styleId="65">
    <w:name w:val="不明显参考11"/>
    <w:qFormat/>
    <w:uiPriority w:val="0"/>
    <w:rPr>
      <w:smallCaps/>
      <w:color w:val="5A5A5A"/>
      <w:w w:val="100"/>
      <w:sz w:val="21"/>
      <w:szCs w:val="21"/>
      <w:shd w:val="clear" w:color="000000" w:fill="auto"/>
    </w:rPr>
  </w:style>
  <w:style w:type="character" w:customStyle="1" w:styleId="66">
    <w:name w:val="明显参考11"/>
    <w:qFormat/>
    <w:uiPriority w:val="0"/>
    <w:rPr>
      <w:b/>
      <w:smallCaps/>
      <w:color w:val="5B9BD5"/>
      <w:w w:val="100"/>
      <w:sz w:val="21"/>
      <w:szCs w:val="21"/>
      <w:shd w:val="clear" w:color="000000" w:fill="auto"/>
    </w:rPr>
  </w:style>
  <w:style w:type="character" w:customStyle="1" w:styleId="67">
    <w:name w:val="书籍标题11"/>
    <w:qFormat/>
    <w:uiPriority w:val="0"/>
    <w:rPr>
      <w:b/>
      <w:i/>
      <w:w w:val="100"/>
      <w:sz w:val="21"/>
      <w:szCs w:val="21"/>
      <w:shd w:val="clear" w:color="000000" w:fill="auto"/>
    </w:rPr>
  </w:style>
  <w:style w:type="paragraph" w:customStyle="1" w:styleId="68">
    <w:name w:val="TOC 标题11"/>
    <w:unhideWhenUsed/>
    <w:qFormat/>
    <w:uiPriority w:val="0"/>
    <w:rPr>
      <w:rFonts w:ascii="宋体" w:hAnsi="宋体" w:eastAsia="Times New Roman" w:cs="Times New Roman"/>
      <w:color w:val="2E74B5"/>
      <w:sz w:val="32"/>
      <w:szCs w:val="32"/>
      <w:lang w:val="en-US" w:eastAsia="zh-CN" w:bidi="ar-SA"/>
    </w:rPr>
  </w:style>
  <w:style w:type="character" w:customStyle="1" w:styleId="69">
    <w:name w:val="批注框文本 字符"/>
    <w:basedOn w:val="27"/>
    <w:link w:val="15"/>
    <w:semiHidden/>
    <w:qFormat/>
    <w:uiPriority w:val="99"/>
    <w:rPr>
      <w:rFonts w:ascii="Calibri" w:hAnsi="Calibri" w:eastAsia="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70FD48-0065-4B51-8A2B-424055AFA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13024</Words>
  <Characters>13688</Characters>
  <Lines>107</Lines>
  <Paragraphs>30</Paragraphs>
  <TotalTime>67</TotalTime>
  <ScaleCrop>false</ScaleCrop>
  <LinksUpToDate>false</LinksUpToDate>
  <CharactersWithSpaces>13917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2021-11-16T06:33:00Z</dcterms:created>
  <dc:creator>王吉春</dc:creator>
  <cp:lastModifiedBy>黄晓欣</cp:lastModifiedBy>
  <cp:lastPrinted>2022-06-24T00:49:00Z</cp:lastPrinted>
  <dcterms:modified xsi:type="dcterms:W3CDTF">2022-09-09T02:46:59Z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7DC927103F434B2DB357F00EBDAA56E5</vt:lpwstr>
  </property>
</Properties>
</file>