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rPr>
      </w:pPr>
      <w:r>
        <w:rPr>
          <w:rFonts w:hint="eastAsia"/>
          <w:sz w:val="56"/>
        </w:rPr>
        <w:tab/>
      </w:r>
      <w:r>
        <w:rPr>
          <w:sz w:val="56"/>
        </w:rPr>
        <w:tab/>
      </w:r>
      <w:r>
        <w:rPr>
          <w:rFonts w:hint="eastAsia"/>
          <w:sz w:val="56"/>
        </w:rPr>
        <w:tab/>
      </w:r>
      <w:r>
        <w:rPr>
          <w:sz w:val="56"/>
        </w:rPr>
        <w:tab/>
      </w:r>
      <w:r>
        <w:rPr>
          <w:rFonts w:hint="eastAsia"/>
          <w:sz w:val="56"/>
        </w:rPr>
        <w:tab/>
      </w:r>
    </w:p>
    <w:p>
      <w:pPr>
        <w:jc w:val="center"/>
        <w:rPr>
          <w:sz w:val="56"/>
        </w:rPr>
      </w:pPr>
    </w:p>
    <w:p>
      <w:pPr>
        <w:jc w:val="center"/>
        <w:rPr>
          <w:sz w:val="56"/>
        </w:rPr>
      </w:pPr>
    </w:p>
    <w:p>
      <w:pPr>
        <w:spacing w:line="360" w:lineRule="auto"/>
        <w:jc w:val="center"/>
        <w:rPr>
          <w:sz w:val="52"/>
          <w:szCs w:val="22"/>
        </w:rPr>
      </w:pPr>
      <w:r>
        <w:rPr>
          <w:rFonts w:hint="eastAsia"/>
          <w:sz w:val="52"/>
          <w:szCs w:val="22"/>
        </w:rPr>
        <w:t>深大乒乓项目综合服务中心</w:t>
      </w:r>
    </w:p>
    <w:p>
      <w:pPr>
        <w:spacing w:line="360" w:lineRule="auto"/>
        <w:jc w:val="center"/>
        <w:rPr>
          <w:rFonts w:hint="eastAsia"/>
          <w:sz w:val="52"/>
          <w:szCs w:val="22"/>
          <w:lang w:eastAsia="zh-CN"/>
        </w:rPr>
      </w:pPr>
      <w:r>
        <w:rPr>
          <w:rFonts w:hint="eastAsia"/>
          <w:sz w:val="52"/>
          <w:szCs w:val="22"/>
          <w:lang w:eastAsia="zh-CN"/>
        </w:rPr>
        <w:t>（</w:t>
      </w:r>
      <w:r>
        <w:rPr>
          <w:rFonts w:hint="eastAsia"/>
          <w:sz w:val="52"/>
          <w:szCs w:val="22"/>
          <w:lang w:val="en-US" w:eastAsia="zh-CN"/>
        </w:rPr>
        <w:t>华</w:t>
      </w:r>
      <w:r>
        <w:rPr>
          <w:rFonts w:hint="eastAsia"/>
          <w:sz w:val="52"/>
          <w:szCs w:val="22"/>
          <w:lang w:eastAsia="zh-CN"/>
        </w:rPr>
        <w:t>侨城基地）地胶采购项目</w:t>
      </w:r>
    </w:p>
    <w:p>
      <w:pPr>
        <w:spacing w:line="360" w:lineRule="auto"/>
        <w:rPr>
          <w:rFonts w:hint="eastAsia"/>
          <w:lang w:eastAsia="zh-CN"/>
        </w:rPr>
      </w:pPr>
    </w:p>
    <w:p>
      <w:pPr>
        <w:pStyle w:val="2"/>
        <w:rPr>
          <w:rFonts w:hint="eastAsia"/>
          <w:lang w:eastAsia="zh-CN"/>
        </w:rPr>
      </w:pPr>
    </w:p>
    <w:p>
      <w:pPr>
        <w:spacing w:line="360" w:lineRule="auto"/>
        <w:jc w:val="center"/>
        <w:rPr>
          <w:rFonts w:hint="eastAsia"/>
          <w:b/>
          <w:sz w:val="90"/>
        </w:rPr>
      </w:pPr>
      <w:r>
        <w:rPr>
          <w:rFonts w:hint="eastAsia"/>
          <w:b/>
          <w:sz w:val="90"/>
        </w:rPr>
        <w:t>招标文件</w:t>
      </w:r>
    </w:p>
    <w:p>
      <w:pPr>
        <w:pStyle w:val="2"/>
        <w:spacing w:line="360" w:lineRule="auto"/>
      </w:pPr>
    </w:p>
    <w:p>
      <w:pPr>
        <w:spacing w:line="360" w:lineRule="auto"/>
        <w:jc w:val="center"/>
        <w:rPr>
          <w:sz w:val="30"/>
        </w:rPr>
      </w:pPr>
      <w:r>
        <w:rPr>
          <w:rFonts w:hint="eastAsia"/>
          <w:sz w:val="30"/>
          <w:highlight w:val="yellow"/>
        </w:rPr>
        <w:t>（</w:t>
      </w:r>
      <w:r>
        <w:rPr>
          <w:rFonts w:hint="eastAsia"/>
          <w:color w:val="FF0000"/>
          <w:sz w:val="30"/>
          <w:highlight w:val="yellow"/>
        </w:rPr>
        <w:t>招标编号：</w:t>
      </w:r>
      <w:r>
        <w:rPr>
          <w:rFonts w:hint="eastAsia"/>
          <w:color w:val="FF0000"/>
          <w:sz w:val="30"/>
          <w:highlight w:val="yellow"/>
          <w:lang w:val="en-US" w:eastAsia="zh-CN"/>
        </w:rPr>
        <w:t>SZUTT2021001HW</w:t>
      </w:r>
      <w:r>
        <w:rPr>
          <w:rFonts w:hint="eastAsia"/>
          <w:sz w:val="30"/>
          <w:highlight w:val="yellow"/>
        </w:rPr>
        <w:t>）</w:t>
      </w:r>
    </w:p>
    <w:p>
      <w:pPr>
        <w:spacing w:line="360" w:lineRule="auto"/>
        <w:jc w:val="center"/>
        <w:rPr>
          <w:sz w:val="90"/>
        </w:rPr>
      </w:pPr>
    </w:p>
    <w:p>
      <w:pPr>
        <w:spacing w:line="360" w:lineRule="auto"/>
        <w:jc w:val="center"/>
        <w:rPr>
          <w:sz w:val="90"/>
        </w:rPr>
      </w:pPr>
    </w:p>
    <w:p>
      <w:pPr>
        <w:spacing w:line="360" w:lineRule="auto"/>
        <w:jc w:val="both"/>
        <w:rPr>
          <w:sz w:val="90"/>
        </w:rPr>
      </w:pPr>
    </w:p>
    <w:p>
      <w:pPr>
        <w:spacing w:line="480" w:lineRule="auto"/>
        <w:jc w:val="center"/>
        <w:rPr>
          <w:sz w:val="30"/>
        </w:rPr>
      </w:pPr>
      <w:r>
        <w:rPr>
          <w:rFonts w:hint="eastAsia"/>
          <w:sz w:val="30"/>
        </w:rPr>
        <w:t>深圳市深大体育文化发展有限公司</w:t>
      </w:r>
    </w:p>
    <w:p>
      <w:pPr>
        <w:spacing w:line="480" w:lineRule="auto"/>
        <w:jc w:val="center"/>
        <w:rPr>
          <w:sz w:val="30"/>
          <w:highlight w:val="yellow"/>
        </w:rPr>
      </w:pPr>
      <w:r>
        <w:rPr>
          <w:rFonts w:hint="eastAsia"/>
          <w:sz w:val="30"/>
          <w:highlight w:val="yellow"/>
        </w:rPr>
        <w:t>二零二</w:t>
      </w:r>
      <w:r>
        <w:rPr>
          <w:rFonts w:hint="eastAsia"/>
          <w:sz w:val="30"/>
          <w:highlight w:val="yellow"/>
          <w:lang w:eastAsia="zh-CN"/>
        </w:rPr>
        <w:t>一</w:t>
      </w:r>
      <w:r>
        <w:rPr>
          <w:rFonts w:hint="eastAsia"/>
          <w:sz w:val="30"/>
          <w:highlight w:val="yellow"/>
        </w:rPr>
        <w:t>年</w:t>
      </w:r>
      <w:r>
        <w:rPr>
          <w:rFonts w:hint="eastAsia"/>
          <w:sz w:val="30"/>
          <w:highlight w:val="yellow"/>
          <w:lang w:val="en-US" w:eastAsia="zh-CN"/>
        </w:rPr>
        <w:t>二</w:t>
      </w:r>
      <w:r>
        <w:rPr>
          <w:rFonts w:hint="eastAsia"/>
          <w:sz w:val="30"/>
          <w:highlight w:val="yellow"/>
        </w:rPr>
        <w:t>月</w:t>
      </w:r>
    </w:p>
    <w:p/>
    <w:p>
      <w:pPr>
        <w:pStyle w:val="3"/>
        <w:rPr>
          <w:rFonts w:ascii="华文新魏" w:hAnsi="华文新魏" w:eastAsia="华文新魏" w:cs="华文新魏"/>
          <w:sz w:val="52"/>
          <w:szCs w:val="52"/>
        </w:rPr>
      </w:pPr>
    </w:p>
    <w:p>
      <w:pPr>
        <w:pStyle w:val="3"/>
        <w:spacing w:line="480" w:lineRule="auto"/>
        <w:rPr>
          <w:rFonts w:ascii="华文新魏" w:hAnsi="华文新魏" w:eastAsia="华文新魏" w:cs="华文新魏"/>
          <w:sz w:val="52"/>
          <w:szCs w:val="52"/>
        </w:rPr>
      </w:pPr>
      <w:r>
        <w:rPr>
          <w:rFonts w:hint="eastAsia" w:ascii="华文新魏" w:hAnsi="华文新魏" w:eastAsia="华文新魏" w:cs="华文新魏"/>
          <w:sz w:val="52"/>
          <w:szCs w:val="52"/>
        </w:rPr>
        <w:t>关键信息</w:t>
      </w:r>
    </w:p>
    <w:p>
      <w:pPr>
        <w:pStyle w:val="2"/>
        <w:spacing w:line="480" w:lineRule="auto"/>
        <w:rPr>
          <w:sz w:val="36"/>
          <w:szCs w:val="36"/>
        </w:rPr>
      </w:pPr>
      <w:r>
        <w:rPr>
          <w:rFonts w:hint="eastAsia"/>
          <w:sz w:val="36"/>
          <w:szCs w:val="36"/>
        </w:rPr>
        <w:t>项目信息</w:t>
      </w:r>
    </w:p>
    <w:p>
      <w:pPr>
        <w:spacing w:line="480" w:lineRule="auto"/>
        <w:rPr>
          <w:rFonts w:hint="default" w:ascii="宋体" w:hAnsi="宋体" w:eastAsia="宋体"/>
          <w:color w:val="auto"/>
          <w:sz w:val="32"/>
          <w:lang w:val="en-US" w:eastAsia="zh-CN"/>
        </w:rPr>
      </w:pPr>
      <w:r>
        <w:rPr>
          <w:rFonts w:ascii="宋体" w:hAnsi="宋体"/>
          <w:sz w:val="32"/>
        </w:rPr>
        <w:t xml:space="preserve">      项目编号</w:t>
      </w:r>
      <w:r>
        <w:rPr>
          <w:rFonts w:ascii="宋体" w:hAnsi="宋体"/>
          <w:color w:val="auto"/>
          <w:sz w:val="32"/>
        </w:rPr>
        <w:t xml:space="preserve">：  </w:t>
      </w:r>
      <w:r>
        <w:rPr>
          <w:rFonts w:hint="eastAsia" w:ascii="宋体" w:hAnsi="宋体"/>
          <w:color w:val="auto"/>
          <w:sz w:val="32"/>
          <w:highlight w:val="yellow"/>
          <w:lang w:val="en-US" w:eastAsia="zh-CN"/>
        </w:rPr>
        <w:t>SZUTT2021001HW</w:t>
      </w:r>
    </w:p>
    <w:p>
      <w:pPr>
        <w:spacing w:line="480" w:lineRule="auto"/>
        <w:ind w:firstLine="960" w:firstLineChars="300"/>
        <w:rPr>
          <w:rFonts w:hint="default" w:ascii="宋体" w:hAnsi="宋体" w:eastAsia="宋体"/>
          <w:color w:val="auto"/>
          <w:sz w:val="32"/>
          <w:szCs w:val="32"/>
          <w:lang w:val="en-US" w:eastAsia="zh-CN"/>
        </w:rPr>
      </w:pPr>
      <w:r>
        <w:rPr>
          <w:rFonts w:ascii="宋体" w:hAnsi="宋体"/>
          <w:color w:val="auto"/>
          <w:sz w:val="32"/>
        </w:rPr>
        <w:t xml:space="preserve">项目名称：  </w:t>
      </w:r>
      <w:r>
        <w:rPr>
          <w:rFonts w:hint="eastAsia" w:ascii="宋体" w:hAnsi="宋体"/>
          <w:color w:val="auto"/>
          <w:sz w:val="32"/>
          <w:szCs w:val="32"/>
        </w:rPr>
        <w:t>深大乒乓项目综合服务中心</w:t>
      </w:r>
    </w:p>
    <w:p>
      <w:pPr>
        <w:spacing w:line="480" w:lineRule="auto"/>
        <w:ind w:firstLine="2880" w:firstLineChars="900"/>
        <w:rPr>
          <w:rFonts w:ascii="宋体" w:hAnsi="宋体"/>
          <w:sz w:val="32"/>
        </w:rPr>
      </w:pPr>
      <w:r>
        <w:rPr>
          <w:rFonts w:hint="eastAsia" w:ascii="宋体" w:hAnsi="宋体"/>
          <w:color w:val="auto"/>
          <w:sz w:val="32"/>
          <w:szCs w:val="32"/>
          <w:lang w:eastAsia="zh-CN"/>
        </w:rPr>
        <w:t>（华侨城基地）</w:t>
      </w:r>
      <w:r>
        <w:rPr>
          <w:rFonts w:hint="eastAsia" w:ascii="宋体" w:hAnsi="宋体"/>
          <w:color w:val="auto"/>
          <w:sz w:val="32"/>
          <w:szCs w:val="32"/>
        </w:rPr>
        <w:t>地胶采购项目</w:t>
      </w:r>
    </w:p>
    <w:p>
      <w:pPr>
        <w:spacing w:line="480" w:lineRule="auto"/>
        <w:rPr>
          <w:rFonts w:ascii="宋体" w:hAnsi="宋体"/>
          <w:sz w:val="32"/>
        </w:rPr>
      </w:pPr>
      <w:r>
        <w:rPr>
          <w:rFonts w:ascii="宋体" w:hAnsi="宋体"/>
          <w:sz w:val="32"/>
        </w:rPr>
        <w:t xml:space="preserve">      项目类型：  </w:t>
      </w:r>
      <w:r>
        <w:rPr>
          <w:rFonts w:hint="eastAsia" w:ascii="宋体" w:hAnsi="宋体"/>
          <w:sz w:val="32"/>
          <w:lang w:eastAsia="zh-CN"/>
        </w:rPr>
        <w:t>采购</w:t>
      </w:r>
      <w:r>
        <w:rPr>
          <w:rFonts w:ascii="宋体" w:hAnsi="宋体"/>
          <w:sz w:val="32"/>
        </w:rPr>
        <w:t>类</w:t>
      </w:r>
    </w:p>
    <w:p>
      <w:pPr>
        <w:spacing w:line="480" w:lineRule="auto"/>
        <w:rPr>
          <w:rFonts w:ascii="宋体" w:hAnsi="宋体"/>
          <w:sz w:val="32"/>
        </w:rPr>
      </w:pPr>
      <w:r>
        <w:rPr>
          <w:rFonts w:ascii="宋体" w:hAnsi="宋体"/>
          <w:sz w:val="32"/>
        </w:rPr>
        <w:t xml:space="preserve">      采购方式：  公开招标</w:t>
      </w:r>
    </w:p>
    <w:p>
      <w:pPr>
        <w:spacing w:line="480" w:lineRule="auto"/>
        <w:rPr>
          <w:rFonts w:ascii="宋体" w:hAnsi="宋体"/>
          <w:sz w:val="32"/>
        </w:rPr>
      </w:pPr>
      <w:r>
        <w:rPr>
          <w:rFonts w:ascii="宋体" w:hAnsi="宋体"/>
          <w:sz w:val="32"/>
        </w:rPr>
        <w:t xml:space="preserve">      货币类型：  人民币</w:t>
      </w:r>
    </w:p>
    <w:p>
      <w:pPr>
        <w:spacing w:line="480" w:lineRule="auto"/>
        <w:rPr>
          <w:rFonts w:ascii="宋体" w:hAnsi="宋体"/>
          <w:sz w:val="32"/>
        </w:rPr>
      </w:pPr>
      <w:r>
        <w:rPr>
          <w:rFonts w:hint="eastAsia" w:ascii="宋体" w:hAnsi="宋体"/>
          <w:sz w:val="32"/>
        </w:rPr>
        <w:t xml:space="preserve">      评标方法：</w:t>
      </w:r>
      <w:r>
        <w:rPr>
          <w:rFonts w:hint="eastAsia" w:ascii="宋体" w:hAnsi="宋体"/>
          <w:sz w:val="32"/>
        </w:rPr>
        <w:tab/>
      </w:r>
      <w:r>
        <w:rPr>
          <w:rFonts w:hint="eastAsia" w:ascii="宋体" w:hAnsi="宋体"/>
          <w:sz w:val="32"/>
        </w:rPr>
        <w:t>综合评分法</w:t>
      </w:r>
    </w:p>
    <w:p>
      <w:pPr>
        <w:spacing w:line="480" w:lineRule="auto"/>
        <w:ind w:firstLine="551" w:firstLineChars="196"/>
        <w:rPr>
          <w:b/>
          <w:color w:val="FF0000"/>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keepNext/>
        <w:keepLines/>
        <w:adjustRightInd w:val="0"/>
        <w:spacing w:before="260" w:after="260"/>
        <w:jc w:val="center"/>
        <w:textAlignment w:val="baseline"/>
        <w:outlineLvl w:val="1"/>
        <w:rPr>
          <w:rFonts w:ascii="华文新魏" w:hAnsi="华文新魏" w:eastAsia="华文新魏" w:cs="华文新魏"/>
          <w:b/>
          <w:bCs/>
          <w:kern w:val="0"/>
          <w:sz w:val="44"/>
          <w:szCs w:val="44"/>
        </w:rPr>
      </w:pPr>
      <w:r>
        <w:rPr>
          <w:rFonts w:hint="eastAsia" w:ascii="华文新魏" w:hAnsi="华文新魏" w:eastAsia="华文新魏" w:cs="华文新魏"/>
          <w:b/>
          <w:bCs/>
          <w:kern w:val="0"/>
          <w:sz w:val="44"/>
          <w:szCs w:val="44"/>
        </w:rPr>
        <w:t>投标文件初审表</w:t>
      </w:r>
    </w:p>
    <w:p>
      <w:pPr>
        <w:jc w:val="center"/>
        <w:rPr>
          <w:b/>
        </w:rPr>
      </w:pPr>
      <w:r>
        <w:rPr>
          <w:rFonts w:hint="eastAsia"/>
          <w:b/>
        </w:rPr>
        <w:t>（凡有下列情形之一的，按</w:t>
      </w:r>
      <w:r>
        <w:rPr>
          <w:rFonts w:hint="eastAsia"/>
          <w:b/>
          <w:highlight w:val="yellow"/>
        </w:rPr>
        <w:t>投标无效</w:t>
      </w:r>
      <w:r>
        <w:rPr>
          <w:rFonts w:hint="eastAsia"/>
          <w:b/>
        </w:rPr>
        <w:t>处理）</w:t>
      </w:r>
    </w:p>
    <w:tbl>
      <w:tblPr>
        <w:tblStyle w:val="5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2"/>
          </w:tcPr>
          <w:p>
            <w:pPr>
              <w:spacing w:line="360" w:lineRule="auto"/>
              <w:jc w:val="center"/>
            </w:pPr>
            <w:r>
              <w:rPr>
                <w:rFonts w:hint="eastAsia"/>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t>1</w:t>
            </w:r>
          </w:p>
        </w:tc>
        <w:tc>
          <w:tcPr>
            <w:tcW w:w="6907" w:type="dxa"/>
          </w:tcPr>
          <w:p>
            <w:pPr>
              <w:spacing w:line="360" w:lineRule="auto"/>
            </w:pPr>
            <w:r>
              <w:rPr>
                <w:rFonts w:hint="eastAsia"/>
              </w:rPr>
              <w:t>投标人不具备招标文件所列的资格要求，并未提交相应的资格证明资料（详见招标公告投标人资格要求）；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2"/>
            <w:vAlign w:val="center"/>
          </w:tcPr>
          <w:p>
            <w:pPr>
              <w:spacing w:line="360" w:lineRule="auto"/>
              <w:jc w:val="center"/>
            </w:pPr>
            <w:r>
              <w:rPr>
                <w:rFonts w:hint="eastAsia"/>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t>2</w:t>
            </w:r>
          </w:p>
        </w:tc>
        <w:tc>
          <w:tcPr>
            <w:tcW w:w="6907" w:type="dxa"/>
            <w:vAlign w:val="center"/>
          </w:tcPr>
          <w:p>
            <w:pPr>
              <w:adjustRightInd w:val="0"/>
              <w:snapToGrid w:val="0"/>
              <w:spacing w:line="360" w:lineRule="auto"/>
              <w:jc w:val="left"/>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t>3</w:t>
            </w:r>
          </w:p>
        </w:tc>
        <w:tc>
          <w:tcPr>
            <w:tcW w:w="6907" w:type="dxa"/>
            <w:vAlign w:val="center"/>
          </w:tcPr>
          <w:p>
            <w:pPr>
              <w:adjustRightInd w:val="0"/>
              <w:snapToGrid w:val="0"/>
              <w:spacing w:line="360" w:lineRule="auto"/>
              <w:jc w:val="left"/>
            </w:pPr>
            <w:r>
              <w:rPr>
                <w:rFonts w:hint="eastAsia"/>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t>4</w:t>
            </w:r>
          </w:p>
        </w:tc>
        <w:tc>
          <w:tcPr>
            <w:tcW w:w="6907" w:type="dxa"/>
            <w:vAlign w:val="center"/>
          </w:tcPr>
          <w:p>
            <w:pPr>
              <w:adjustRightInd w:val="0"/>
              <w:snapToGrid w:val="0"/>
              <w:spacing w:line="360" w:lineRule="auto"/>
              <w:jc w:val="left"/>
            </w:pPr>
            <w:r>
              <w:rPr>
                <w:rFonts w:hint="eastAsia"/>
              </w:rPr>
              <w:t>投标总价或分项报价高于财政预算限额；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t>5</w:t>
            </w:r>
          </w:p>
        </w:tc>
        <w:tc>
          <w:tcPr>
            <w:tcW w:w="6907" w:type="dxa"/>
            <w:vAlign w:val="center"/>
          </w:tcPr>
          <w:p>
            <w:pPr>
              <w:adjustRightInd w:val="0"/>
              <w:snapToGrid w:val="0"/>
              <w:spacing w:line="360" w:lineRule="auto"/>
              <w:jc w:val="left"/>
            </w:pPr>
            <w:r>
              <w:rPr>
                <w:rFonts w:hint="eastAsia"/>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rPr>
                <w:rFonts w:hint="eastAsia"/>
              </w:rPr>
              <w:t>6</w:t>
            </w:r>
          </w:p>
        </w:tc>
        <w:tc>
          <w:tcPr>
            <w:tcW w:w="6907" w:type="dxa"/>
            <w:vAlign w:val="center"/>
          </w:tcPr>
          <w:p>
            <w:pPr>
              <w:adjustRightInd w:val="0"/>
              <w:snapToGrid w:val="0"/>
              <w:spacing w:line="360" w:lineRule="auto"/>
              <w:jc w:val="left"/>
            </w:pPr>
            <w:r>
              <w:rPr>
                <w:rFonts w:hint="eastAsia"/>
              </w:rPr>
              <w:t>投标人的报价明显低于其他通过符合性审查投标人的报价，有可能影响产品质量或者不能诚信履约的，且投标人不能证明其报价合理性；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t>7</w:t>
            </w:r>
          </w:p>
        </w:tc>
        <w:tc>
          <w:tcPr>
            <w:tcW w:w="6907" w:type="dxa"/>
            <w:vAlign w:val="center"/>
          </w:tcPr>
          <w:p>
            <w:pPr>
              <w:adjustRightInd w:val="0"/>
              <w:snapToGrid w:val="0"/>
              <w:spacing w:line="360" w:lineRule="auto"/>
              <w:jc w:val="left"/>
            </w:pPr>
            <w:r>
              <w:rPr>
                <w:rFonts w:hint="eastAsia"/>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t>8</w:t>
            </w:r>
          </w:p>
        </w:tc>
        <w:tc>
          <w:tcPr>
            <w:tcW w:w="6907" w:type="dxa"/>
            <w:vAlign w:val="center"/>
          </w:tcPr>
          <w:p>
            <w:pPr>
              <w:adjustRightInd w:val="0"/>
              <w:snapToGrid w:val="0"/>
              <w:spacing w:line="360" w:lineRule="auto"/>
              <w:jc w:val="left"/>
            </w:pPr>
            <w:r>
              <w:rPr>
                <w:rFonts w:hint="eastAsia"/>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t>9</w:t>
            </w:r>
          </w:p>
        </w:tc>
        <w:tc>
          <w:tcPr>
            <w:tcW w:w="6907" w:type="dxa"/>
            <w:vAlign w:val="center"/>
          </w:tcPr>
          <w:p>
            <w:pPr>
              <w:adjustRightInd w:val="0"/>
              <w:snapToGrid w:val="0"/>
              <w:spacing w:line="360" w:lineRule="auto"/>
              <w:jc w:val="left"/>
            </w:pPr>
            <w:r>
              <w:rPr>
                <w:rFonts w:hint="eastAsia"/>
              </w:rPr>
              <w:t>未按招标文件所提供的样式填写投标函，或未按招标文件对投标文件组成的要求提供投标文件的（投标文件组成不完整）；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t>10</w:t>
            </w:r>
          </w:p>
        </w:tc>
        <w:tc>
          <w:tcPr>
            <w:tcW w:w="6907" w:type="dxa"/>
            <w:vAlign w:val="center"/>
          </w:tcPr>
          <w:p>
            <w:pPr>
              <w:adjustRightInd w:val="0"/>
              <w:snapToGrid w:val="0"/>
              <w:spacing w:line="360" w:lineRule="auto"/>
              <w:jc w:val="left"/>
            </w:pPr>
            <w:r>
              <w:rPr>
                <w:rFonts w:hint="eastAsia"/>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9" w:type="dxa"/>
            <w:vAlign w:val="center"/>
          </w:tcPr>
          <w:p>
            <w:pPr>
              <w:spacing w:line="360" w:lineRule="auto"/>
              <w:jc w:val="center"/>
            </w:pPr>
            <w:r>
              <w:rPr>
                <w:rFonts w:hint="eastAsia"/>
              </w:rPr>
              <w:t>1</w:t>
            </w:r>
            <w:r>
              <w:t>1</w:t>
            </w:r>
          </w:p>
        </w:tc>
        <w:tc>
          <w:tcPr>
            <w:tcW w:w="6907" w:type="dxa"/>
            <w:vAlign w:val="center"/>
          </w:tcPr>
          <w:p>
            <w:pPr>
              <w:spacing w:line="360" w:lineRule="auto"/>
            </w:pPr>
            <w:r>
              <w:rPr>
                <w:rFonts w:hint="eastAsia"/>
              </w:rPr>
              <w:t>法律、法规规定的其他情形。</w:t>
            </w:r>
          </w:p>
        </w:tc>
      </w:tr>
    </w:tbl>
    <w:p/>
    <w:p>
      <w:pPr>
        <w:rPr>
          <w:color w:val="000000"/>
        </w:rPr>
      </w:pPr>
    </w:p>
    <w:p>
      <w:pPr>
        <w:ind w:firstLine="420" w:firstLineChars="200"/>
      </w:pPr>
    </w:p>
    <w:p>
      <w:pPr>
        <w:pStyle w:val="2"/>
        <w:rPr>
          <w:color w:val="0000FF"/>
          <w:sz w:val="36"/>
        </w:rPr>
      </w:pPr>
    </w:p>
    <w:p>
      <w:pPr>
        <w:pStyle w:val="5"/>
      </w:pPr>
    </w:p>
    <w:p/>
    <w:p>
      <w:pPr>
        <w:pStyle w:val="2"/>
      </w:pPr>
    </w:p>
    <w:p/>
    <w:p>
      <w:pPr>
        <w:pStyle w:val="2"/>
      </w:pPr>
    </w:p>
    <w:p/>
    <w:p>
      <w:pPr>
        <w:pStyle w:val="2"/>
        <w:rPr>
          <w:rFonts w:ascii="华文新魏" w:hAnsi="华文新魏" w:eastAsia="华文新魏" w:cs="华文新魏"/>
          <w:sz w:val="44"/>
          <w:szCs w:val="44"/>
        </w:rPr>
      </w:pPr>
      <w:r>
        <w:rPr>
          <w:rFonts w:hint="eastAsia" w:ascii="华文新魏" w:hAnsi="华文新魏" w:eastAsia="华文新魏" w:cs="华文新魏"/>
          <w:sz w:val="44"/>
          <w:szCs w:val="44"/>
        </w:rPr>
        <w:t>评标信息</w:t>
      </w:r>
    </w:p>
    <w:p>
      <w:pPr>
        <w:adjustRightInd w:val="0"/>
        <w:snapToGrid w:val="0"/>
        <w:spacing w:line="276" w:lineRule="auto"/>
        <w:rPr>
          <w:b/>
        </w:rPr>
      </w:pPr>
    </w:p>
    <w:p>
      <w:pPr>
        <w:adjustRightInd w:val="0"/>
        <w:snapToGrid w:val="0"/>
        <w:spacing w:line="480" w:lineRule="auto"/>
        <w:rPr>
          <w:b/>
          <w:color w:val="auto"/>
        </w:rPr>
      </w:pPr>
      <w:r>
        <w:rPr>
          <w:b/>
          <w:color w:val="auto"/>
        </w:rPr>
        <w:t xml:space="preserve">评标方法： 综合评分法 </w:t>
      </w:r>
    </w:p>
    <w:p>
      <w:pPr>
        <w:adjustRightInd w:val="0"/>
        <w:snapToGrid w:val="0"/>
        <w:spacing w:line="480" w:lineRule="auto"/>
        <w:ind w:firstLine="420" w:firstLineChars="200"/>
        <w:jc w:val="left"/>
        <w:rPr>
          <w:rFonts w:hint="eastAsia"/>
          <w:lang w:eastAsia="zh-CN"/>
        </w:rPr>
      </w:pPr>
      <w:r>
        <w:t>综合评分法，是指在最大限度满足招标文件实质性要求前提下，按照招标文件规定的各项因素进行量化打分，以评标总得分最高的投标供应商作为中标候选供应商或中标供应商的</w:t>
      </w:r>
      <w:r>
        <w:rPr>
          <w:rFonts w:hint="eastAsia"/>
          <w:lang w:eastAsia="zh-CN"/>
        </w:rPr>
        <w:t>。</w:t>
      </w:r>
    </w:p>
    <w:p>
      <w:pPr>
        <w:adjustRightInd w:val="0"/>
        <w:snapToGrid w:val="0"/>
        <w:spacing w:line="480" w:lineRule="auto"/>
        <w:ind w:firstLine="420" w:firstLineChars="200"/>
        <w:jc w:val="left"/>
      </w:pPr>
      <w:r>
        <w:t>评标</w:t>
      </w:r>
      <w:r>
        <w:rPr>
          <w:rFonts w:hint="eastAsia"/>
        </w:rPr>
        <w:t>价格分是以满足招标文件要求且投标价格最低的投标报价为评标基准价，其价格分为满分，其他投标人的价格分则按比例算出【投标报价得分=（评标基准价/投标报价）×价格权值×100】。</w:t>
      </w:r>
    </w:p>
    <w:p>
      <w:pPr>
        <w:adjustRightInd w:val="0"/>
        <w:snapToGrid w:val="0"/>
        <w:spacing w:line="480" w:lineRule="auto"/>
        <w:ind w:firstLine="420" w:firstLineChars="200"/>
        <w:jc w:val="left"/>
        <w:rPr>
          <w:rFonts w:hint="eastAsia"/>
        </w:rPr>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p>
      <w:pPr>
        <w:adjustRightInd w:val="0"/>
        <w:snapToGrid w:val="0"/>
        <w:spacing w:line="360" w:lineRule="auto"/>
        <w:ind w:firstLine="420" w:firstLineChars="200"/>
        <w:jc w:val="left"/>
        <w:rPr>
          <w:rFonts w:hint="eastAsia"/>
        </w:rPr>
      </w:pPr>
    </w:p>
    <w:tbl>
      <w:tblPr>
        <w:tblStyle w:val="54"/>
        <w:tblW w:w="8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574"/>
        <w:gridCol w:w="4517"/>
        <w:gridCol w:w="881"/>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7" w:type="dxa"/>
            <w:tcMar>
              <w:left w:w="108" w:type="dxa"/>
              <w:right w:w="108" w:type="dxa"/>
            </w:tcMar>
            <w:vAlign w:val="center"/>
          </w:tcPr>
          <w:p>
            <w:pPr>
              <w:adjustRightInd w:val="0"/>
              <w:snapToGrid w:val="0"/>
              <w:jc w:val="center"/>
              <w:rPr>
                <w:b/>
                <w:bCs/>
                <w:color w:val="000000" w:themeColor="text1"/>
                <w14:textFill>
                  <w14:solidFill>
                    <w14:schemeClr w14:val="tx1"/>
                  </w14:solidFill>
                </w14:textFill>
              </w:rPr>
            </w:pPr>
            <w:r>
              <w:rPr>
                <w:b/>
                <w:bCs/>
                <w:color w:val="000000" w:themeColor="text1"/>
                <w:szCs w:val="21"/>
                <w14:textFill>
                  <w14:solidFill>
                    <w14:schemeClr w14:val="tx1"/>
                  </w14:solidFill>
                </w14:textFill>
              </w:rPr>
              <w:t>序号</w:t>
            </w:r>
          </w:p>
        </w:tc>
        <w:tc>
          <w:tcPr>
            <w:tcW w:w="1574" w:type="dxa"/>
            <w:tcMar>
              <w:left w:w="108" w:type="dxa"/>
              <w:right w:w="108" w:type="dxa"/>
            </w:tcMar>
            <w:vAlign w:val="center"/>
          </w:tcPr>
          <w:p>
            <w:pPr>
              <w:adjustRightInd w:val="0"/>
              <w:snapToGrid w:val="0"/>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评审因素</w:t>
            </w:r>
          </w:p>
        </w:tc>
        <w:tc>
          <w:tcPr>
            <w:tcW w:w="4517" w:type="dxa"/>
            <w:tcMar>
              <w:left w:w="108" w:type="dxa"/>
              <w:right w:w="108" w:type="dxa"/>
            </w:tcMar>
            <w:vAlign w:val="center"/>
          </w:tcPr>
          <w:p>
            <w:pPr>
              <w:adjustRightInd w:val="0"/>
              <w:snapToGrid w:val="0"/>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评分细则</w:t>
            </w:r>
          </w:p>
        </w:tc>
        <w:tc>
          <w:tcPr>
            <w:tcW w:w="881" w:type="dxa"/>
            <w:tcMar>
              <w:left w:w="108" w:type="dxa"/>
              <w:right w:w="108" w:type="dxa"/>
            </w:tcMar>
            <w:vAlign w:val="center"/>
          </w:tcPr>
          <w:p>
            <w:pPr>
              <w:adjustRightInd w:val="0"/>
              <w:snapToGrid w:val="0"/>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分值（分）</w:t>
            </w:r>
          </w:p>
        </w:tc>
        <w:tc>
          <w:tcPr>
            <w:tcW w:w="829" w:type="dxa"/>
            <w:tcMar>
              <w:left w:w="108" w:type="dxa"/>
              <w:right w:w="108" w:type="dxa"/>
            </w:tcMar>
            <w:vAlign w:val="center"/>
          </w:tcPr>
          <w:p>
            <w:pPr>
              <w:adjustRightInd w:val="0"/>
              <w:snapToGrid w:val="0"/>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权重（</w:t>
            </w:r>
            <w:r>
              <w:rPr>
                <w:rFonts w:hint="eastAsia"/>
                <w:b/>
                <w:bCs/>
                <w:color w:val="000000" w:themeColor="text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997" w:type="dxa"/>
            <w:tcMar>
              <w:left w:w="108" w:type="dxa"/>
              <w:right w:w="108" w:type="dxa"/>
            </w:tcMar>
            <w:vAlign w:val="center"/>
          </w:tcPr>
          <w:p>
            <w:pPr>
              <w:adjustRightInd w:val="0"/>
              <w:snapToGrid w:val="0"/>
              <w:jc w:val="center"/>
              <w:rPr>
                <w:rFonts w:hint="eastAsia" w:eastAsia="宋体"/>
                <w:b/>
                <w:bCs/>
                <w:color w:val="000000" w:themeColor="text1"/>
                <w:sz w:val="21"/>
                <w:szCs w:val="24"/>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一</w:t>
            </w:r>
          </w:p>
        </w:tc>
        <w:tc>
          <w:tcPr>
            <w:tcW w:w="7801" w:type="dxa"/>
            <w:gridSpan w:val="4"/>
            <w:tcMar>
              <w:left w:w="108" w:type="dxa"/>
              <w:right w:w="108" w:type="dxa"/>
            </w:tcMar>
            <w:vAlign w:val="center"/>
          </w:tcPr>
          <w:p>
            <w:pPr>
              <w:adjustRightInd w:val="0"/>
              <w:snapToGrid w:val="0"/>
              <w:jc w:val="center"/>
              <w:rPr>
                <w:rFonts w:hint="eastAsia" w:eastAsia="宋体"/>
                <w:b/>
                <w:bCs/>
                <w:color w:val="000000" w:themeColor="text1"/>
                <w:sz w:val="21"/>
                <w:szCs w:val="24"/>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技术部分（合计</w:t>
            </w:r>
            <w:r>
              <w:rPr>
                <w:rFonts w:hint="eastAsia"/>
                <w:b/>
                <w:bCs/>
                <w:color w:val="000000" w:themeColor="text1"/>
                <w:sz w:val="21"/>
                <w:szCs w:val="21"/>
                <w:lang w:val="en-US" w:eastAsia="zh-CN"/>
                <w14:textFill>
                  <w14:solidFill>
                    <w14:schemeClr w14:val="tx1"/>
                  </w14:solidFill>
                </w14:textFill>
              </w:rPr>
              <w:t>40分</w:t>
            </w:r>
            <w:r>
              <w:rPr>
                <w:rFonts w:hint="eastAsia"/>
                <w:b/>
                <w:bCs/>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4" w:hRule="atLeast"/>
          <w:jc w:val="center"/>
        </w:trPr>
        <w:tc>
          <w:tcPr>
            <w:tcW w:w="997" w:type="dxa"/>
            <w:tcMar>
              <w:left w:w="108" w:type="dxa"/>
              <w:right w:w="108" w:type="dxa"/>
            </w:tcMar>
            <w:vAlign w:val="center"/>
          </w:tcPr>
          <w:p>
            <w:pPr>
              <w:snapToGri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w:t>
            </w:r>
          </w:p>
        </w:tc>
        <w:tc>
          <w:tcPr>
            <w:tcW w:w="1574" w:type="dxa"/>
            <w:tcMar>
              <w:left w:w="108" w:type="dxa"/>
              <w:right w:w="108" w:type="dxa"/>
            </w:tcMar>
            <w:vAlign w:val="center"/>
          </w:tcPr>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采购需求书重 </w:t>
            </w:r>
          </w:p>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要条款响应程 </w:t>
            </w:r>
          </w:p>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度 </w:t>
            </w:r>
          </w:p>
          <w:p>
            <w:pPr>
              <w:snapToGrid w:val="0"/>
              <w:spacing w:line="360" w:lineRule="auto"/>
              <w:jc w:val="center"/>
              <w:rPr>
                <w:color w:val="000000" w:themeColor="text1"/>
                <w14:textFill>
                  <w14:solidFill>
                    <w14:schemeClr w14:val="tx1"/>
                  </w14:solidFill>
                </w14:textFill>
              </w:rPr>
            </w:pPr>
          </w:p>
        </w:tc>
        <w:tc>
          <w:tcPr>
            <w:tcW w:w="4517" w:type="dxa"/>
            <w:tcMar>
              <w:left w:w="108" w:type="dxa"/>
              <w:right w:w="108" w:type="dxa"/>
            </w:tcMar>
            <w:vAlign w:val="center"/>
          </w:tcPr>
          <w:p>
            <w:pPr>
              <w:keepNext w:val="0"/>
              <w:keepLines w:val="0"/>
              <w:widowControl/>
              <w:suppressLineNumbers w:val="0"/>
              <w:spacing w:line="360" w:lineRule="auto"/>
              <w:jc w:val="left"/>
              <w:rPr>
                <w:color w:val="00B0F0"/>
              </w:rPr>
            </w:pPr>
            <w:r>
              <w:rPr>
                <w:rFonts w:hint="eastAsia" w:ascii="宋体" w:hAnsi="宋体" w:eastAsia="宋体" w:cs="宋体"/>
                <w:color w:val="00B0F0"/>
                <w:kern w:val="0"/>
                <w:sz w:val="21"/>
                <w:szCs w:val="21"/>
                <w:highlight w:val="none"/>
                <w:lang w:val="en-US" w:eastAsia="zh-CN" w:bidi="ar"/>
              </w:rPr>
              <w:t>投标产品完全满足或优于本文第二章采购需求中</w:t>
            </w:r>
            <w:r>
              <w:rPr>
                <w:rFonts w:hint="eastAsia" w:ascii="宋体" w:hAnsi="宋体" w:cs="宋体"/>
                <w:color w:val="00B0F0"/>
                <w:kern w:val="0"/>
                <w:sz w:val="21"/>
                <w:szCs w:val="21"/>
                <w:highlight w:val="none"/>
                <w:lang w:val="en-US" w:eastAsia="zh-CN" w:bidi="ar"/>
              </w:rPr>
              <w:t>的</w:t>
            </w:r>
            <w:r>
              <w:rPr>
                <w:rFonts w:hint="eastAsia" w:ascii="宋体" w:hAnsi="宋体" w:eastAsia="宋体" w:cs="宋体"/>
                <w:color w:val="00B0F0"/>
                <w:kern w:val="0"/>
                <w:sz w:val="21"/>
                <w:szCs w:val="21"/>
                <w:lang w:val="en-US" w:eastAsia="zh-CN" w:bidi="ar"/>
              </w:rPr>
              <w:t xml:space="preserve">所有条款（共 </w:t>
            </w:r>
            <w:r>
              <w:rPr>
                <w:rFonts w:hint="eastAsia" w:ascii="宋体" w:hAnsi="宋体" w:cs="宋体"/>
                <w:color w:val="00B0F0"/>
                <w:kern w:val="0"/>
                <w:sz w:val="21"/>
                <w:szCs w:val="21"/>
                <w:lang w:val="en-US" w:eastAsia="zh-CN" w:bidi="ar"/>
              </w:rPr>
              <w:t>48</w:t>
            </w:r>
            <w:r>
              <w:rPr>
                <w:rFonts w:hint="eastAsia" w:ascii="宋体" w:hAnsi="宋体" w:eastAsia="宋体" w:cs="宋体"/>
                <w:color w:val="00B0F0"/>
                <w:kern w:val="0"/>
                <w:sz w:val="21"/>
                <w:szCs w:val="21"/>
                <w:lang w:val="en-US" w:eastAsia="zh-CN" w:bidi="ar"/>
              </w:rPr>
              <w:t xml:space="preserve"> 项），得 3</w:t>
            </w:r>
            <w:r>
              <w:rPr>
                <w:rFonts w:hint="eastAsia" w:ascii="宋体" w:hAnsi="宋体" w:cs="宋体"/>
                <w:color w:val="00B0F0"/>
                <w:kern w:val="0"/>
                <w:sz w:val="21"/>
                <w:szCs w:val="21"/>
                <w:lang w:val="en-US" w:eastAsia="zh-CN" w:bidi="ar"/>
              </w:rPr>
              <w:t>0</w:t>
            </w:r>
            <w:r>
              <w:rPr>
                <w:rFonts w:hint="eastAsia" w:ascii="宋体" w:hAnsi="宋体" w:eastAsia="宋体" w:cs="宋体"/>
                <w:color w:val="00B0F0"/>
                <w:kern w:val="0"/>
                <w:sz w:val="21"/>
                <w:szCs w:val="21"/>
                <w:lang w:val="en-US" w:eastAsia="zh-CN" w:bidi="ar"/>
              </w:rPr>
              <w:t xml:space="preserve"> 分； </w:t>
            </w:r>
          </w:p>
          <w:p>
            <w:pPr>
              <w:keepNext w:val="0"/>
              <w:keepLines w:val="0"/>
              <w:widowControl/>
              <w:suppressLineNumbers w:val="0"/>
              <w:spacing w:line="360" w:lineRule="auto"/>
              <w:jc w:val="left"/>
              <w:rPr>
                <w:color w:val="00B0F0"/>
              </w:rPr>
            </w:pPr>
            <w:r>
              <w:rPr>
                <w:rFonts w:hint="eastAsia" w:ascii="宋体" w:hAnsi="宋体" w:eastAsia="宋体" w:cs="宋体"/>
                <w:color w:val="00B0F0"/>
                <w:kern w:val="0"/>
                <w:sz w:val="21"/>
                <w:szCs w:val="21"/>
                <w:lang w:val="en-US" w:eastAsia="zh-CN" w:bidi="ar"/>
              </w:rPr>
              <w:t xml:space="preserve">每不满足一项扣 </w:t>
            </w:r>
            <w:r>
              <w:rPr>
                <w:rFonts w:hint="eastAsia" w:ascii="宋体" w:hAnsi="宋体" w:cs="宋体"/>
                <w:color w:val="00B0F0"/>
                <w:kern w:val="0"/>
                <w:sz w:val="21"/>
                <w:szCs w:val="21"/>
                <w:lang w:val="en-US" w:eastAsia="zh-CN" w:bidi="ar"/>
              </w:rPr>
              <w:t>1</w:t>
            </w:r>
            <w:r>
              <w:rPr>
                <w:rFonts w:hint="eastAsia" w:ascii="宋体" w:hAnsi="宋体" w:eastAsia="宋体" w:cs="宋体"/>
                <w:color w:val="00B0F0"/>
                <w:kern w:val="0"/>
                <w:sz w:val="21"/>
                <w:szCs w:val="21"/>
                <w:lang w:val="en-US" w:eastAsia="zh-CN" w:bidi="ar"/>
              </w:rPr>
              <w:t xml:space="preserve"> 分，</w:t>
            </w:r>
            <w:r>
              <w:rPr>
                <w:rFonts w:hint="eastAsia" w:ascii="宋体" w:hAnsi="宋体" w:cs="宋体"/>
                <w:color w:val="00B0F0"/>
                <w:kern w:val="0"/>
                <w:sz w:val="21"/>
                <w:szCs w:val="21"/>
                <w:lang w:val="en-US" w:eastAsia="zh-CN" w:bidi="ar"/>
              </w:rPr>
              <w:t>带</w:t>
            </w:r>
            <w:r>
              <w:rPr>
                <w:rFonts w:hint="eastAsia" w:ascii="宋体" w:hAnsi="宋体" w:eastAsia="宋体" w:cs="宋体"/>
                <w:color w:val="00B0F0"/>
                <w:kern w:val="0"/>
                <w:sz w:val="21"/>
                <w:szCs w:val="21"/>
                <w:lang w:val="en-US" w:eastAsia="zh-CN" w:bidi="ar"/>
              </w:rPr>
              <w:t>“▲”</w:t>
            </w:r>
            <w:r>
              <w:rPr>
                <w:rFonts w:hint="eastAsia" w:ascii="宋体" w:hAnsi="宋体" w:cs="宋体"/>
                <w:color w:val="00B0F0"/>
                <w:kern w:val="0"/>
                <w:sz w:val="21"/>
                <w:szCs w:val="21"/>
                <w:lang w:val="en-US" w:eastAsia="zh-CN" w:bidi="ar"/>
              </w:rPr>
              <w:t>扣3分，其他✳项要求扣5分，</w:t>
            </w:r>
            <w:r>
              <w:rPr>
                <w:rFonts w:hint="eastAsia" w:ascii="宋体" w:hAnsi="宋体" w:eastAsia="宋体" w:cs="宋体"/>
                <w:color w:val="00B0F0"/>
                <w:kern w:val="0"/>
                <w:sz w:val="21"/>
                <w:szCs w:val="21"/>
                <w:lang w:val="en-US" w:eastAsia="zh-CN" w:bidi="ar"/>
              </w:rPr>
              <w:t xml:space="preserve">扣完为止。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备注：如采购需求中有明确提供的证明资料，则以采购需求中要求的为准，无或未按要求提供证明材料的不得分；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如采购需求中无明确证明材料的，以供应商响应文件中的《采购需求响应一览表》中的响应情况填写内容为准，未填写或参数不满足的视为负偏离；</w:t>
            </w:r>
          </w:p>
          <w:p>
            <w:pPr>
              <w:keepNext w:val="0"/>
              <w:keepLines w:val="0"/>
              <w:widowControl/>
              <w:suppressLineNumbers w:val="0"/>
              <w:spacing w:line="360" w:lineRule="auto"/>
              <w:jc w:val="left"/>
              <w:rPr>
                <w:color w:val="000000" w:themeColor="text1"/>
                <w14:textFill>
                  <w14:solidFill>
                    <w14:schemeClr w14:val="tx1"/>
                  </w14:solidFill>
                </w14:textFill>
              </w:rPr>
            </w:pPr>
            <w:r>
              <w:rPr>
                <w:rFonts w:hint="eastAsia" w:ascii="宋体" w:hAnsi="宋体" w:eastAsia="宋体" w:cs="宋体"/>
                <w:color w:val="000000"/>
                <w:kern w:val="0"/>
                <w:sz w:val="21"/>
                <w:szCs w:val="21"/>
                <w:lang w:val="en-US" w:eastAsia="zh-CN" w:bidi="ar"/>
              </w:rPr>
              <w:t xml:space="preserve">如要求提供原件核查的，需提供原件，不提供不得分。 </w:t>
            </w:r>
          </w:p>
        </w:tc>
        <w:tc>
          <w:tcPr>
            <w:tcW w:w="881" w:type="dxa"/>
            <w:tcMar>
              <w:left w:w="108" w:type="dxa"/>
              <w:right w:w="108" w:type="dxa"/>
            </w:tcMar>
            <w:vAlign w:val="center"/>
          </w:tcPr>
          <w:p>
            <w:pPr>
              <w:snapToGrid w:val="0"/>
              <w:spacing w:line="36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829" w:type="dxa"/>
            <w:tcMar>
              <w:left w:w="108" w:type="dxa"/>
              <w:right w:w="108" w:type="dxa"/>
            </w:tcMar>
            <w:vAlign w:val="center"/>
          </w:tcPr>
          <w:p>
            <w:pPr>
              <w:snapToGrid w:val="0"/>
              <w:spacing w:line="36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jc w:val="center"/>
        </w:trPr>
        <w:tc>
          <w:tcPr>
            <w:tcW w:w="997" w:type="dxa"/>
            <w:tcMar>
              <w:left w:w="108" w:type="dxa"/>
              <w:right w:w="108" w:type="dxa"/>
            </w:tcMar>
            <w:vAlign w:val="center"/>
          </w:tcPr>
          <w:p>
            <w:pPr>
              <w:snapToGri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w:t>
            </w:r>
          </w:p>
        </w:tc>
        <w:tc>
          <w:tcPr>
            <w:tcW w:w="1574" w:type="dxa"/>
            <w:tcMar>
              <w:left w:w="108" w:type="dxa"/>
              <w:right w:w="108" w:type="dxa"/>
            </w:tcMar>
            <w:vAlign w:val="center"/>
          </w:tcPr>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项目实施方案</w:t>
            </w:r>
          </w:p>
        </w:tc>
        <w:tc>
          <w:tcPr>
            <w:tcW w:w="4517" w:type="dxa"/>
            <w:tcMar>
              <w:left w:w="108" w:type="dxa"/>
              <w:right w:w="108" w:type="dxa"/>
            </w:tcMar>
            <w:vAlign w:val="center"/>
          </w:tcPr>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提供的项目实施方案（包括但不限于：供货计划，</w:t>
            </w:r>
            <w:r>
              <w:rPr>
                <w:rFonts w:hint="eastAsia" w:ascii="宋体" w:hAnsi="宋体" w:eastAsia="宋体" w:cs="宋体"/>
                <w:color w:val="000000"/>
                <w:kern w:val="0"/>
                <w:sz w:val="21"/>
                <w:szCs w:val="21"/>
                <w:highlight w:val="none"/>
                <w:lang w:val="en-US" w:eastAsia="zh-CN" w:bidi="ar"/>
              </w:rPr>
              <w:t>货物安装、验收计划，质量保证措施）</w:t>
            </w:r>
            <w:r>
              <w:rPr>
                <w:rFonts w:hint="eastAsia" w:ascii="宋体" w:hAnsi="宋体" w:eastAsia="宋体" w:cs="宋体"/>
                <w:color w:val="000000"/>
                <w:kern w:val="0"/>
                <w:sz w:val="21"/>
                <w:szCs w:val="21"/>
                <w:lang w:val="en-US" w:eastAsia="zh-CN" w:bidi="ar"/>
              </w:rPr>
              <w:t xml:space="preserve">的合理性、可行性、保障性进行评审：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（1）方案详细、具体、专业性强，有完善的保障措施，得</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 分；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（2）方案基本可行，符合专业要求，有一定保障措施，得</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 分；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（3）方案不够详细，专业性、保障措施等对比一般，得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 分； </w:t>
            </w:r>
          </w:p>
          <w:p>
            <w:pPr>
              <w:keepNext w:val="0"/>
              <w:keepLines w:val="0"/>
              <w:widowControl/>
              <w:suppressLineNumbers w:val="0"/>
              <w:spacing w:line="360" w:lineRule="auto"/>
              <w:jc w:val="left"/>
              <w:rPr>
                <w:color w:val="000000" w:themeColor="text1"/>
                <w14:textFill>
                  <w14:solidFill>
                    <w14:schemeClr w14:val="tx1"/>
                  </w14:solidFill>
                </w14:textFill>
              </w:rPr>
            </w:pPr>
            <w:r>
              <w:rPr>
                <w:rFonts w:hint="eastAsia" w:ascii="宋体" w:hAnsi="宋体" w:eastAsia="宋体" w:cs="宋体"/>
                <w:color w:val="000000"/>
                <w:kern w:val="0"/>
                <w:sz w:val="21"/>
                <w:szCs w:val="21"/>
                <w:lang w:val="en-US" w:eastAsia="zh-CN" w:bidi="ar"/>
              </w:rPr>
              <w:t xml:space="preserve">（4）无或其他情况的，得 0 分。 </w:t>
            </w:r>
          </w:p>
        </w:tc>
        <w:tc>
          <w:tcPr>
            <w:tcW w:w="881" w:type="dxa"/>
            <w:tcMar>
              <w:left w:w="108" w:type="dxa"/>
              <w:right w:w="108" w:type="dxa"/>
            </w:tcMar>
            <w:vAlign w:val="center"/>
          </w:tcPr>
          <w:p>
            <w:pPr>
              <w:snapToGrid w:val="0"/>
              <w:spacing w:line="36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829" w:type="dxa"/>
            <w:tcMar>
              <w:left w:w="108" w:type="dxa"/>
              <w:right w:w="108" w:type="dxa"/>
            </w:tcMar>
            <w:vAlign w:val="center"/>
          </w:tcPr>
          <w:p>
            <w:pPr>
              <w:snapToGrid w:val="0"/>
              <w:spacing w:line="36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7" w:type="dxa"/>
            <w:tcMar>
              <w:left w:w="108" w:type="dxa"/>
              <w:right w:w="108" w:type="dxa"/>
            </w:tcMar>
            <w:vAlign w:val="center"/>
          </w:tcPr>
          <w:p>
            <w:pPr>
              <w:snapToGri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w:t>
            </w:r>
          </w:p>
        </w:tc>
        <w:tc>
          <w:tcPr>
            <w:tcW w:w="1574" w:type="dxa"/>
            <w:tcMar>
              <w:left w:w="108" w:type="dxa"/>
              <w:right w:w="108" w:type="dxa"/>
            </w:tcMar>
            <w:vAlign w:val="center"/>
          </w:tcPr>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售后服务方案</w:t>
            </w:r>
          </w:p>
        </w:tc>
        <w:tc>
          <w:tcPr>
            <w:tcW w:w="4517" w:type="dxa"/>
            <w:tcMar>
              <w:left w:w="108" w:type="dxa"/>
              <w:right w:w="108" w:type="dxa"/>
            </w:tcMar>
            <w:vAlign w:val="center"/>
          </w:tcPr>
          <w:p>
            <w:pPr>
              <w:keepNext w:val="0"/>
              <w:keepLines w:val="0"/>
              <w:widowControl/>
              <w:suppressLineNumbers w:val="0"/>
              <w:spacing w:line="360" w:lineRule="auto"/>
              <w:jc w:val="left"/>
            </w:pPr>
            <w:r>
              <w:rPr>
                <w:rFonts w:hint="eastAsia"/>
                <w:lang w:val="en-US" w:eastAsia="zh-CN"/>
              </w:rPr>
              <w:t xml:space="preserve">针对本项目的售后服务方案、承诺（包括但不限于：质保期、响应时间、维护维修方案等）及服务便利程度进行评审： </w:t>
            </w:r>
          </w:p>
          <w:p>
            <w:pPr>
              <w:keepNext w:val="0"/>
              <w:keepLines w:val="0"/>
              <w:widowControl/>
              <w:suppressLineNumbers w:val="0"/>
              <w:spacing w:line="360" w:lineRule="auto"/>
              <w:jc w:val="left"/>
            </w:pPr>
            <w:r>
              <w:rPr>
                <w:rFonts w:hint="eastAsia"/>
                <w:lang w:val="en-US" w:eastAsia="zh-CN"/>
              </w:rPr>
              <w:t xml:space="preserve">（1）售后服务方案详细、具体、有保障，服务承诺内容完善得 5 分； </w:t>
            </w:r>
          </w:p>
          <w:p>
            <w:pPr>
              <w:keepNext w:val="0"/>
              <w:keepLines w:val="0"/>
              <w:widowControl/>
              <w:suppressLineNumbers w:val="0"/>
              <w:spacing w:line="360" w:lineRule="auto"/>
              <w:jc w:val="left"/>
              <w:rPr>
                <w:rFonts w:hint="eastAsia"/>
                <w:lang w:val="en-US" w:eastAsia="zh-CN"/>
              </w:rPr>
            </w:pPr>
            <w:r>
              <w:rPr>
                <w:rFonts w:hint="eastAsia"/>
                <w:lang w:val="en-US" w:eastAsia="zh-CN"/>
              </w:rPr>
              <w:t>（2）售后服务方案较详细、有保障，服务承诺内容较完善得 3 分；</w:t>
            </w:r>
          </w:p>
          <w:p>
            <w:pPr>
              <w:pStyle w:val="2"/>
              <w:jc w:val="left"/>
            </w:pPr>
            <w:r>
              <w:rPr>
                <w:rFonts w:hint="eastAsia"/>
                <w:lang w:val="en-US" w:eastAsia="zh-CN"/>
              </w:rPr>
              <w:t>（3）</w:t>
            </w:r>
            <w:r>
              <w:rPr>
                <w:rFonts w:hint="eastAsia"/>
                <w:sz w:val="22"/>
                <w:szCs w:val="18"/>
                <w:lang w:val="en-US" w:eastAsia="zh-CN"/>
              </w:rPr>
              <w:t>售后服务方案不够详细、无保障，服务承诺内容不完善得 0 分</w:t>
            </w:r>
            <w:r>
              <w:rPr>
                <w:rFonts w:hint="eastAsia"/>
                <w:lang w:val="en-US" w:eastAsia="zh-CN"/>
              </w:rPr>
              <w:t>；</w:t>
            </w:r>
          </w:p>
        </w:tc>
        <w:tc>
          <w:tcPr>
            <w:tcW w:w="881" w:type="dxa"/>
            <w:tcMar>
              <w:left w:w="108" w:type="dxa"/>
              <w:right w:w="108" w:type="dxa"/>
            </w:tcMar>
            <w:vAlign w:val="center"/>
          </w:tcPr>
          <w:p>
            <w:pPr>
              <w:snapToGrid w:val="0"/>
              <w:spacing w:line="36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829" w:type="dxa"/>
            <w:tcMar>
              <w:left w:w="108" w:type="dxa"/>
              <w:right w:w="108" w:type="dxa"/>
            </w:tcMar>
            <w:vAlign w:val="center"/>
          </w:tcPr>
          <w:p>
            <w:pPr>
              <w:snapToGrid w:val="0"/>
              <w:spacing w:line="36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7" w:type="dxa"/>
            <w:vAlign w:val="bottom"/>
          </w:tcPr>
          <w:p>
            <w:pPr>
              <w:snapToGrid w:val="0"/>
              <w:spacing w:line="360" w:lineRule="auto"/>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二</w:t>
            </w:r>
          </w:p>
        </w:tc>
        <w:tc>
          <w:tcPr>
            <w:tcW w:w="7801" w:type="dxa"/>
            <w:gridSpan w:val="4"/>
            <w:tcMar>
              <w:left w:w="108" w:type="dxa"/>
              <w:right w:w="108" w:type="dxa"/>
            </w:tcMar>
            <w:vAlign w:val="bottom"/>
          </w:tcPr>
          <w:p>
            <w:pPr>
              <w:snapToGrid w:val="0"/>
              <w:spacing w:line="360" w:lineRule="auto"/>
              <w:jc w:val="center"/>
              <w:rPr>
                <w:b/>
                <w:bCs/>
                <w:color w:val="000000" w:themeColor="text1"/>
                <w:highlight w:val="yellow"/>
                <w14:textFill>
                  <w14:solidFill>
                    <w14:schemeClr w14:val="tx1"/>
                  </w14:solidFill>
                </w14:textFill>
              </w:rPr>
            </w:pPr>
            <w:r>
              <w:rPr>
                <w:rFonts w:hint="eastAsia"/>
                <w:b/>
                <w:bCs/>
                <w:color w:val="000000" w:themeColor="text1"/>
                <w:lang w:eastAsia="zh-CN"/>
                <w14:textFill>
                  <w14:solidFill>
                    <w14:schemeClr w14:val="tx1"/>
                  </w14:solidFill>
                </w14:textFill>
              </w:rPr>
              <w:t>商务部分（合计</w:t>
            </w:r>
            <w:r>
              <w:rPr>
                <w:rFonts w:hint="eastAsia"/>
                <w:b/>
                <w:bCs/>
                <w:color w:val="000000" w:themeColor="text1"/>
                <w:lang w:val="en-US" w:eastAsia="zh-CN"/>
                <w14:textFill>
                  <w14:solidFill>
                    <w14:schemeClr w14:val="tx1"/>
                  </w14:solidFill>
                </w14:textFill>
              </w:rPr>
              <w:t>30分</w:t>
            </w:r>
            <w:r>
              <w:rPr>
                <w:rFonts w:hint="eastAsia"/>
                <w:b/>
                <w:bCs/>
                <w:color w:val="000000" w:themeColor="text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7" w:type="dxa"/>
            <w:vAlign w:val="center"/>
          </w:tcPr>
          <w:p>
            <w:pPr>
              <w:snapToGri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w:t>
            </w:r>
          </w:p>
        </w:tc>
        <w:tc>
          <w:tcPr>
            <w:tcW w:w="1574" w:type="dxa"/>
            <w:tcMar>
              <w:left w:w="108" w:type="dxa"/>
              <w:right w:w="108" w:type="dxa"/>
            </w:tcMar>
            <w:vAlign w:val="center"/>
          </w:tcPr>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同类业绩 </w:t>
            </w:r>
          </w:p>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经验</w:t>
            </w:r>
          </w:p>
          <w:p>
            <w:pPr>
              <w:snapToGrid w:val="0"/>
              <w:spacing w:line="360" w:lineRule="auto"/>
              <w:jc w:val="center"/>
              <w:rPr>
                <w:color w:val="000000" w:themeColor="text1"/>
                <w14:textFill>
                  <w14:solidFill>
                    <w14:schemeClr w14:val="tx1"/>
                  </w14:solidFill>
                </w14:textFill>
              </w:rPr>
            </w:pPr>
          </w:p>
        </w:tc>
        <w:tc>
          <w:tcPr>
            <w:tcW w:w="4517" w:type="dxa"/>
            <w:tcMar>
              <w:left w:w="108" w:type="dxa"/>
              <w:right w:w="108" w:type="dxa"/>
            </w:tcMar>
            <w:vAlign w:val="center"/>
          </w:tcPr>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投标人自 2018 年 1 月 1 日至今（以合同签订之日起算）具有同类项目业绩，每提供一份得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 分，最高得 </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 分。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注：以签订合同时间为准，并附上合同关键页（含签订合同 双方的单位名称、合同项目名称与含签订合同双方的落款盖章、签订日期的关键页、合同清单）复印件作为同类业绩证明资料；</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无或未按要求递交证明材料的不得分。</w:t>
            </w:r>
          </w:p>
          <w:p>
            <w:pPr>
              <w:snapToGrid w:val="0"/>
              <w:spacing w:line="360" w:lineRule="auto"/>
              <w:jc w:val="center"/>
              <w:rPr>
                <w:b w:val="0"/>
                <w:bCs w:val="0"/>
                <w:color w:val="auto"/>
                <w:highlight w:val="yellow"/>
              </w:rPr>
            </w:pPr>
          </w:p>
        </w:tc>
        <w:tc>
          <w:tcPr>
            <w:tcW w:w="881" w:type="dxa"/>
            <w:tcMar>
              <w:left w:w="108" w:type="dxa"/>
              <w:right w:w="108" w:type="dxa"/>
            </w:tcMar>
            <w:vAlign w:val="center"/>
          </w:tcPr>
          <w:p>
            <w:pPr>
              <w:snapToGrid w:val="0"/>
              <w:spacing w:line="360" w:lineRule="auto"/>
              <w:jc w:val="center"/>
              <w:rPr>
                <w:rFonts w:hint="default" w:eastAsia="宋体"/>
                <w:b w:val="0"/>
                <w:bCs w:val="0"/>
                <w:color w:val="auto"/>
                <w:highlight w:val="none"/>
                <w:lang w:val="en-US" w:eastAsia="zh-CN"/>
              </w:rPr>
            </w:pPr>
            <w:r>
              <w:rPr>
                <w:rFonts w:hint="eastAsia"/>
                <w:b w:val="0"/>
                <w:bCs w:val="0"/>
                <w:color w:val="auto"/>
                <w:highlight w:val="none"/>
                <w:lang w:val="en-US" w:eastAsia="zh-CN"/>
              </w:rPr>
              <w:t>10</w:t>
            </w:r>
          </w:p>
        </w:tc>
        <w:tc>
          <w:tcPr>
            <w:tcW w:w="829" w:type="dxa"/>
            <w:tcMar>
              <w:left w:w="108" w:type="dxa"/>
              <w:right w:w="108" w:type="dxa"/>
            </w:tcMar>
            <w:vAlign w:val="center"/>
          </w:tcPr>
          <w:p>
            <w:pPr>
              <w:snapToGrid w:val="0"/>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8" w:hRule="atLeast"/>
          <w:jc w:val="center"/>
        </w:trPr>
        <w:tc>
          <w:tcPr>
            <w:tcW w:w="997" w:type="dxa"/>
            <w:vAlign w:val="center"/>
          </w:tcPr>
          <w:p>
            <w:pPr>
              <w:snapToGri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w:t>
            </w:r>
          </w:p>
        </w:tc>
        <w:tc>
          <w:tcPr>
            <w:tcW w:w="1574" w:type="dxa"/>
            <w:tcMar>
              <w:left w:w="108" w:type="dxa"/>
              <w:right w:w="108" w:type="dxa"/>
            </w:tcMar>
            <w:vAlign w:val="center"/>
          </w:tcPr>
          <w:p>
            <w:pPr>
              <w:snapToGrid w:val="0"/>
              <w:spacing w:line="360" w:lineRule="auto"/>
              <w:jc w:val="center"/>
              <w:rPr>
                <w:rFonts w:hint="eastAsia" w:eastAsia="宋体"/>
                <w:color w:val="000000" w:themeColor="text1"/>
                <w:lang w:eastAsia="zh-CN"/>
                <w14:textFill>
                  <w14:solidFill>
                    <w14:schemeClr w14:val="tx1"/>
                  </w14:solidFill>
                </w14:textFill>
              </w:rPr>
            </w:pPr>
            <w:r>
              <w:rPr>
                <w:rFonts w:hint="eastAsia" w:ascii="宋体" w:hAnsi="宋体"/>
                <w:color w:val="000000"/>
                <w:szCs w:val="21"/>
              </w:rPr>
              <w:t>诚信评分</w:t>
            </w:r>
          </w:p>
        </w:tc>
        <w:tc>
          <w:tcPr>
            <w:tcW w:w="4517" w:type="dxa"/>
            <w:tcMar>
              <w:left w:w="108" w:type="dxa"/>
              <w:right w:w="108" w:type="dxa"/>
            </w:tcMar>
            <w:vAlign w:val="center"/>
          </w:tcPr>
          <w:p>
            <w:pPr>
              <w:snapToGrid w:val="0"/>
              <w:spacing w:line="360" w:lineRule="auto"/>
              <w:jc w:val="left"/>
              <w:rPr>
                <w:b w:val="0"/>
                <w:bCs w:val="0"/>
                <w:color w:val="auto"/>
                <w:highlight w:val="yellow"/>
              </w:rPr>
            </w:pPr>
            <w:r>
              <w:rPr>
                <w:b w:val="0"/>
                <w:bCs w:val="0"/>
                <w:color w:val="auto"/>
                <w:highlight w:val="none"/>
              </w:rPr>
              <w:t>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c>
          <w:tcPr>
            <w:tcW w:w="881" w:type="dxa"/>
            <w:tcMar>
              <w:left w:w="108" w:type="dxa"/>
              <w:right w:w="108" w:type="dxa"/>
            </w:tcMar>
            <w:vAlign w:val="center"/>
          </w:tcPr>
          <w:p>
            <w:pPr>
              <w:snapToGrid w:val="0"/>
              <w:spacing w:line="360" w:lineRule="auto"/>
              <w:jc w:val="center"/>
              <w:rPr>
                <w:rFonts w:hint="eastAsia" w:eastAsia="宋体"/>
                <w:b w:val="0"/>
                <w:bCs w:val="0"/>
                <w:color w:val="auto"/>
                <w:highlight w:val="none"/>
                <w:lang w:val="en-US" w:eastAsia="zh-CN"/>
              </w:rPr>
            </w:pPr>
            <w:r>
              <w:rPr>
                <w:rFonts w:hint="eastAsia"/>
                <w:b w:val="0"/>
                <w:bCs w:val="0"/>
                <w:color w:val="auto"/>
                <w:highlight w:val="none"/>
                <w:lang w:val="en-US" w:eastAsia="zh-CN"/>
              </w:rPr>
              <w:t>4</w:t>
            </w:r>
          </w:p>
        </w:tc>
        <w:tc>
          <w:tcPr>
            <w:tcW w:w="829" w:type="dxa"/>
            <w:tcMar>
              <w:left w:w="108" w:type="dxa"/>
              <w:right w:w="108" w:type="dxa"/>
            </w:tcMar>
            <w:vAlign w:val="center"/>
          </w:tcPr>
          <w:p>
            <w:pPr>
              <w:snapToGrid w:val="0"/>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3" w:hRule="atLeast"/>
          <w:jc w:val="center"/>
        </w:trPr>
        <w:tc>
          <w:tcPr>
            <w:tcW w:w="997" w:type="dxa"/>
            <w:vAlign w:val="center"/>
          </w:tcPr>
          <w:p>
            <w:pPr>
              <w:snapToGri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w:t>
            </w:r>
          </w:p>
        </w:tc>
        <w:tc>
          <w:tcPr>
            <w:tcW w:w="1574" w:type="dxa"/>
            <w:tcMar>
              <w:left w:w="108" w:type="dxa"/>
              <w:right w:w="108" w:type="dxa"/>
            </w:tcMar>
            <w:vAlign w:val="center"/>
          </w:tcPr>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管理体系 </w:t>
            </w:r>
          </w:p>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认证 </w:t>
            </w:r>
          </w:p>
          <w:p>
            <w:pPr>
              <w:snapToGrid w:val="0"/>
              <w:spacing w:line="360" w:lineRule="auto"/>
              <w:jc w:val="center"/>
              <w:rPr>
                <w:color w:val="000000" w:themeColor="text1"/>
                <w14:textFill>
                  <w14:solidFill>
                    <w14:schemeClr w14:val="tx1"/>
                  </w14:solidFill>
                </w14:textFill>
              </w:rPr>
            </w:pPr>
          </w:p>
        </w:tc>
        <w:tc>
          <w:tcPr>
            <w:tcW w:w="4517" w:type="dxa"/>
            <w:tcMar>
              <w:left w:w="108" w:type="dxa"/>
              <w:right w:w="108" w:type="dxa"/>
            </w:tcMar>
            <w:vAlign w:val="center"/>
          </w:tcPr>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投标人</w:t>
            </w:r>
            <w:r>
              <w:rPr>
                <w:rFonts w:hint="eastAsia" w:ascii="宋体" w:hAnsi="宋体" w:cs="宋体"/>
                <w:color w:val="000000"/>
                <w:kern w:val="0"/>
                <w:sz w:val="21"/>
                <w:szCs w:val="21"/>
                <w:lang w:val="en-US" w:eastAsia="zh-CN" w:bidi="ar"/>
              </w:rPr>
              <w:t>或投标品牌制造商</w:t>
            </w:r>
            <w:r>
              <w:rPr>
                <w:rFonts w:hint="eastAsia" w:ascii="宋体" w:hAnsi="宋体" w:eastAsia="宋体" w:cs="宋体"/>
                <w:color w:val="000000"/>
                <w:kern w:val="0"/>
                <w:sz w:val="21"/>
                <w:szCs w:val="21"/>
                <w:lang w:val="en-US" w:eastAsia="zh-CN" w:bidi="ar"/>
              </w:rPr>
              <w:t xml:space="preserve">具有有效的：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（1）质量管理体系认证；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（2）环境管理体系认证；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（3）职业健康安全管理体系认证；</w:t>
            </w:r>
          </w:p>
          <w:p>
            <w:pPr>
              <w:keepNext w:val="0"/>
              <w:keepLines w:val="0"/>
              <w:widowControl/>
              <w:suppressLineNumbers w:val="0"/>
              <w:spacing w:line="360" w:lineRule="auto"/>
              <w:jc w:val="left"/>
              <w:rPr>
                <w:rFonts w:hint="eastAsia" w:ascii="宋体" w:hAnsi="宋体" w:cs="宋体"/>
                <w:color w:val="auto"/>
                <w:kern w:val="0"/>
                <w:sz w:val="21"/>
                <w:szCs w:val="21"/>
                <w:highlight w:val="none"/>
                <w:lang w:val="en-US" w:eastAsia="zh-CN" w:bidi="ar"/>
              </w:rPr>
            </w:pPr>
            <w:r>
              <w:rPr>
                <w:rFonts w:hint="eastAsia" w:ascii="宋体" w:hAnsi="宋体" w:cs="宋体"/>
                <w:color w:val="000000"/>
                <w:kern w:val="0"/>
                <w:sz w:val="21"/>
                <w:szCs w:val="21"/>
                <w:lang w:val="en-US" w:eastAsia="zh-CN" w:bidi="ar"/>
              </w:rPr>
              <w:t>（</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highlight w:val="none"/>
                <w:lang w:val="en-US" w:eastAsia="zh-CN" w:bidi="ar"/>
              </w:rPr>
              <w:t>质量监督检验报告</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w:t>
            </w:r>
          </w:p>
          <w:p>
            <w:pPr>
              <w:keepNext w:val="0"/>
              <w:keepLines w:val="0"/>
              <w:widowControl/>
              <w:suppressLineNumbers w:val="0"/>
              <w:spacing w:line="360" w:lineRule="auto"/>
              <w:jc w:val="left"/>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（5）国际乒联ITTF认证证书（2020有效期内）；</w:t>
            </w:r>
          </w:p>
          <w:p>
            <w:pPr>
              <w:keepNext w:val="0"/>
              <w:keepLines w:val="0"/>
              <w:widowControl/>
              <w:suppressLineNumbers w:val="0"/>
              <w:spacing w:line="360" w:lineRule="auto"/>
              <w:jc w:val="left"/>
              <w:rPr>
                <w:color w:val="auto"/>
              </w:rPr>
            </w:pPr>
            <w:r>
              <w:rPr>
                <w:rFonts w:hint="eastAsia" w:ascii="宋体" w:hAnsi="宋体" w:eastAsia="宋体" w:cs="宋体"/>
                <w:color w:val="auto"/>
                <w:kern w:val="0"/>
                <w:sz w:val="21"/>
                <w:szCs w:val="21"/>
                <w:lang w:val="en-US" w:eastAsia="zh-CN" w:bidi="ar"/>
              </w:rPr>
              <w:t xml:space="preserve">每提供一个得 </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xml:space="preserve"> 分。 </w:t>
            </w:r>
          </w:p>
          <w:p>
            <w:pPr>
              <w:keepNext w:val="0"/>
              <w:keepLines w:val="0"/>
              <w:widowControl/>
              <w:suppressLineNumbers w:val="0"/>
              <w:spacing w:line="360" w:lineRule="auto"/>
              <w:jc w:val="left"/>
              <w:rPr>
                <w:b w:val="0"/>
                <w:bCs w:val="0"/>
                <w:color w:val="auto"/>
                <w:highlight w:val="yellow"/>
              </w:rPr>
            </w:pPr>
            <w:r>
              <w:rPr>
                <w:rFonts w:hint="eastAsia" w:ascii="宋体" w:hAnsi="宋体" w:eastAsia="宋体" w:cs="宋体"/>
                <w:color w:val="000000"/>
                <w:kern w:val="0"/>
                <w:sz w:val="21"/>
                <w:szCs w:val="21"/>
                <w:lang w:val="en-US" w:eastAsia="zh-CN" w:bidi="ar"/>
              </w:rPr>
              <w:t>备注：同时提供①上述有效期内的有效认证证书复印件和②打印网站公布的链接信息资料（网址</w:t>
            </w:r>
            <w:r>
              <w:rPr>
                <w:rFonts w:hint="eastAsia" w:ascii="宋体" w:hAnsi="宋体" w:cs="宋体"/>
                <w:color w:val="000000"/>
                <w:kern w:val="0"/>
                <w:sz w:val="21"/>
                <w:szCs w:val="21"/>
                <w:lang w:val="en-US" w:eastAsia="zh-CN" w:bidi="ar"/>
              </w:rPr>
              <w:t>以</w:t>
            </w:r>
            <w:r>
              <w:rPr>
                <w:rFonts w:hint="eastAsia" w:ascii="宋体" w:hAnsi="宋体" w:eastAsia="宋体" w:cs="宋体"/>
                <w:color w:val="000000"/>
                <w:kern w:val="0"/>
                <w:sz w:val="21"/>
                <w:szCs w:val="21"/>
                <w:lang w:val="en-US" w:eastAsia="zh-CN" w:bidi="ar"/>
              </w:rPr>
              <w:t>http://www.cnca.gov.cn/网站公布为准,否则为 0 分，公开信息中无法查询或与公开信息不一致的，投标人必须提 供发证机构出具的证明函。</w:t>
            </w:r>
          </w:p>
        </w:tc>
        <w:tc>
          <w:tcPr>
            <w:tcW w:w="881" w:type="dxa"/>
            <w:tcMar>
              <w:left w:w="108" w:type="dxa"/>
              <w:right w:w="108" w:type="dxa"/>
            </w:tcMar>
            <w:vAlign w:val="center"/>
          </w:tcPr>
          <w:p>
            <w:pPr>
              <w:snapToGrid w:val="0"/>
              <w:spacing w:line="360" w:lineRule="auto"/>
              <w:jc w:val="center"/>
              <w:rPr>
                <w:rFonts w:hint="default" w:eastAsia="宋体"/>
                <w:b w:val="0"/>
                <w:bCs w:val="0"/>
                <w:color w:val="auto"/>
                <w:highlight w:val="none"/>
                <w:lang w:val="en-US" w:eastAsia="zh-CN"/>
              </w:rPr>
            </w:pPr>
            <w:r>
              <w:rPr>
                <w:rFonts w:hint="eastAsia"/>
                <w:b w:val="0"/>
                <w:bCs w:val="0"/>
                <w:color w:val="auto"/>
                <w:highlight w:val="none"/>
                <w:lang w:val="en-US" w:eastAsia="zh-CN"/>
              </w:rPr>
              <w:t>10</w:t>
            </w:r>
          </w:p>
        </w:tc>
        <w:tc>
          <w:tcPr>
            <w:tcW w:w="829" w:type="dxa"/>
            <w:tcMar>
              <w:left w:w="108" w:type="dxa"/>
              <w:right w:w="108" w:type="dxa"/>
            </w:tcMar>
            <w:vAlign w:val="center"/>
          </w:tcPr>
          <w:p>
            <w:pPr>
              <w:snapToGrid w:val="0"/>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jc w:val="center"/>
        </w:trPr>
        <w:tc>
          <w:tcPr>
            <w:tcW w:w="997" w:type="dxa"/>
            <w:vAlign w:val="center"/>
          </w:tcPr>
          <w:p>
            <w:pPr>
              <w:snapToGrid w:val="0"/>
              <w:spacing w:line="360" w:lineRule="auto"/>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w:t>
            </w:r>
          </w:p>
        </w:tc>
        <w:tc>
          <w:tcPr>
            <w:tcW w:w="1574" w:type="dxa"/>
            <w:tcMar>
              <w:left w:w="108" w:type="dxa"/>
              <w:right w:w="108" w:type="dxa"/>
            </w:tcMar>
            <w:vAlign w:val="center"/>
          </w:tcPr>
          <w:p>
            <w:pPr>
              <w:snapToGri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品牌资质</w:t>
            </w:r>
          </w:p>
        </w:tc>
        <w:tc>
          <w:tcPr>
            <w:tcW w:w="4517" w:type="dxa"/>
            <w:tcMar>
              <w:left w:w="108" w:type="dxa"/>
              <w:right w:w="108" w:type="dxa"/>
            </w:tcMar>
            <w:vAlign w:val="center"/>
          </w:tcPr>
          <w:p>
            <w:pPr>
              <w:widowControl/>
              <w:numPr>
                <w:ilvl w:val="0"/>
                <w:numId w:val="0"/>
              </w:numPr>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1、所投地胶品牌具有中国弹性地板行业十大品牌，得</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分。</w:t>
            </w:r>
          </w:p>
          <w:p>
            <w:pPr>
              <w:keepNext w:val="0"/>
              <w:keepLines w:val="0"/>
              <w:widowControl/>
              <w:suppressLineNumbers w:val="0"/>
              <w:spacing w:line="360" w:lineRule="auto"/>
              <w:jc w:val="left"/>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2、投标所用地胶品牌企业获得过全国质量诚信优秀企业、全国质量检验稳定合格产品、全国质量信得过产品认证，得3分，少1项不得分。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tc>
        <w:tc>
          <w:tcPr>
            <w:tcW w:w="881" w:type="dxa"/>
            <w:tcMar>
              <w:left w:w="108" w:type="dxa"/>
              <w:right w:w="108" w:type="dxa"/>
            </w:tcMar>
            <w:vAlign w:val="center"/>
          </w:tcPr>
          <w:p>
            <w:pPr>
              <w:snapToGrid w:val="0"/>
              <w:spacing w:line="360" w:lineRule="auto"/>
              <w:jc w:val="center"/>
              <w:rPr>
                <w:rFonts w:hint="default"/>
                <w:b w:val="0"/>
                <w:bCs w:val="0"/>
                <w:color w:val="auto"/>
                <w:highlight w:val="none"/>
                <w:lang w:val="en-US" w:eastAsia="zh-CN"/>
              </w:rPr>
            </w:pPr>
            <w:r>
              <w:rPr>
                <w:rFonts w:hint="eastAsia"/>
                <w:b w:val="0"/>
                <w:bCs w:val="0"/>
                <w:color w:val="auto"/>
                <w:highlight w:val="none"/>
                <w:lang w:val="en-US" w:eastAsia="zh-CN"/>
              </w:rPr>
              <w:t>6</w:t>
            </w:r>
          </w:p>
        </w:tc>
        <w:tc>
          <w:tcPr>
            <w:tcW w:w="829" w:type="dxa"/>
            <w:tcMar>
              <w:left w:w="108" w:type="dxa"/>
              <w:right w:w="108" w:type="dxa"/>
            </w:tcMar>
            <w:vAlign w:val="center"/>
          </w:tcPr>
          <w:p>
            <w:pPr>
              <w:snapToGrid w:val="0"/>
              <w:spacing w:line="36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7" w:type="dxa"/>
            <w:vAlign w:val="bottom"/>
          </w:tcPr>
          <w:p>
            <w:pPr>
              <w:snapToGrid w:val="0"/>
              <w:spacing w:line="360" w:lineRule="auto"/>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三</w:t>
            </w:r>
          </w:p>
        </w:tc>
        <w:tc>
          <w:tcPr>
            <w:tcW w:w="7801" w:type="dxa"/>
            <w:gridSpan w:val="4"/>
            <w:tcMar>
              <w:left w:w="108" w:type="dxa"/>
              <w:right w:w="108" w:type="dxa"/>
            </w:tcMar>
            <w:vAlign w:val="bottom"/>
          </w:tcPr>
          <w:p>
            <w:pPr>
              <w:snapToGrid w:val="0"/>
              <w:spacing w:line="360" w:lineRule="auto"/>
              <w:jc w:val="center"/>
              <w:rPr>
                <w:b/>
                <w:bCs/>
                <w:color w:val="000000" w:themeColor="text1"/>
                <w:highlight w:val="yellow"/>
                <w14:textFill>
                  <w14:solidFill>
                    <w14:schemeClr w14:val="tx1"/>
                  </w14:solidFill>
                </w14:textFill>
              </w:rPr>
            </w:pPr>
            <w:r>
              <w:rPr>
                <w:rFonts w:hint="eastAsia"/>
                <w:b/>
                <w:bCs/>
                <w:color w:val="000000" w:themeColor="text1"/>
                <w:lang w:eastAsia="zh-CN"/>
                <w14:textFill>
                  <w14:solidFill>
                    <w14:schemeClr w14:val="tx1"/>
                  </w14:solidFill>
                </w14:textFill>
              </w:rPr>
              <w:t>价格部分（合计</w:t>
            </w:r>
            <w:r>
              <w:rPr>
                <w:rFonts w:hint="eastAsia"/>
                <w:b/>
                <w:bCs/>
                <w:color w:val="000000" w:themeColor="text1"/>
                <w:lang w:val="en-US" w:eastAsia="zh-CN"/>
                <w14:textFill>
                  <w14:solidFill>
                    <w14:schemeClr w14:val="tx1"/>
                  </w14:solidFill>
                </w14:textFill>
              </w:rPr>
              <w:t>30分</w:t>
            </w:r>
            <w:r>
              <w:rPr>
                <w:rFonts w:hint="eastAsia"/>
                <w:b/>
                <w:bCs/>
                <w:color w:val="000000" w:themeColor="text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1" w:hRule="atLeast"/>
          <w:jc w:val="center"/>
        </w:trPr>
        <w:tc>
          <w:tcPr>
            <w:tcW w:w="997" w:type="dxa"/>
            <w:vAlign w:val="center"/>
          </w:tcPr>
          <w:p>
            <w:pPr>
              <w:snapToGri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w:t>
            </w:r>
          </w:p>
        </w:tc>
        <w:tc>
          <w:tcPr>
            <w:tcW w:w="1574" w:type="dxa"/>
            <w:tcMar>
              <w:left w:w="108" w:type="dxa"/>
              <w:right w:w="108" w:type="dxa"/>
            </w:tcMar>
            <w:vAlign w:val="center"/>
          </w:tcPr>
          <w:p>
            <w:pPr>
              <w:snapToGrid w:val="0"/>
              <w:spacing w:line="36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投标报价</w:t>
            </w:r>
          </w:p>
        </w:tc>
        <w:tc>
          <w:tcPr>
            <w:tcW w:w="4517" w:type="dxa"/>
            <w:tcMar>
              <w:left w:w="108" w:type="dxa"/>
              <w:right w:w="108" w:type="dxa"/>
            </w:tcMar>
            <w:vAlign w:val="center"/>
          </w:tcPr>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价格分应当采用低价优先法计算，即满足招标文件要求且投标价格最低的投标报价为评标基准价，其价格分为满分。其他投标人的价格分统一按照下列公式计算：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投标报价得分=(评标基准价／投标报价)×100×权重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备注：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1、 因落实政府采购政策进行价格调整的，以调整后的价格计算评标基准价和投标报价。 </w:t>
            </w:r>
          </w:p>
          <w:p>
            <w:pPr>
              <w:keepNext w:val="0"/>
              <w:keepLines w:val="0"/>
              <w:widowControl/>
              <w:suppressLineNumbers w:val="0"/>
              <w:spacing w:line="360" w:lineRule="auto"/>
              <w:jc w:val="left"/>
              <w:rPr>
                <w:b w:val="0"/>
                <w:bCs w:val="0"/>
                <w:color w:val="auto"/>
                <w:highlight w:val="yellow"/>
              </w:rPr>
            </w:pPr>
            <w:r>
              <w:rPr>
                <w:rFonts w:hint="eastAsia" w:ascii="宋体" w:hAnsi="宋体" w:eastAsia="宋体" w:cs="宋体"/>
                <w:color w:val="000000"/>
                <w:kern w:val="0"/>
                <w:sz w:val="21"/>
                <w:szCs w:val="21"/>
                <w:lang w:val="en-US" w:eastAsia="zh-CN" w:bidi="ar"/>
              </w:rPr>
              <w:t>2、 投标报价得分四舍五入后，小数点后保留两位有效数；</w:t>
            </w:r>
          </w:p>
        </w:tc>
        <w:tc>
          <w:tcPr>
            <w:tcW w:w="881" w:type="dxa"/>
            <w:tcMar>
              <w:left w:w="108" w:type="dxa"/>
              <w:right w:w="108" w:type="dxa"/>
            </w:tcMar>
            <w:vAlign w:val="center"/>
          </w:tcPr>
          <w:p>
            <w:pPr>
              <w:snapToGrid w:val="0"/>
              <w:spacing w:line="360" w:lineRule="auto"/>
              <w:jc w:val="center"/>
              <w:rPr>
                <w:rFonts w:hint="default" w:eastAsia="宋体"/>
                <w:b w:val="0"/>
                <w:bCs w:val="0"/>
                <w:color w:val="auto"/>
                <w:highlight w:val="none"/>
                <w:lang w:val="en-US" w:eastAsia="zh-CN"/>
              </w:rPr>
            </w:pPr>
            <w:r>
              <w:rPr>
                <w:rFonts w:hint="eastAsia"/>
                <w:b w:val="0"/>
                <w:bCs w:val="0"/>
                <w:color w:val="auto"/>
                <w:highlight w:val="none"/>
                <w:lang w:val="en-US" w:eastAsia="zh-CN"/>
              </w:rPr>
              <w:t>30</w:t>
            </w:r>
          </w:p>
        </w:tc>
        <w:tc>
          <w:tcPr>
            <w:tcW w:w="829" w:type="dxa"/>
            <w:tcMar>
              <w:left w:w="108" w:type="dxa"/>
              <w:right w:w="108" w:type="dxa"/>
            </w:tcMar>
            <w:vAlign w:val="center"/>
          </w:tcPr>
          <w:p>
            <w:pPr>
              <w:snapToGrid w:val="0"/>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088" w:type="dxa"/>
            <w:gridSpan w:val="3"/>
            <w:vAlign w:val="bottom"/>
          </w:tcPr>
          <w:p>
            <w:pPr>
              <w:snapToGrid w:val="0"/>
              <w:spacing w:line="360" w:lineRule="auto"/>
              <w:jc w:val="center"/>
              <w:rPr>
                <w:rFonts w:hint="eastAsia"/>
                <w:b/>
                <w:bCs/>
                <w:color w:val="auto"/>
                <w:sz w:val="22"/>
                <w:szCs w:val="28"/>
                <w:highlight w:val="none"/>
                <w:lang w:eastAsia="zh-CN"/>
              </w:rPr>
            </w:pPr>
            <w:r>
              <w:rPr>
                <w:rFonts w:hint="eastAsia"/>
                <w:b/>
                <w:bCs/>
                <w:color w:val="auto"/>
                <w:sz w:val="22"/>
                <w:szCs w:val="28"/>
                <w:highlight w:val="none"/>
                <w:u w:val="single"/>
                <w:lang w:eastAsia="zh-CN"/>
              </w:rPr>
              <w:t>合计：</w:t>
            </w:r>
          </w:p>
        </w:tc>
        <w:tc>
          <w:tcPr>
            <w:tcW w:w="881" w:type="dxa"/>
            <w:tcMar>
              <w:left w:w="108" w:type="dxa"/>
              <w:right w:w="108" w:type="dxa"/>
            </w:tcMar>
            <w:vAlign w:val="bottom"/>
          </w:tcPr>
          <w:p>
            <w:pPr>
              <w:snapToGrid w:val="0"/>
              <w:spacing w:line="360" w:lineRule="auto"/>
              <w:jc w:val="center"/>
              <w:rPr>
                <w:rFonts w:hint="default" w:eastAsia="宋体"/>
                <w:b/>
                <w:bCs/>
                <w:color w:val="auto"/>
                <w:sz w:val="22"/>
                <w:szCs w:val="28"/>
                <w:highlight w:val="none"/>
                <w:u w:val="single"/>
                <w:lang w:val="en-US" w:eastAsia="zh-CN"/>
              </w:rPr>
            </w:pPr>
            <w:r>
              <w:rPr>
                <w:rFonts w:hint="eastAsia"/>
                <w:b/>
                <w:bCs/>
                <w:color w:val="auto"/>
                <w:sz w:val="22"/>
                <w:szCs w:val="28"/>
                <w:highlight w:val="none"/>
                <w:u w:val="single"/>
                <w:lang w:val="en-US" w:eastAsia="zh-CN"/>
              </w:rPr>
              <w:t>100分</w:t>
            </w:r>
          </w:p>
        </w:tc>
        <w:tc>
          <w:tcPr>
            <w:tcW w:w="829" w:type="dxa"/>
            <w:tcMar>
              <w:left w:w="108" w:type="dxa"/>
              <w:right w:w="108" w:type="dxa"/>
            </w:tcMar>
            <w:vAlign w:val="bottom"/>
          </w:tcPr>
          <w:p>
            <w:pPr>
              <w:snapToGrid w:val="0"/>
              <w:spacing w:line="360" w:lineRule="auto"/>
              <w:jc w:val="center"/>
              <w:rPr>
                <w:rFonts w:hint="default" w:eastAsia="宋体"/>
                <w:b/>
                <w:bCs/>
                <w:color w:val="000000" w:themeColor="text1"/>
                <w:sz w:val="22"/>
                <w:szCs w:val="28"/>
                <w:highlight w:val="none"/>
                <w:u w:val="single"/>
                <w:lang w:val="en-US" w:eastAsia="zh-CN"/>
                <w14:textFill>
                  <w14:solidFill>
                    <w14:schemeClr w14:val="tx1"/>
                  </w14:solidFill>
                </w14:textFill>
              </w:rPr>
            </w:pPr>
            <w:r>
              <w:rPr>
                <w:rFonts w:hint="eastAsia"/>
                <w:b/>
                <w:bCs/>
                <w:color w:val="000000" w:themeColor="text1"/>
                <w:sz w:val="22"/>
                <w:szCs w:val="28"/>
                <w:highlight w:val="none"/>
                <w:u w:val="single"/>
                <w:lang w:val="en-US" w:eastAsia="zh-CN"/>
                <w14:textFill>
                  <w14:solidFill>
                    <w14:schemeClr w14:val="tx1"/>
                  </w14:solidFill>
                </w14:textFill>
              </w:rPr>
              <w:t>100%</w:t>
            </w:r>
          </w:p>
        </w:tc>
      </w:tr>
    </w:tbl>
    <w:p>
      <w:pPr>
        <w:rPr>
          <w:b/>
          <w:color w:val="FF0000"/>
          <w:highlight w:val="yellow"/>
        </w:rPr>
      </w:pPr>
    </w:p>
    <w:p>
      <w:pPr>
        <w:rPr>
          <w:highlight w:val="yellow"/>
        </w:rPr>
      </w:pPr>
    </w:p>
    <w:p>
      <w:pPr>
        <w:ind w:firstLine="422" w:firstLineChars="200"/>
        <w:rPr>
          <w:b/>
          <w:szCs w:val="21"/>
        </w:rPr>
      </w:pPr>
      <w:r>
        <w:rPr>
          <w:rFonts w:hint="eastAsia"/>
          <w:b/>
          <w:szCs w:val="21"/>
        </w:rPr>
        <w:t>评审</w:t>
      </w:r>
      <w:r>
        <w:rPr>
          <w:b/>
          <w:szCs w:val="21"/>
        </w:rPr>
        <w:t>方法：</w:t>
      </w:r>
      <w:r>
        <w:rPr>
          <w:rFonts w:hint="eastAsia"/>
          <w:b/>
          <w:szCs w:val="21"/>
        </w:rPr>
        <w:t xml:space="preserve"> 综合评分法（详见本招标文件第二册通用条款第七章）。本项目中标供应商数量</w:t>
      </w:r>
      <w:r>
        <w:rPr>
          <w:rFonts w:hint="eastAsia"/>
          <w:b/>
          <w:color w:val="FF0000"/>
          <w:szCs w:val="21"/>
        </w:rPr>
        <w:t>为</w:t>
      </w:r>
      <w:r>
        <w:rPr>
          <w:rFonts w:hint="eastAsia"/>
          <w:b/>
          <w:color w:val="FF0000"/>
          <w:szCs w:val="21"/>
          <w:u w:val="single"/>
        </w:rPr>
        <w:t xml:space="preserve"> 1 </w:t>
      </w:r>
      <w:r>
        <w:rPr>
          <w:rFonts w:hint="eastAsia"/>
          <w:b/>
          <w:color w:val="FF0000"/>
          <w:szCs w:val="21"/>
        </w:rPr>
        <w:t>家</w:t>
      </w:r>
      <w:r>
        <w:rPr>
          <w:rFonts w:hint="eastAsia"/>
          <w:b/>
          <w:szCs w:val="21"/>
        </w:rPr>
        <w:t>。</w:t>
      </w:r>
    </w:p>
    <w:p>
      <w:pPr>
        <w:ind w:firstLine="422" w:firstLineChars="200"/>
        <w:rPr>
          <w:b/>
        </w:rPr>
      </w:pPr>
      <w:r>
        <w:rPr>
          <w:rFonts w:hint="eastAsia" w:ascii="宋体" w:hAnsi="宋体"/>
          <w:b/>
          <w:szCs w:val="21"/>
        </w:rPr>
        <w:t>定标方法：授权</w:t>
      </w:r>
      <w:r>
        <w:rPr>
          <w:rFonts w:ascii="宋体" w:hAnsi="宋体"/>
          <w:b/>
          <w:szCs w:val="21"/>
        </w:rPr>
        <w:t>评标委员会定标。</w:t>
      </w:r>
    </w:p>
    <w:p>
      <w:pPr>
        <w:rPr>
          <w:highlight w:val="yellow"/>
        </w:rPr>
      </w:pPr>
    </w:p>
    <w:p>
      <w:pPr>
        <w:ind w:firstLine="420" w:firstLineChars="200"/>
        <w:rPr>
          <w:highlight w:val="yellow"/>
        </w:rPr>
      </w:pPr>
      <w:r>
        <w:rPr>
          <w:highlight w:val="yellow"/>
        </w:rPr>
        <w:br w:type="page"/>
      </w:r>
    </w:p>
    <w:p>
      <w:pPr>
        <w:pStyle w:val="3"/>
        <w:rPr>
          <w:rFonts w:ascii="华文新魏" w:hAnsi="华文新魏" w:eastAsia="华文新魏" w:cs="华文新魏"/>
          <w:highlight w:val="none"/>
        </w:rPr>
      </w:pPr>
      <w:r>
        <w:rPr>
          <w:rFonts w:hint="eastAsia" w:ascii="华文新魏" w:hAnsi="华文新魏" w:eastAsia="华文新魏" w:cs="华文新魏"/>
          <w:highlight w:val="none"/>
        </w:rPr>
        <w:t>目   录</w:t>
      </w:r>
    </w:p>
    <w:p>
      <w:pPr>
        <w:adjustRightInd w:val="0"/>
        <w:snapToGrid w:val="0"/>
        <w:spacing w:line="480" w:lineRule="auto"/>
        <w:rPr>
          <w:b/>
          <w:color w:val="000000"/>
          <w:sz w:val="28"/>
          <w:szCs w:val="28"/>
        </w:rPr>
      </w:pPr>
      <w:r>
        <w:rPr>
          <w:rFonts w:hint="eastAsia"/>
          <w:b/>
          <w:color w:val="000000"/>
          <w:sz w:val="28"/>
          <w:szCs w:val="28"/>
        </w:rPr>
        <w:t>第一册  专用条款</w:t>
      </w:r>
    </w:p>
    <w:p>
      <w:pPr>
        <w:adjustRightInd w:val="0"/>
        <w:snapToGrid w:val="0"/>
        <w:spacing w:line="480" w:lineRule="auto"/>
        <w:rPr>
          <w:sz w:val="28"/>
          <w:szCs w:val="28"/>
        </w:rPr>
      </w:pPr>
      <w:r>
        <w:rPr>
          <w:rFonts w:hint="eastAsia"/>
          <w:sz w:val="28"/>
          <w:szCs w:val="28"/>
        </w:rPr>
        <w:t>关键信息</w:t>
      </w:r>
    </w:p>
    <w:p>
      <w:pPr>
        <w:adjustRightInd w:val="0"/>
        <w:snapToGrid w:val="0"/>
        <w:spacing w:line="480" w:lineRule="auto"/>
        <w:ind w:left="630" w:leftChars="300" w:firstLine="528" w:firstLineChars="240"/>
        <w:rPr>
          <w:rFonts w:ascii="宋体" w:hAnsi="宋体"/>
          <w:sz w:val="22"/>
          <w:szCs w:val="22"/>
        </w:rPr>
      </w:pPr>
      <w:r>
        <w:rPr>
          <w:rFonts w:hint="eastAsia" w:ascii="宋体" w:hAnsi="宋体"/>
          <w:sz w:val="22"/>
          <w:szCs w:val="22"/>
        </w:rPr>
        <w:t>第一章  招标公告</w:t>
      </w:r>
    </w:p>
    <w:p>
      <w:pPr>
        <w:adjustRightInd w:val="0"/>
        <w:snapToGrid w:val="0"/>
        <w:spacing w:line="480" w:lineRule="auto"/>
        <w:ind w:left="630" w:leftChars="300" w:firstLine="528" w:firstLineChars="240"/>
        <w:rPr>
          <w:rFonts w:ascii="宋体" w:hAnsi="宋体"/>
          <w:sz w:val="22"/>
          <w:szCs w:val="22"/>
        </w:rPr>
      </w:pPr>
      <w:r>
        <w:rPr>
          <w:rFonts w:hint="eastAsia" w:ascii="宋体" w:hAnsi="宋体"/>
          <w:sz w:val="22"/>
          <w:szCs w:val="22"/>
        </w:rPr>
        <w:t>第二章  招标项目需求</w:t>
      </w:r>
    </w:p>
    <w:p>
      <w:pPr>
        <w:adjustRightInd w:val="0"/>
        <w:snapToGrid w:val="0"/>
        <w:spacing w:line="480" w:lineRule="auto"/>
        <w:ind w:left="630" w:leftChars="300" w:firstLine="528" w:firstLineChars="240"/>
        <w:rPr>
          <w:rFonts w:ascii="宋体" w:hAnsi="宋体"/>
          <w:sz w:val="22"/>
          <w:szCs w:val="22"/>
        </w:rPr>
      </w:pPr>
      <w:r>
        <w:rPr>
          <w:rFonts w:hint="eastAsia" w:ascii="宋体" w:hAnsi="宋体"/>
          <w:sz w:val="22"/>
          <w:szCs w:val="22"/>
        </w:rPr>
        <w:t>第三章  合同条款及格式</w:t>
      </w:r>
    </w:p>
    <w:p>
      <w:pPr>
        <w:adjustRightInd w:val="0"/>
        <w:snapToGrid w:val="0"/>
        <w:spacing w:line="480" w:lineRule="auto"/>
        <w:ind w:left="630" w:leftChars="300" w:firstLine="528" w:firstLineChars="240"/>
        <w:rPr>
          <w:rFonts w:ascii="宋体" w:hAnsi="宋体"/>
          <w:sz w:val="22"/>
          <w:szCs w:val="22"/>
        </w:rPr>
      </w:pPr>
      <w:r>
        <w:rPr>
          <w:rFonts w:hint="eastAsia" w:ascii="宋体" w:hAnsi="宋体"/>
          <w:sz w:val="22"/>
          <w:szCs w:val="22"/>
        </w:rPr>
        <w:t>第四章  投标文件格式、附件</w:t>
      </w:r>
    </w:p>
    <w:p>
      <w:pPr>
        <w:adjustRightInd w:val="0"/>
        <w:snapToGrid w:val="0"/>
        <w:spacing w:line="480" w:lineRule="auto"/>
        <w:ind w:left="630" w:leftChars="300" w:firstLine="528" w:firstLineChars="240"/>
        <w:rPr>
          <w:rFonts w:ascii="宋体" w:hAnsi="宋体"/>
          <w:sz w:val="22"/>
          <w:szCs w:val="22"/>
        </w:rPr>
      </w:pPr>
      <w:r>
        <w:rPr>
          <w:rFonts w:hint="eastAsia" w:ascii="宋体" w:hAnsi="宋体"/>
          <w:sz w:val="22"/>
          <w:szCs w:val="22"/>
        </w:rPr>
        <w:t>第五章  政府采购履约异常情况反馈表</w:t>
      </w:r>
    </w:p>
    <w:p>
      <w:pPr>
        <w:adjustRightInd w:val="0"/>
        <w:snapToGrid w:val="0"/>
        <w:spacing w:line="480" w:lineRule="auto"/>
        <w:rPr>
          <w:b/>
          <w:color w:val="000000"/>
          <w:sz w:val="28"/>
          <w:szCs w:val="28"/>
        </w:rPr>
      </w:pPr>
    </w:p>
    <w:p>
      <w:pPr>
        <w:adjustRightInd w:val="0"/>
        <w:snapToGrid w:val="0"/>
        <w:spacing w:line="480" w:lineRule="auto"/>
        <w:rPr>
          <w:b/>
          <w:color w:val="000000"/>
          <w:sz w:val="28"/>
          <w:szCs w:val="28"/>
        </w:rPr>
      </w:pPr>
      <w:r>
        <w:rPr>
          <w:rFonts w:hint="eastAsia"/>
          <w:b/>
          <w:color w:val="000000"/>
          <w:sz w:val="28"/>
          <w:szCs w:val="28"/>
        </w:rPr>
        <w:t>第二册  通用条款</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第一章  总则</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第二章  招标文件</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第三章  投标文件的编制</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第四章  投标文件的递交</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第五章  开标</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第六章  评标要求</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第七章  评标程序及评标方法</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第八章  定标及公示</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第九章  公开招标失败的后续处理</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第十章  合同的授予与备案</w:t>
      </w:r>
    </w:p>
    <w:p>
      <w:pPr>
        <w:numPr>
          <w:ilvl w:val="1"/>
          <w:numId w:val="0"/>
        </w:numPr>
        <w:tabs>
          <w:tab w:val="left" w:pos="360"/>
        </w:tabs>
        <w:adjustRightInd w:val="0"/>
        <w:snapToGrid w:val="0"/>
        <w:spacing w:line="480" w:lineRule="auto"/>
        <w:ind w:firstLine="1130" w:firstLineChars="514"/>
        <w:rPr>
          <w:sz w:val="22"/>
          <w:szCs w:val="22"/>
        </w:rPr>
      </w:pPr>
      <w:r>
        <w:rPr>
          <w:rFonts w:hint="eastAsia"/>
          <w:sz w:val="22"/>
          <w:szCs w:val="22"/>
        </w:rPr>
        <w:t>第十一章  质疑处理</w:t>
      </w:r>
    </w:p>
    <w:p>
      <w:pPr>
        <w:rPr>
          <w:color w:val="000000"/>
          <w:sz w:val="24"/>
        </w:rPr>
      </w:pPr>
    </w:p>
    <w:p>
      <w:pPr>
        <w:jc w:val="center"/>
        <w:rPr>
          <w:color w:val="FF0000"/>
          <w:sz w:val="24"/>
        </w:rPr>
      </w:pPr>
      <w:r>
        <w:rPr>
          <w:color w:val="FF0000"/>
          <w:sz w:val="24"/>
        </w:rPr>
        <w:br w:type="page"/>
      </w:r>
    </w:p>
    <w:p>
      <w:pPr>
        <w:pStyle w:val="3"/>
        <w:rPr>
          <w:rFonts w:ascii="华文新魏" w:hAnsi="华文新魏" w:eastAsia="华文新魏" w:cs="华文新魏"/>
        </w:rPr>
      </w:pPr>
      <w:r>
        <w:rPr>
          <w:rFonts w:hint="eastAsia" w:ascii="华文新魏" w:hAnsi="华文新魏" w:eastAsia="华文新魏" w:cs="华文新魏"/>
        </w:rPr>
        <w:t>第一册  专用条款</w:t>
      </w:r>
    </w:p>
    <w:p>
      <w:pPr>
        <w:keepNext/>
        <w:keepLines/>
        <w:adjustRightInd w:val="0"/>
        <w:spacing w:before="260" w:after="260"/>
        <w:jc w:val="center"/>
        <w:textAlignment w:val="baseline"/>
        <w:outlineLvl w:val="1"/>
        <w:rPr>
          <w:rFonts w:ascii="华文新魏" w:hAnsi="华文新魏" w:eastAsia="华文新魏" w:cs="华文新魏"/>
          <w:b/>
          <w:kern w:val="0"/>
          <w:sz w:val="32"/>
          <w:szCs w:val="32"/>
        </w:rPr>
      </w:pPr>
      <w:r>
        <w:rPr>
          <w:rFonts w:hint="eastAsia" w:ascii="华文新魏" w:hAnsi="华文新魏" w:eastAsia="华文新魏" w:cs="华文新魏"/>
          <w:b/>
          <w:kern w:val="0"/>
          <w:sz w:val="32"/>
          <w:szCs w:val="32"/>
        </w:rPr>
        <w:t>第一章  招标公告</w:t>
      </w:r>
    </w:p>
    <w:p>
      <w:pPr>
        <w:adjustRightInd w:val="0"/>
        <w:snapToGrid w:val="0"/>
        <w:spacing w:line="360" w:lineRule="auto"/>
        <w:ind w:firstLine="420" w:firstLineChars="200"/>
        <w:rPr>
          <w:kern w:val="0"/>
          <w:szCs w:val="21"/>
        </w:rPr>
      </w:pPr>
      <w:r>
        <w:rPr>
          <w:kern w:val="0"/>
          <w:szCs w:val="21"/>
        </w:rPr>
        <w:t>根据《深圳经济特区政府采购条例》和</w:t>
      </w:r>
      <w:r>
        <w:rPr>
          <w:b w:val="0"/>
          <w:bCs w:val="0"/>
          <w:color w:val="auto"/>
          <w:kern w:val="0"/>
          <w:szCs w:val="21"/>
          <w:highlight w:val="none"/>
        </w:rPr>
        <w:t>《</w:t>
      </w:r>
      <w:r>
        <w:rPr>
          <w:rFonts w:hint="eastAsia"/>
          <w:b w:val="0"/>
          <w:bCs w:val="0"/>
          <w:color w:val="auto"/>
          <w:kern w:val="0"/>
          <w:szCs w:val="21"/>
          <w:highlight w:val="none"/>
        </w:rPr>
        <w:t>深圳</w:t>
      </w:r>
      <w:r>
        <w:rPr>
          <w:rFonts w:hint="eastAsia"/>
          <w:b w:val="0"/>
          <w:bCs w:val="0"/>
          <w:color w:val="auto"/>
          <w:kern w:val="0"/>
          <w:szCs w:val="21"/>
          <w:highlight w:val="none"/>
          <w:lang w:eastAsia="zh-CN"/>
        </w:rPr>
        <w:t>大学</w:t>
      </w:r>
      <w:r>
        <w:rPr>
          <w:b w:val="0"/>
          <w:bCs w:val="0"/>
          <w:color w:val="auto"/>
          <w:kern w:val="0"/>
          <w:szCs w:val="21"/>
          <w:highlight w:val="none"/>
        </w:rPr>
        <w:t>采购管理办法》</w:t>
      </w:r>
      <w:r>
        <w:rPr>
          <w:kern w:val="0"/>
          <w:szCs w:val="21"/>
        </w:rPr>
        <w:t>的有关规定，</w:t>
      </w:r>
      <w:r>
        <w:rPr>
          <w:rFonts w:hint="eastAsia"/>
          <w:kern w:val="0"/>
          <w:szCs w:val="21"/>
        </w:rPr>
        <w:t>深圳市深大体育文化发展有限公司</w:t>
      </w:r>
      <w:r>
        <w:rPr>
          <w:kern w:val="0"/>
          <w:szCs w:val="21"/>
        </w:rPr>
        <w:t>就</w:t>
      </w:r>
      <w:r>
        <w:rPr>
          <w:rFonts w:hint="eastAsia"/>
          <w:b/>
          <w:bCs/>
          <w:color w:val="FF0000"/>
          <w:kern w:val="0"/>
          <w:szCs w:val="21"/>
          <w:highlight w:val="none"/>
          <w:u w:val="single"/>
        </w:rPr>
        <w:t>深大乒乓项目综合服务中心</w:t>
      </w:r>
      <w:r>
        <w:rPr>
          <w:rFonts w:hint="eastAsia"/>
          <w:b/>
          <w:bCs/>
          <w:color w:val="FF0000"/>
          <w:kern w:val="0"/>
          <w:szCs w:val="21"/>
          <w:highlight w:val="none"/>
          <w:u w:val="single"/>
          <w:lang w:eastAsia="zh-CN"/>
        </w:rPr>
        <w:t>（华侨城基地）地胶采购</w:t>
      </w:r>
      <w:r>
        <w:rPr>
          <w:kern w:val="0"/>
          <w:szCs w:val="21"/>
        </w:rPr>
        <w:t>项目，进行</w:t>
      </w:r>
      <w:r>
        <w:rPr>
          <w:color w:val="000000"/>
          <w:kern w:val="0"/>
          <w:szCs w:val="21"/>
        </w:rPr>
        <w:t>公开招标</w:t>
      </w:r>
      <w:r>
        <w:rPr>
          <w:kern w:val="0"/>
          <w:szCs w:val="21"/>
        </w:rPr>
        <w:t>，欢迎符合资格的供应商参加投标。</w:t>
      </w:r>
    </w:p>
    <w:p>
      <w:pPr>
        <w:adjustRightInd w:val="0"/>
        <w:snapToGrid w:val="0"/>
        <w:spacing w:line="360" w:lineRule="auto"/>
        <w:ind w:firstLine="420" w:firstLineChars="200"/>
        <w:rPr>
          <w:rFonts w:hint="default" w:eastAsia="宋体"/>
          <w:kern w:val="0"/>
          <w:szCs w:val="21"/>
          <w:lang w:val="en-US" w:eastAsia="zh-CN"/>
        </w:rPr>
      </w:pPr>
    </w:p>
    <w:p>
      <w:pPr>
        <w:adjustRightInd w:val="0"/>
        <w:snapToGrid w:val="0"/>
        <w:spacing w:line="360" w:lineRule="auto"/>
        <w:rPr>
          <w:rFonts w:hint="default" w:eastAsia="宋体"/>
          <w:kern w:val="0"/>
          <w:szCs w:val="21"/>
          <w:highlight w:val="yellow"/>
          <w:lang w:val="en-US" w:eastAsia="zh-CN"/>
        </w:rPr>
      </w:pPr>
      <w:r>
        <w:rPr>
          <w:kern w:val="0"/>
          <w:szCs w:val="21"/>
          <w:highlight w:val="yellow"/>
        </w:rPr>
        <w:t>一、项目编号：</w:t>
      </w:r>
      <w:r>
        <w:rPr>
          <w:rFonts w:hint="eastAsia"/>
          <w:kern w:val="0"/>
          <w:szCs w:val="21"/>
          <w:highlight w:val="yellow"/>
        </w:rPr>
        <w:t>SZUTT202100</w:t>
      </w:r>
      <w:r>
        <w:rPr>
          <w:rFonts w:hint="eastAsia"/>
          <w:kern w:val="0"/>
          <w:szCs w:val="21"/>
          <w:highlight w:val="yellow"/>
          <w:lang w:val="en-US" w:eastAsia="zh-CN"/>
        </w:rPr>
        <w:t>1HW</w:t>
      </w:r>
    </w:p>
    <w:p>
      <w:pPr>
        <w:adjustRightInd w:val="0"/>
        <w:snapToGrid w:val="0"/>
        <w:spacing w:line="360" w:lineRule="auto"/>
        <w:rPr>
          <w:kern w:val="0"/>
          <w:szCs w:val="21"/>
          <w:highlight w:val="none"/>
        </w:rPr>
      </w:pPr>
      <w:r>
        <w:rPr>
          <w:kern w:val="0"/>
          <w:szCs w:val="21"/>
          <w:highlight w:val="none"/>
        </w:rPr>
        <w:t>二、项目名称：</w:t>
      </w:r>
      <w:r>
        <w:rPr>
          <w:rFonts w:hint="eastAsia"/>
          <w:kern w:val="0"/>
          <w:szCs w:val="21"/>
          <w:highlight w:val="none"/>
          <w:lang w:eastAsia="zh-CN"/>
        </w:rPr>
        <w:t>深大乒乓项目综合服务中心（华侨城基地）地胶采购项目</w:t>
      </w:r>
    </w:p>
    <w:p>
      <w:pPr>
        <w:adjustRightInd w:val="0"/>
        <w:snapToGrid w:val="0"/>
        <w:spacing w:line="360" w:lineRule="auto"/>
        <w:rPr>
          <w:kern w:val="0"/>
          <w:szCs w:val="21"/>
        </w:rPr>
      </w:pPr>
      <w:r>
        <w:rPr>
          <w:kern w:val="0"/>
          <w:szCs w:val="21"/>
        </w:rPr>
        <w:t xml:space="preserve">三、项目概况：详见招标文件。   </w:t>
      </w:r>
    </w:p>
    <w:p>
      <w:pPr>
        <w:adjustRightInd w:val="0"/>
        <w:snapToGrid w:val="0"/>
        <w:spacing w:line="360" w:lineRule="auto"/>
        <w:rPr>
          <w:kern w:val="0"/>
          <w:szCs w:val="21"/>
        </w:rPr>
      </w:pPr>
      <w:r>
        <w:rPr>
          <w:kern w:val="0"/>
          <w:szCs w:val="21"/>
        </w:rPr>
        <w:t>四、投标人资格要求：</w:t>
      </w:r>
    </w:p>
    <w:p>
      <w:pPr>
        <w:adjustRightInd w:val="0"/>
        <w:snapToGrid w:val="0"/>
        <w:spacing w:line="360" w:lineRule="auto"/>
        <w:ind w:firstLine="420" w:firstLineChars="200"/>
        <w:rPr>
          <w:kern w:val="0"/>
          <w:szCs w:val="21"/>
        </w:rPr>
      </w:pPr>
      <w:r>
        <w:rPr>
          <w:rFonts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pPr>
        <w:adjustRightInd w:val="0"/>
        <w:snapToGrid w:val="0"/>
        <w:spacing w:line="360" w:lineRule="auto"/>
        <w:ind w:firstLine="420" w:firstLineChars="200"/>
        <w:rPr>
          <w:kern w:val="0"/>
          <w:szCs w:val="21"/>
        </w:rPr>
      </w:pPr>
      <w:r>
        <w:rPr>
          <w:kern w:val="0"/>
          <w:szCs w:val="21"/>
        </w:rPr>
        <w:t>2</w:t>
      </w:r>
      <w:r>
        <w:rPr>
          <w:rFonts w:hint="eastAsia"/>
          <w:kern w:val="0"/>
          <w:szCs w:val="21"/>
        </w:rPr>
        <w:t>.投标人近三年内，在经营活动中没有重大违法记录。(证明文件：投标人须提供《无违法违规行为承诺函》加盖投标人公章)；</w:t>
      </w:r>
    </w:p>
    <w:p>
      <w:pPr>
        <w:adjustRightInd w:val="0"/>
        <w:snapToGrid w:val="0"/>
        <w:spacing w:line="360" w:lineRule="auto"/>
        <w:ind w:firstLine="420" w:firstLineChars="200"/>
        <w:rPr>
          <w:kern w:val="0"/>
          <w:szCs w:val="21"/>
        </w:rPr>
      </w:pPr>
      <w:r>
        <w:rPr>
          <w:rFonts w:hint="eastAsia"/>
          <w:kern w:val="0"/>
          <w:szCs w:val="21"/>
        </w:rPr>
        <w:t>3. 本项目不接受联合体投标；</w:t>
      </w:r>
    </w:p>
    <w:p>
      <w:pPr>
        <w:adjustRightInd w:val="0"/>
        <w:snapToGrid w:val="0"/>
        <w:spacing w:line="360" w:lineRule="auto"/>
        <w:ind w:firstLine="420"/>
        <w:rPr>
          <w:kern w:val="0"/>
          <w:szCs w:val="21"/>
        </w:rPr>
      </w:pPr>
      <w:r>
        <w:rPr>
          <w:rFonts w:hint="eastAsia"/>
          <w:kern w:val="0"/>
          <w:szCs w:val="21"/>
        </w:rPr>
        <w:t>4</w:t>
      </w:r>
      <w:r>
        <w:rPr>
          <w:kern w:val="0"/>
          <w:szCs w:val="21"/>
        </w:rPr>
        <w:t>. 本项目拒绝投标人选用进口产品参与投标（进口产品是指通过海关验放进入中国境内且产自关境外的进口产品）。</w:t>
      </w:r>
    </w:p>
    <w:p>
      <w:pPr>
        <w:adjustRightInd w:val="0"/>
        <w:snapToGrid w:val="0"/>
        <w:spacing w:line="360" w:lineRule="auto"/>
        <w:ind w:firstLine="420" w:firstLineChars="200"/>
        <w:rPr>
          <w:kern w:val="0"/>
          <w:szCs w:val="21"/>
        </w:rPr>
      </w:pPr>
    </w:p>
    <w:p>
      <w:pPr>
        <w:spacing w:line="360" w:lineRule="auto"/>
        <w:rPr>
          <w:rFonts w:ascii="宋体" w:hAnsi="宋体" w:cs="宋体"/>
          <w:kern w:val="0"/>
          <w:szCs w:val="21"/>
        </w:rPr>
      </w:pPr>
      <w:r>
        <w:rPr>
          <w:rFonts w:hint="eastAsia" w:ascii="宋体" w:hAnsi="宋体" w:cs="宋体"/>
          <w:kern w:val="0"/>
          <w:szCs w:val="21"/>
          <w:highlight w:val="yellow"/>
        </w:rPr>
        <w:t>五、采购预算或最高</w:t>
      </w:r>
      <w:r>
        <w:rPr>
          <w:rFonts w:ascii="宋体" w:hAnsi="宋体" w:cs="宋体"/>
          <w:kern w:val="0"/>
          <w:szCs w:val="21"/>
          <w:highlight w:val="yellow"/>
        </w:rPr>
        <w:t>限价</w:t>
      </w:r>
      <w:r>
        <w:rPr>
          <w:rFonts w:hint="eastAsia" w:ascii="宋体" w:hAnsi="宋体" w:cs="宋体"/>
          <w:kern w:val="0"/>
          <w:szCs w:val="21"/>
          <w:highlight w:val="yellow"/>
        </w:rPr>
        <w:t>：</w:t>
      </w:r>
      <w:r>
        <w:rPr>
          <w:rFonts w:hint="eastAsia" w:ascii="宋体" w:hAnsi="宋体" w:cs="宋体"/>
          <w:b/>
          <w:bCs/>
          <w:color w:val="FF0000"/>
          <w:kern w:val="0"/>
          <w:szCs w:val="21"/>
          <w:highlight w:val="yellow"/>
          <w:lang w:val="en-US" w:eastAsia="zh-CN"/>
        </w:rPr>
        <w:t>260000.00</w:t>
      </w:r>
      <w:r>
        <w:rPr>
          <w:rFonts w:hint="eastAsia" w:ascii="宋体" w:hAnsi="宋体" w:cs="宋体"/>
          <w:b/>
          <w:bCs/>
          <w:color w:val="FF0000"/>
          <w:kern w:val="0"/>
          <w:szCs w:val="21"/>
          <w:highlight w:val="yellow"/>
        </w:rPr>
        <w:t>元（人民币</w:t>
      </w:r>
      <w:r>
        <w:rPr>
          <w:rFonts w:ascii="宋体" w:hAnsi="宋体" w:cs="宋体"/>
          <w:b/>
          <w:bCs/>
          <w:color w:val="FF0000"/>
          <w:kern w:val="0"/>
          <w:szCs w:val="21"/>
          <w:highlight w:val="yellow"/>
        </w:rPr>
        <w:t>）</w:t>
      </w:r>
      <w:r>
        <w:rPr>
          <w:rFonts w:hint="eastAsia" w:ascii="宋体" w:hAnsi="宋体" w:cs="宋体"/>
          <w:kern w:val="0"/>
          <w:szCs w:val="21"/>
          <w:highlight w:val="yellow"/>
        </w:rPr>
        <w:t>。</w:t>
      </w:r>
    </w:p>
    <w:p>
      <w:pPr>
        <w:spacing w:line="360" w:lineRule="auto"/>
        <w:rPr>
          <w:rFonts w:ascii="宋体" w:hAnsi="宋体" w:cs="宋体"/>
          <w:kern w:val="0"/>
          <w:szCs w:val="21"/>
        </w:rPr>
      </w:pPr>
    </w:p>
    <w:p>
      <w:pPr>
        <w:spacing w:line="360" w:lineRule="auto"/>
        <w:rPr>
          <w:rFonts w:ascii="宋体" w:hAnsi="宋体" w:cs="宋体"/>
          <w:kern w:val="0"/>
          <w:szCs w:val="21"/>
        </w:rPr>
      </w:pPr>
      <w:r>
        <w:rPr>
          <w:rFonts w:hint="eastAsia" w:ascii="宋体" w:hAnsi="宋体" w:cs="宋体"/>
          <w:kern w:val="0"/>
          <w:szCs w:val="21"/>
        </w:rPr>
        <w:t>六、投标与开标注意事项：</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1. 标书获得方法 </w:t>
      </w:r>
    </w:p>
    <w:p>
      <w:pPr>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出于疫情防控需要，投标人不能现场购买招标文件。如需购买招标文件请通过邮件报名，电子版招标文件可以在网站</w:t>
      </w:r>
      <w:r>
        <w:rPr>
          <w:rFonts w:hint="eastAsia" w:ascii="宋体" w:hAnsi="宋体" w:cs="宋体"/>
          <w:bCs/>
          <w:color w:val="000000" w:themeColor="text1"/>
          <w:kern w:val="0"/>
          <w:szCs w:val="21"/>
          <w:highlight w:val="none"/>
          <w14:textFill>
            <w14:solidFill>
              <w14:schemeClr w14:val="tx1"/>
            </w14:solidFill>
          </w14:textFill>
        </w:rPr>
        <w:t>http://bidding.szu.edu.cn</w:t>
      </w:r>
      <w:r>
        <w:rPr>
          <w:rFonts w:hint="eastAsia" w:ascii="宋体" w:hAnsi="宋体" w:cs="宋体"/>
          <w:bCs/>
          <w:color w:val="000000" w:themeColor="text1"/>
          <w:kern w:val="0"/>
          <w:szCs w:val="21"/>
          <w14:textFill>
            <w14:solidFill>
              <w14:schemeClr w14:val="tx1"/>
            </w14:solidFill>
          </w14:textFill>
        </w:rPr>
        <w:t>“招标公告”的本项目的招标公告页中下载。招标文件售后不退。</w:t>
      </w:r>
    </w:p>
    <w:p>
      <w:pPr>
        <w:spacing w:line="360" w:lineRule="auto"/>
        <w:ind w:firstLine="420" w:firstLineChars="200"/>
        <w:rPr>
          <w:rFonts w:ascii="宋体" w:hAnsi="宋体" w:cs="宋体"/>
          <w:kern w:val="0"/>
          <w:szCs w:val="21"/>
        </w:rPr>
      </w:pPr>
      <w:r>
        <w:rPr>
          <w:rFonts w:hint="eastAsia" w:ascii="宋体" w:hAnsi="宋体" w:cs="宋体"/>
          <w:kern w:val="0"/>
          <w:szCs w:val="21"/>
        </w:rPr>
        <w:t>任何有兴趣的合格投标人可于</w:t>
      </w:r>
      <w:r>
        <w:rPr>
          <w:rFonts w:hint="eastAsia" w:ascii="宋体" w:hAnsi="宋体" w:cs="宋体"/>
          <w:b/>
          <w:bCs/>
          <w:color w:val="FF0000"/>
          <w:kern w:val="0"/>
          <w:szCs w:val="21"/>
          <w:highlight w:val="yellow"/>
        </w:rPr>
        <w:t>202</w:t>
      </w:r>
      <w:r>
        <w:rPr>
          <w:rFonts w:hint="eastAsia" w:ascii="宋体" w:hAnsi="宋体" w:cs="宋体"/>
          <w:b/>
          <w:bCs/>
          <w:color w:val="FF0000"/>
          <w:kern w:val="0"/>
          <w:szCs w:val="21"/>
          <w:highlight w:val="yellow"/>
          <w:lang w:val="en-US" w:eastAsia="zh-CN"/>
        </w:rPr>
        <w:t>1</w:t>
      </w:r>
      <w:r>
        <w:rPr>
          <w:rFonts w:hint="eastAsia" w:ascii="宋体" w:hAnsi="宋体" w:cs="宋体"/>
          <w:b/>
          <w:bCs/>
          <w:color w:val="FF0000"/>
          <w:kern w:val="0"/>
          <w:szCs w:val="21"/>
          <w:highlight w:val="yellow"/>
        </w:rPr>
        <w:t>年</w:t>
      </w:r>
      <w:r>
        <w:rPr>
          <w:rFonts w:hint="eastAsia" w:ascii="宋体" w:hAnsi="宋体" w:cs="宋体"/>
          <w:b/>
          <w:bCs/>
          <w:color w:val="FF0000"/>
          <w:kern w:val="0"/>
          <w:szCs w:val="21"/>
          <w:highlight w:val="yellow"/>
          <w:lang w:val="en-US" w:eastAsia="zh-CN"/>
        </w:rPr>
        <w:t>2</w:t>
      </w:r>
      <w:r>
        <w:rPr>
          <w:rFonts w:hint="eastAsia" w:ascii="宋体" w:hAnsi="宋体" w:cs="宋体"/>
          <w:b/>
          <w:bCs/>
          <w:color w:val="FF0000"/>
          <w:kern w:val="0"/>
          <w:szCs w:val="21"/>
          <w:highlight w:val="yellow"/>
        </w:rPr>
        <w:t>月</w:t>
      </w:r>
      <w:r>
        <w:rPr>
          <w:rFonts w:hint="eastAsia" w:ascii="宋体" w:hAnsi="宋体" w:cs="宋体"/>
          <w:b/>
          <w:bCs/>
          <w:color w:val="FF0000"/>
          <w:kern w:val="0"/>
          <w:szCs w:val="21"/>
          <w:highlight w:val="yellow"/>
          <w:lang w:val="en-US" w:eastAsia="zh-CN"/>
        </w:rPr>
        <w:t>22</w:t>
      </w:r>
      <w:r>
        <w:rPr>
          <w:rFonts w:hint="eastAsia" w:ascii="宋体" w:hAnsi="宋体" w:cs="宋体"/>
          <w:b/>
          <w:bCs/>
          <w:color w:val="FF0000"/>
          <w:kern w:val="0"/>
          <w:szCs w:val="21"/>
          <w:highlight w:val="yellow"/>
        </w:rPr>
        <w:t>日起至202</w:t>
      </w:r>
      <w:r>
        <w:rPr>
          <w:rFonts w:hint="eastAsia" w:ascii="宋体" w:hAnsi="宋体" w:cs="宋体"/>
          <w:b/>
          <w:bCs/>
          <w:color w:val="FF0000"/>
          <w:kern w:val="0"/>
          <w:szCs w:val="21"/>
          <w:highlight w:val="yellow"/>
          <w:lang w:val="en-US" w:eastAsia="zh-CN"/>
        </w:rPr>
        <w:t>1</w:t>
      </w:r>
      <w:r>
        <w:rPr>
          <w:rFonts w:hint="eastAsia" w:ascii="宋体" w:hAnsi="宋体" w:cs="宋体"/>
          <w:b/>
          <w:bCs/>
          <w:color w:val="FF0000"/>
          <w:kern w:val="0"/>
          <w:szCs w:val="21"/>
          <w:highlight w:val="yellow"/>
        </w:rPr>
        <w:t>年</w:t>
      </w:r>
      <w:r>
        <w:rPr>
          <w:rFonts w:hint="eastAsia" w:ascii="宋体" w:hAnsi="宋体" w:cs="宋体"/>
          <w:b/>
          <w:bCs/>
          <w:color w:val="FF0000"/>
          <w:kern w:val="0"/>
          <w:szCs w:val="21"/>
          <w:highlight w:val="yellow"/>
          <w:lang w:val="en-US" w:eastAsia="zh-CN"/>
        </w:rPr>
        <w:t>3</w:t>
      </w:r>
      <w:r>
        <w:rPr>
          <w:rFonts w:hint="eastAsia" w:ascii="宋体" w:hAnsi="宋体" w:cs="宋体"/>
          <w:b/>
          <w:bCs/>
          <w:color w:val="FF0000"/>
          <w:kern w:val="0"/>
          <w:szCs w:val="21"/>
          <w:highlight w:val="yellow"/>
        </w:rPr>
        <w:t>月</w:t>
      </w:r>
      <w:r>
        <w:rPr>
          <w:rFonts w:hint="eastAsia" w:ascii="宋体" w:hAnsi="宋体" w:cs="宋体"/>
          <w:b/>
          <w:bCs/>
          <w:color w:val="FF0000"/>
          <w:kern w:val="0"/>
          <w:szCs w:val="21"/>
          <w:highlight w:val="yellow"/>
          <w:lang w:val="en-US" w:eastAsia="zh-CN"/>
        </w:rPr>
        <w:t>1</w:t>
      </w:r>
      <w:r>
        <w:rPr>
          <w:rFonts w:hint="eastAsia" w:ascii="宋体" w:hAnsi="宋体" w:cs="宋体"/>
          <w:b/>
          <w:bCs/>
          <w:color w:val="FF0000"/>
          <w:kern w:val="0"/>
          <w:szCs w:val="21"/>
          <w:highlight w:val="yellow"/>
        </w:rPr>
        <w:t>日</w:t>
      </w:r>
      <w:r>
        <w:rPr>
          <w:rFonts w:hint="eastAsia" w:ascii="宋体" w:hAnsi="宋体" w:cs="宋体"/>
          <w:kern w:val="0"/>
          <w:szCs w:val="21"/>
        </w:rPr>
        <w:t>每天（节假日除外）的9:00—11:30；14:30—17:00将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w:t>
      </w:r>
      <w:r>
        <w:rPr>
          <w:rFonts w:hint="eastAsia" w:ascii="宋体" w:hAnsi="宋体" w:cs="宋体"/>
          <w:b/>
          <w:color w:val="FF0000"/>
          <w:kern w:val="0"/>
          <w:szCs w:val="21"/>
        </w:rPr>
        <w:t>150元标书费</w:t>
      </w:r>
      <w:r>
        <w:rPr>
          <w:rFonts w:hint="eastAsia" w:ascii="宋体" w:hAnsi="宋体" w:cs="宋体"/>
          <w:b/>
          <w:kern w:val="0"/>
          <w:szCs w:val="21"/>
        </w:rPr>
        <w:t>缴纳凭证</w:t>
      </w:r>
      <w:r>
        <w:rPr>
          <w:rFonts w:hint="eastAsia" w:ascii="宋体" w:hAnsi="宋体" w:cs="宋体"/>
          <w:kern w:val="0"/>
          <w:szCs w:val="21"/>
        </w:rPr>
        <w:t>（</w:t>
      </w:r>
      <w:r>
        <w:rPr>
          <w:rFonts w:hint="eastAsia"/>
          <w:color w:val="222222"/>
        </w:rPr>
        <w:t>标书费付款回执至少应有收款人账户、付款人账户、转账时间、转账金额等信息</w:t>
      </w:r>
      <w:r>
        <w:rPr>
          <w:rFonts w:hint="eastAsia" w:ascii="宋体" w:hAnsi="宋体" w:cs="宋体"/>
          <w:kern w:val="0"/>
          <w:szCs w:val="21"/>
        </w:rPr>
        <w:t>）一并扫描发至邮箱</w:t>
      </w:r>
      <w:r>
        <w:rPr>
          <w:rFonts w:hint="eastAsia" w:ascii="宋体" w:hAnsi="宋体" w:cs="宋体"/>
          <w:b/>
          <w:color w:val="FF0000"/>
          <w:kern w:val="0"/>
          <w:sz w:val="24"/>
        </w:rPr>
        <w:t>sdtywh2016@163.com</w:t>
      </w:r>
      <w:r>
        <w:rPr>
          <w:rFonts w:hint="eastAsia" w:ascii="宋体" w:hAnsi="宋体" w:cs="宋体"/>
          <w:kern w:val="0"/>
          <w:szCs w:val="21"/>
        </w:rPr>
        <w:t xml:space="preserve"> ；标书费缴纳至深圳市深大体育文化发展有限公司账户：</w:t>
      </w:r>
    </w:p>
    <w:p>
      <w:pPr>
        <w:spacing w:line="360" w:lineRule="auto"/>
        <w:rPr>
          <w:rFonts w:ascii="宋体" w:hAnsi="宋体" w:cs="宋体"/>
          <w:kern w:val="0"/>
          <w:szCs w:val="21"/>
        </w:rPr>
      </w:pPr>
      <w:r>
        <w:rPr>
          <w:rFonts w:hint="eastAsia" w:ascii="宋体" w:hAnsi="宋体" w:cs="宋体"/>
          <w:kern w:val="0"/>
          <w:szCs w:val="21"/>
        </w:rPr>
        <w:t>　　户  名：深圳市深大体育文化发展有限公司</w:t>
      </w:r>
    </w:p>
    <w:p>
      <w:pPr>
        <w:spacing w:line="360" w:lineRule="auto"/>
        <w:rPr>
          <w:rFonts w:ascii="宋体" w:hAnsi="宋体" w:cs="宋体"/>
          <w:kern w:val="0"/>
          <w:szCs w:val="21"/>
        </w:rPr>
      </w:pPr>
      <w:r>
        <w:rPr>
          <w:rFonts w:hint="eastAsia" w:ascii="宋体" w:hAnsi="宋体" w:cs="宋体"/>
          <w:kern w:val="0"/>
          <w:szCs w:val="21"/>
        </w:rPr>
        <w:t>　　开户行：中国银行深圳深大支行</w:t>
      </w:r>
    </w:p>
    <w:p>
      <w:pPr>
        <w:spacing w:line="360" w:lineRule="auto"/>
        <w:rPr>
          <w:rFonts w:ascii="宋体" w:hAnsi="宋体" w:cs="宋体"/>
          <w:kern w:val="0"/>
          <w:szCs w:val="21"/>
        </w:rPr>
      </w:pPr>
      <w:r>
        <w:rPr>
          <w:rFonts w:hint="eastAsia" w:ascii="宋体" w:hAnsi="宋体" w:cs="宋体"/>
          <w:kern w:val="0"/>
          <w:szCs w:val="21"/>
        </w:rPr>
        <w:t>　　账  号：769268049923</w:t>
      </w:r>
    </w:p>
    <w:p>
      <w:pPr>
        <w:spacing w:line="360" w:lineRule="auto"/>
        <w:ind w:firstLine="420"/>
        <w:rPr>
          <w:rFonts w:ascii="宋体" w:hAnsi="宋体" w:cs="宋体"/>
          <w:kern w:val="0"/>
          <w:sz w:val="20"/>
          <w:szCs w:val="20"/>
        </w:rPr>
      </w:pPr>
      <w:r>
        <w:rPr>
          <w:rFonts w:hint="eastAsia" w:ascii="宋体" w:hAnsi="宋体" w:cs="宋体"/>
          <w:kern w:val="0"/>
          <w:szCs w:val="21"/>
        </w:rPr>
        <w:t>备  注：项目编号</w:t>
      </w:r>
    </w:p>
    <w:p>
      <w:pPr>
        <w:spacing w:line="360" w:lineRule="auto"/>
        <w:ind w:firstLine="420"/>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63"/>
          <w:rFonts w:hint="eastAsia" w:ascii="宋体" w:hAnsi="宋体" w:cs="宋体"/>
          <w:kern w:val="0"/>
          <w:szCs w:val="21"/>
        </w:rPr>
        <w:t>http://bidding.szu.edu.cn/listfile.asp</w:t>
      </w:r>
      <w:r>
        <w:rPr>
          <w:rStyle w:val="63"/>
          <w:rFonts w:ascii="宋体" w:hAnsi="宋体" w:cs="宋体"/>
          <w:kern w:val="0"/>
          <w:szCs w:val="21"/>
        </w:rPr>
        <w:fldChar w:fldCharType="end"/>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 xml:space="preserve">关于质疑 </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供应商认为采购文件的内容损害其权益的，应在采购文件公布之日起五个工作日内提出。质疑函应以书面形式提交到深圳市深大体育文化发展有限公司，逾期不予受理。质疑函须加盖投标人公章。答疑结果将在网站http://bidding.szu.edu.cn “招标公告”中公布，望投标人予以关注。 </w:t>
      </w:r>
    </w:p>
    <w:p>
      <w:pPr>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 xml:space="preserve">. 投标截止时间 </w:t>
      </w:r>
    </w:p>
    <w:p>
      <w:pPr>
        <w:spacing w:line="360" w:lineRule="auto"/>
        <w:ind w:firstLine="420" w:firstLineChars="200"/>
        <w:rPr>
          <w:rFonts w:ascii="宋体" w:hAnsi="宋体" w:cs="宋体"/>
          <w:kern w:val="0"/>
          <w:szCs w:val="21"/>
        </w:rPr>
      </w:pPr>
      <w:r>
        <w:rPr>
          <w:rFonts w:hint="eastAsia" w:ascii="宋体" w:hAnsi="宋体" w:cs="宋体"/>
          <w:kern w:val="0"/>
          <w:szCs w:val="21"/>
        </w:rPr>
        <w:t>所有投标文件应于</w:t>
      </w:r>
      <w:r>
        <w:rPr>
          <w:rFonts w:hint="eastAsia" w:ascii="宋体" w:hAnsi="宋体" w:cs="宋体"/>
          <w:b/>
          <w:bCs/>
          <w:color w:val="FF0000"/>
          <w:kern w:val="0"/>
          <w:szCs w:val="21"/>
          <w:highlight w:val="yellow"/>
        </w:rPr>
        <w:t>20</w:t>
      </w:r>
      <w:r>
        <w:rPr>
          <w:rFonts w:hint="eastAsia" w:ascii="宋体" w:hAnsi="宋体" w:cs="宋体"/>
          <w:b/>
          <w:bCs/>
          <w:color w:val="FF0000"/>
          <w:kern w:val="0"/>
          <w:szCs w:val="21"/>
          <w:highlight w:val="yellow"/>
          <w:lang w:val="en-US" w:eastAsia="zh-CN"/>
        </w:rPr>
        <w:t>21</w:t>
      </w:r>
      <w:r>
        <w:rPr>
          <w:rFonts w:hint="eastAsia" w:ascii="宋体" w:hAnsi="宋体" w:cs="宋体"/>
          <w:b/>
          <w:bCs/>
          <w:color w:val="FF0000"/>
          <w:kern w:val="0"/>
          <w:szCs w:val="21"/>
          <w:highlight w:val="yellow"/>
        </w:rPr>
        <w:t>年</w:t>
      </w:r>
      <w:r>
        <w:rPr>
          <w:rFonts w:hint="eastAsia" w:ascii="宋体" w:hAnsi="宋体" w:cs="宋体"/>
          <w:b/>
          <w:bCs/>
          <w:color w:val="FF0000"/>
          <w:kern w:val="0"/>
          <w:szCs w:val="21"/>
          <w:highlight w:val="yellow"/>
          <w:lang w:val="en-US" w:eastAsia="zh-CN"/>
        </w:rPr>
        <w:t>3</w:t>
      </w:r>
      <w:r>
        <w:rPr>
          <w:rFonts w:hint="eastAsia" w:ascii="宋体" w:hAnsi="宋体" w:cs="宋体"/>
          <w:b/>
          <w:bCs/>
          <w:color w:val="FF0000"/>
          <w:kern w:val="0"/>
          <w:szCs w:val="21"/>
          <w:highlight w:val="yellow"/>
        </w:rPr>
        <w:t>月</w:t>
      </w:r>
      <w:r>
        <w:rPr>
          <w:rFonts w:hint="eastAsia" w:ascii="宋体" w:hAnsi="宋体" w:cs="宋体"/>
          <w:b/>
          <w:bCs/>
          <w:color w:val="FF0000"/>
          <w:kern w:val="0"/>
          <w:szCs w:val="21"/>
          <w:highlight w:val="yellow"/>
          <w:lang w:val="en-US" w:eastAsia="zh-CN"/>
        </w:rPr>
        <w:t>2</w:t>
      </w:r>
      <w:r>
        <w:rPr>
          <w:rFonts w:hint="eastAsia" w:ascii="宋体" w:hAnsi="宋体" w:cs="宋体"/>
          <w:b/>
          <w:bCs/>
          <w:color w:val="FF0000"/>
          <w:kern w:val="0"/>
          <w:szCs w:val="21"/>
          <w:highlight w:val="yellow"/>
        </w:rPr>
        <w:t>日</w:t>
      </w:r>
      <w:r>
        <w:rPr>
          <w:rFonts w:hint="eastAsia" w:ascii="宋体" w:hAnsi="宋体" w:cs="宋体"/>
          <w:b/>
          <w:bCs/>
          <w:color w:val="FF0000"/>
          <w:kern w:val="0"/>
          <w:szCs w:val="21"/>
          <w:highlight w:val="yellow"/>
          <w:lang w:val="en-US" w:eastAsia="zh-CN"/>
        </w:rPr>
        <w:t>9</w:t>
      </w:r>
      <w:r>
        <w:rPr>
          <w:rFonts w:hint="eastAsia" w:ascii="宋体" w:hAnsi="宋体" w:cs="宋体"/>
          <w:b/>
          <w:bCs/>
          <w:color w:val="FF0000"/>
          <w:kern w:val="0"/>
          <w:szCs w:val="21"/>
          <w:highlight w:val="yellow"/>
        </w:rPr>
        <w:t>：</w:t>
      </w:r>
      <w:r>
        <w:rPr>
          <w:rFonts w:hint="eastAsia" w:ascii="宋体" w:hAnsi="宋体" w:cs="宋体"/>
          <w:b/>
          <w:bCs/>
          <w:color w:val="FF0000"/>
          <w:kern w:val="0"/>
          <w:szCs w:val="21"/>
          <w:highlight w:val="yellow"/>
          <w:lang w:val="en-US" w:eastAsia="zh-CN"/>
        </w:rPr>
        <w:t>3</w:t>
      </w:r>
      <w:r>
        <w:rPr>
          <w:rFonts w:ascii="宋体" w:hAnsi="宋体" w:cs="宋体"/>
          <w:b/>
          <w:bCs/>
          <w:color w:val="FF0000"/>
          <w:kern w:val="0"/>
          <w:szCs w:val="21"/>
          <w:highlight w:val="yellow"/>
        </w:rPr>
        <w:t>0</w:t>
      </w:r>
      <w:r>
        <w:rPr>
          <w:rFonts w:hint="eastAsia" w:ascii="宋体" w:hAnsi="宋体" w:cs="宋体"/>
          <w:kern w:val="0"/>
          <w:szCs w:val="21"/>
        </w:rPr>
        <w:t>时之前</w:t>
      </w:r>
      <w:r>
        <w:rPr>
          <w:rFonts w:hint="eastAsia" w:ascii="宋体" w:hAnsi="宋体" w:cs="宋体"/>
          <w:b/>
          <w:kern w:val="0"/>
          <w:szCs w:val="21"/>
        </w:rPr>
        <w:t>邮寄</w:t>
      </w:r>
      <w:r>
        <w:rPr>
          <w:rFonts w:hint="eastAsia"/>
        </w:rPr>
        <w:t>（</w:t>
      </w:r>
      <w:r>
        <w:t>EMS</w:t>
      </w:r>
      <w:r>
        <w:rPr>
          <w:rFonts w:hint="eastAsia"/>
        </w:rPr>
        <w:t>，顺丰（不含顺丰同城））</w:t>
      </w:r>
      <w:r>
        <w:rPr>
          <w:rFonts w:hint="eastAsia" w:ascii="宋体" w:hAnsi="宋体" w:cs="宋体"/>
          <w:kern w:val="0"/>
          <w:szCs w:val="21"/>
        </w:rPr>
        <w:t>到深圳市深大体育文化发展有限公司（以快递到达时间为准，不接受快递到付）。</w:t>
      </w:r>
    </w:p>
    <w:p>
      <w:pPr>
        <w:spacing w:line="360" w:lineRule="auto"/>
        <w:ind w:firstLine="422" w:firstLineChars="200"/>
        <w:rPr>
          <w:rFonts w:ascii="宋体" w:hAnsi="宋体" w:cs="宋体"/>
          <w:b/>
          <w:color w:val="FF0000"/>
          <w:kern w:val="0"/>
          <w:szCs w:val="21"/>
        </w:rPr>
      </w:pPr>
      <w:r>
        <w:rPr>
          <w:rFonts w:hint="eastAsia" w:ascii="宋体" w:hAnsi="宋体" w:cs="宋体"/>
          <w:b/>
          <w:color w:val="FF0000"/>
          <w:kern w:val="0"/>
          <w:szCs w:val="21"/>
        </w:rPr>
        <w:t>投标文件不接受现场递交。</w:t>
      </w:r>
    </w:p>
    <w:p>
      <w:pPr>
        <w:spacing w:line="360" w:lineRule="auto"/>
        <w:ind w:firstLine="420" w:firstLineChars="200"/>
        <w:rPr>
          <w:rFonts w:ascii="宋体" w:hAnsi="宋体" w:cs="宋体"/>
          <w:kern w:val="0"/>
          <w:szCs w:val="21"/>
        </w:rPr>
      </w:pPr>
      <w:r>
        <w:rPr>
          <w:rFonts w:hint="eastAsia" w:ascii="宋体" w:hAnsi="宋体" w:cs="宋体"/>
          <w:kern w:val="0"/>
          <w:szCs w:val="21"/>
        </w:rPr>
        <w:t>邮寄地址：深圳市南山区南海大道3688号 深圳大学汇星楼310室</w:t>
      </w:r>
    </w:p>
    <w:p>
      <w:pPr>
        <w:adjustRightInd w:val="0"/>
        <w:snapToGrid w:val="0"/>
        <w:spacing w:line="360" w:lineRule="auto"/>
        <w:ind w:firstLine="422" w:firstLineChars="200"/>
        <w:rPr>
          <w:rFonts w:ascii="宋体" w:hAnsi="宋体" w:cs="宋体"/>
          <w:b/>
          <w:kern w:val="0"/>
          <w:szCs w:val="21"/>
          <w:highlight w:val="yellow"/>
        </w:rPr>
      </w:pPr>
      <w:r>
        <w:rPr>
          <w:rFonts w:hint="eastAsia" w:ascii="宋体" w:hAnsi="宋体" w:cs="宋体"/>
          <w:b/>
          <w:kern w:val="0"/>
          <w:szCs w:val="21"/>
        </w:rPr>
        <w:t>收件人、联系方式：</w:t>
      </w:r>
      <w:r>
        <w:rPr>
          <w:rFonts w:hint="eastAsia" w:ascii="宋体" w:hAnsi="宋体" w:cs="宋体"/>
          <w:b/>
          <w:kern w:val="0"/>
          <w:szCs w:val="21"/>
          <w:highlight w:val="yellow"/>
        </w:rPr>
        <w:t>王老师  （0755）2655 3554</w:t>
      </w:r>
    </w:p>
    <w:p>
      <w:pPr>
        <w:adjustRightInd w:val="0"/>
        <w:snapToGrid w:val="0"/>
        <w:spacing w:line="360" w:lineRule="auto"/>
        <w:ind w:firstLine="420" w:firstLineChars="20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 xml:space="preserve">. 开标时间和地点 </w:t>
      </w:r>
    </w:p>
    <w:p>
      <w:pPr>
        <w:spacing w:line="360" w:lineRule="auto"/>
        <w:ind w:firstLine="420" w:firstLineChars="200"/>
        <w:rPr>
          <w:rFonts w:ascii="宋体" w:hAnsi="宋体" w:cs="宋体"/>
          <w:kern w:val="0"/>
          <w:szCs w:val="21"/>
          <w:highlight w:val="yellow"/>
        </w:rPr>
      </w:pPr>
      <w:r>
        <w:rPr>
          <w:rFonts w:hint="eastAsia" w:ascii="宋体" w:hAnsi="宋体" w:cs="宋体"/>
          <w:kern w:val="0"/>
          <w:szCs w:val="21"/>
        </w:rPr>
        <w:t>定于</w:t>
      </w:r>
      <w:r>
        <w:rPr>
          <w:rFonts w:hint="eastAsia" w:ascii="宋体" w:hAnsi="宋体" w:cs="宋体"/>
          <w:b/>
          <w:bCs/>
          <w:color w:val="FF0000"/>
          <w:kern w:val="0"/>
          <w:szCs w:val="21"/>
          <w:highlight w:val="yellow"/>
        </w:rPr>
        <w:t>202</w:t>
      </w:r>
      <w:r>
        <w:rPr>
          <w:rFonts w:hint="eastAsia" w:ascii="宋体" w:hAnsi="宋体" w:cs="宋体"/>
          <w:b/>
          <w:bCs/>
          <w:color w:val="FF0000"/>
          <w:kern w:val="0"/>
          <w:szCs w:val="21"/>
          <w:highlight w:val="yellow"/>
          <w:lang w:val="en-US" w:eastAsia="zh-CN"/>
        </w:rPr>
        <w:t>1</w:t>
      </w:r>
      <w:r>
        <w:rPr>
          <w:rFonts w:hint="eastAsia" w:ascii="宋体" w:hAnsi="宋体" w:cs="宋体"/>
          <w:b/>
          <w:bCs/>
          <w:color w:val="FF0000"/>
          <w:kern w:val="0"/>
          <w:szCs w:val="21"/>
          <w:highlight w:val="yellow"/>
        </w:rPr>
        <w:t>年</w:t>
      </w:r>
      <w:r>
        <w:rPr>
          <w:rFonts w:hint="eastAsia" w:ascii="宋体" w:hAnsi="宋体" w:cs="宋体"/>
          <w:b/>
          <w:bCs/>
          <w:color w:val="FF0000"/>
          <w:kern w:val="0"/>
          <w:szCs w:val="21"/>
          <w:highlight w:val="yellow"/>
          <w:lang w:val="en-US" w:eastAsia="zh-CN"/>
        </w:rPr>
        <w:t>3</w:t>
      </w:r>
      <w:r>
        <w:rPr>
          <w:rFonts w:hint="eastAsia" w:ascii="宋体" w:hAnsi="宋体" w:cs="宋体"/>
          <w:b/>
          <w:bCs/>
          <w:color w:val="FF0000"/>
          <w:kern w:val="0"/>
          <w:szCs w:val="21"/>
          <w:highlight w:val="yellow"/>
        </w:rPr>
        <w:t>月</w:t>
      </w:r>
      <w:r>
        <w:rPr>
          <w:rFonts w:hint="eastAsia" w:ascii="宋体" w:hAnsi="宋体" w:cs="宋体"/>
          <w:b/>
          <w:bCs/>
          <w:color w:val="FF0000"/>
          <w:kern w:val="0"/>
          <w:szCs w:val="21"/>
          <w:highlight w:val="yellow"/>
          <w:lang w:val="en-US" w:eastAsia="zh-CN"/>
        </w:rPr>
        <w:t>2</w:t>
      </w:r>
      <w:r>
        <w:rPr>
          <w:rFonts w:hint="eastAsia" w:ascii="宋体" w:hAnsi="宋体" w:cs="宋体"/>
          <w:b/>
          <w:bCs/>
          <w:color w:val="FF0000"/>
          <w:kern w:val="0"/>
          <w:szCs w:val="21"/>
          <w:highlight w:val="yellow"/>
        </w:rPr>
        <w:t>日</w:t>
      </w:r>
      <w:r>
        <w:rPr>
          <w:rFonts w:hint="eastAsia" w:ascii="宋体" w:hAnsi="宋体" w:cs="宋体"/>
          <w:b/>
          <w:bCs/>
          <w:color w:val="FF0000"/>
          <w:kern w:val="0"/>
          <w:szCs w:val="21"/>
          <w:highlight w:val="yellow"/>
          <w:lang w:val="en-US" w:eastAsia="zh-CN"/>
        </w:rPr>
        <w:t>9</w:t>
      </w:r>
      <w:r>
        <w:rPr>
          <w:rFonts w:hint="eastAsia" w:ascii="宋体" w:hAnsi="宋体" w:cs="宋体"/>
          <w:b/>
          <w:bCs/>
          <w:color w:val="FF0000"/>
          <w:kern w:val="0"/>
          <w:szCs w:val="21"/>
          <w:highlight w:val="yellow"/>
        </w:rPr>
        <w:t>：</w:t>
      </w:r>
      <w:r>
        <w:rPr>
          <w:rFonts w:hint="eastAsia" w:ascii="宋体" w:hAnsi="宋体" w:cs="宋体"/>
          <w:b/>
          <w:bCs/>
          <w:color w:val="FF0000"/>
          <w:kern w:val="0"/>
          <w:szCs w:val="21"/>
          <w:highlight w:val="yellow"/>
          <w:lang w:val="en-US" w:eastAsia="zh-CN"/>
        </w:rPr>
        <w:t>3</w:t>
      </w:r>
      <w:r>
        <w:rPr>
          <w:rFonts w:ascii="宋体" w:hAnsi="宋体" w:cs="宋体"/>
          <w:b/>
          <w:bCs/>
          <w:color w:val="FF0000"/>
          <w:kern w:val="0"/>
          <w:szCs w:val="21"/>
          <w:highlight w:val="yellow"/>
        </w:rPr>
        <w:t>0</w:t>
      </w:r>
      <w:r>
        <w:rPr>
          <w:rFonts w:hint="eastAsia" w:ascii="宋体" w:hAnsi="宋体" w:cs="宋体"/>
          <w:b/>
          <w:bCs/>
          <w:color w:val="FF0000"/>
          <w:kern w:val="0"/>
          <w:szCs w:val="21"/>
          <w:highlight w:val="yellow"/>
        </w:rPr>
        <w:t>时</w:t>
      </w:r>
      <w:r>
        <w:rPr>
          <w:rFonts w:hint="eastAsia" w:ascii="宋体" w:hAnsi="宋体" w:cs="宋体"/>
          <w:kern w:val="0"/>
          <w:szCs w:val="21"/>
        </w:rPr>
        <w:t>，在深圳市深大体育文化发展有限公司公开开标。地点：深圳市南山区南海大道3688号 深圳大学汇星楼310室。</w:t>
      </w:r>
      <w:r>
        <w:rPr>
          <w:rFonts w:hint="eastAsia"/>
          <w:color w:val="000000"/>
          <w:kern w:val="0"/>
          <w:szCs w:val="21"/>
          <w:highlight w:val="yellow"/>
        </w:rPr>
        <w:t>出于疫情防控需要，此项目不邀请投标代表出席开标。</w:t>
      </w:r>
    </w:p>
    <w:p>
      <w:pPr>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已经购买招标文件的潜在投标人，若不参加投标应在开标截止日前3天以书面形式通知深圳市深大体育文化发展有限公司。</w:t>
      </w:r>
    </w:p>
    <w:p>
      <w:pPr>
        <w:spacing w:line="360" w:lineRule="auto"/>
        <w:rPr>
          <w:rFonts w:ascii="宋体" w:hAnsi="宋体" w:cs="宋体"/>
          <w:kern w:val="0"/>
          <w:szCs w:val="21"/>
        </w:rPr>
      </w:pPr>
    </w:p>
    <w:p>
      <w:pPr>
        <w:spacing w:line="360" w:lineRule="auto"/>
        <w:rPr>
          <w:rFonts w:ascii="宋体" w:hAnsi="宋体" w:cs="宋体"/>
          <w:kern w:val="0"/>
          <w:szCs w:val="21"/>
        </w:rPr>
      </w:pPr>
      <w:r>
        <w:rPr>
          <w:rFonts w:hint="eastAsia" w:ascii="宋体" w:hAnsi="宋体" w:cs="宋体"/>
          <w:kern w:val="0"/>
          <w:szCs w:val="21"/>
        </w:rPr>
        <w:t>七、重要提示：</w:t>
      </w:r>
    </w:p>
    <w:p>
      <w:pPr>
        <w:spacing w:line="360" w:lineRule="auto"/>
        <w:ind w:firstLine="420" w:firstLineChars="200"/>
        <w:rPr>
          <w:rFonts w:ascii="宋体" w:hAnsi="宋体" w:cs="宋体"/>
          <w:kern w:val="0"/>
          <w:szCs w:val="21"/>
        </w:rPr>
      </w:pPr>
      <w:r>
        <w:rPr>
          <w:rFonts w:hint="eastAsia" w:ascii="宋体" w:hAnsi="宋体" w:cs="宋体"/>
          <w:kern w:val="0"/>
          <w:szCs w:val="21"/>
        </w:rPr>
        <w:t>1. 深圳市深大体育文化发展有限公司有权对所有投标供应商就本项目招标文件要求提供的相关证明材料（原件）进行审查。供应商提供虚假资料被查实的，则可能面临被取消本项目中标资格、列入不良行为记录名单和三年内禁止参与深圳市深大体育文化发展有限公司采购活动的风险。</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2. 本招标公告及本项目招标文件所涉及的时间一律为北京时间。投标人有义务在招标活动期间浏览网站（http://bidding.szu.edu.cn），在上面公布的与本次招标项目有关的信息视为已送达各投标人。 </w:t>
      </w:r>
    </w:p>
    <w:p>
      <w:pPr>
        <w:jc w:val="right"/>
        <w:rPr>
          <w:sz w:val="24"/>
        </w:rPr>
      </w:pPr>
      <w:r>
        <w:rPr>
          <w:sz w:val="24"/>
        </w:rPr>
        <w:br w:type="page"/>
      </w:r>
    </w:p>
    <w:p>
      <w:pPr>
        <w:pStyle w:val="2"/>
        <w:numPr>
          <w:ilvl w:val="0"/>
          <w:numId w:val="3"/>
        </w:numPr>
        <w:rPr>
          <w:rFonts w:hint="eastAsia" w:ascii="华文新魏" w:hAnsi="华文新魏" w:eastAsia="华文新魏" w:cs="华文新魏"/>
          <w:b/>
          <w:bCs w:val="0"/>
          <w:sz w:val="44"/>
          <w:szCs w:val="32"/>
        </w:rPr>
      </w:pPr>
      <w:r>
        <w:rPr>
          <w:rFonts w:hint="eastAsia" w:ascii="华文新魏" w:hAnsi="华文新魏" w:eastAsia="华文新魏" w:cs="华文新魏"/>
          <w:b/>
          <w:bCs w:val="0"/>
          <w:sz w:val="44"/>
          <w:szCs w:val="32"/>
        </w:rPr>
        <w:t xml:space="preserve"> 招标项目需求</w:t>
      </w:r>
    </w:p>
    <w:p>
      <w:pPr>
        <w:numPr>
          <w:ilvl w:val="0"/>
          <w:numId w:val="0"/>
        </w:numPr>
      </w:pPr>
    </w:p>
    <w:p>
      <w:pPr>
        <w:rPr>
          <w:b/>
          <w:color w:val="FF0000"/>
        </w:rPr>
      </w:pPr>
    </w:p>
    <w:p>
      <w:pPr>
        <w:pStyle w:val="2"/>
        <w:numPr>
          <w:ilvl w:val="0"/>
          <w:numId w:val="4"/>
        </w:numPr>
        <w:spacing w:before="120" w:beforeLines="50" w:after="120" w:afterLines="50" w:line="360" w:lineRule="auto"/>
      </w:pPr>
      <w:bookmarkStart w:id="0" w:name="_Toc60631620"/>
      <w:bookmarkStart w:id="1" w:name="_Toc101074876"/>
      <w:bookmarkStart w:id="2" w:name="_Toc60560625"/>
      <w:bookmarkStart w:id="3" w:name="_Toc73521547"/>
      <w:bookmarkStart w:id="4" w:name="_Toc100052364"/>
      <w:bookmarkStart w:id="5" w:name="_Toc73518117"/>
      <w:bookmarkStart w:id="6" w:name="_Toc73521635"/>
      <w:bookmarkStart w:id="7" w:name="_Toc73517639"/>
      <w:r>
        <w:rPr>
          <w:rFonts w:hint="eastAsia"/>
          <w:b/>
          <w:bCs w:val="0"/>
          <w:sz w:val="28"/>
          <w:szCs w:val="28"/>
        </w:rPr>
        <w:t>对通用条款的补充内容</w:t>
      </w:r>
    </w:p>
    <w:bookmarkEnd w:id="0"/>
    <w:bookmarkEnd w:id="1"/>
    <w:bookmarkEnd w:id="2"/>
    <w:bookmarkEnd w:id="3"/>
    <w:bookmarkEnd w:id="4"/>
    <w:bookmarkEnd w:id="5"/>
    <w:bookmarkEnd w:id="6"/>
    <w:bookmarkEnd w:id="7"/>
    <w:tbl>
      <w:tblPr>
        <w:tblStyle w:val="5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07" w:type="dxa"/>
            <w:vAlign w:val="center"/>
          </w:tcPr>
          <w:p>
            <w:pPr>
              <w:adjustRightInd w:val="0"/>
              <w:snapToGrid w:val="0"/>
              <w:spacing w:line="360" w:lineRule="auto"/>
              <w:jc w:val="center"/>
              <w:rPr>
                <w:b/>
                <w:bCs/>
                <w:szCs w:val="21"/>
              </w:rPr>
            </w:pPr>
            <w:r>
              <w:rPr>
                <w:b/>
                <w:bCs/>
                <w:szCs w:val="21"/>
              </w:rPr>
              <w:t>序号</w:t>
            </w:r>
          </w:p>
        </w:tc>
        <w:tc>
          <w:tcPr>
            <w:tcW w:w="2160" w:type="dxa"/>
            <w:vAlign w:val="center"/>
          </w:tcPr>
          <w:p>
            <w:pPr>
              <w:adjustRightInd w:val="0"/>
              <w:snapToGrid w:val="0"/>
              <w:spacing w:line="360" w:lineRule="auto"/>
              <w:jc w:val="center"/>
              <w:rPr>
                <w:b/>
                <w:bCs/>
                <w:szCs w:val="21"/>
              </w:rPr>
            </w:pPr>
            <w:r>
              <w:rPr>
                <w:b/>
                <w:bCs/>
                <w:szCs w:val="21"/>
              </w:rPr>
              <w:t>内   容</w:t>
            </w:r>
          </w:p>
        </w:tc>
        <w:tc>
          <w:tcPr>
            <w:tcW w:w="5400" w:type="dxa"/>
            <w:vAlign w:val="center"/>
          </w:tcPr>
          <w:p>
            <w:pPr>
              <w:adjustRightInd w:val="0"/>
              <w:snapToGrid w:val="0"/>
              <w:spacing w:line="360" w:lineRule="auto"/>
              <w:jc w:val="center"/>
              <w:rPr>
                <w:b/>
                <w:bCs/>
                <w:szCs w:val="21"/>
              </w:rPr>
            </w:pPr>
            <w:r>
              <w:rPr>
                <w:b/>
                <w:bCs/>
                <w:szCs w:val="21"/>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07" w:type="dxa"/>
            <w:vAlign w:val="center"/>
          </w:tcPr>
          <w:p>
            <w:pPr>
              <w:adjustRightInd w:val="0"/>
              <w:snapToGrid w:val="0"/>
              <w:spacing w:line="360" w:lineRule="auto"/>
              <w:jc w:val="center"/>
              <w:rPr>
                <w:szCs w:val="21"/>
              </w:rPr>
            </w:pPr>
            <w:r>
              <w:rPr>
                <w:szCs w:val="21"/>
              </w:rPr>
              <w:t>1</w:t>
            </w:r>
          </w:p>
        </w:tc>
        <w:tc>
          <w:tcPr>
            <w:tcW w:w="2160" w:type="dxa"/>
            <w:vAlign w:val="center"/>
          </w:tcPr>
          <w:p>
            <w:pPr>
              <w:adjustRightInd w:val="0"/>
              <w:snapToGrid w:val="0"/>
              <w:spacing w:line="360" w:lineRule="auto"/>
              <w:rPr>
                <w:szCs w:val="21"/>
              </w:rPr>
            </w:pPr>
            <w:r>
              <w:rPr>
                <w:szCs w:val="21"/>
              </w:rPr>
              <w:t>联合体投标</w:t>
            </w:r>
          </w:p>
        </w:tc>
        <w:tc>
          <w:tcPr>
            <w:tcW w:w="5400" w:type="dxa"/>
            <w:vAlign w:val="center"/>
          </w:tcPr>
          <w:p>
            <w:pPr>
              <w:adjustRightInd w:val="0"/>
              <w:snapToGrid w:val="0"/>
              <w:spacing w:line="360" w:lineRule="auto"/>
              <w:rPr>
                <w:snapToGrid w:val="0"/>
                <w:kern w:val="0"/>
                <w:szCs w:val="21"/>
                <w:lang w:val="zh-CN"/>
              </w:rPr>
            </w:pPr>
            <w:r>
              <w:rPr>
                <w:snapToGrid w:val="0"/>
                <w:kern w:val="0"/>
                <w:szCs w:val="21"/>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07" w:type="dxa"/>
            <w:vAlign w:val="center"/>
          </w:tcPr>
          <w:p>
            <w:pPr>
              <w:adjustRightInd w:val="0"/>
              <w:snapToGrid w:val="0"/>
              <w:spacing w:line="360" w:lineRule="auto"/>
              <w:jc w:val="center"/>
              <w:rPr>
                <w:szCs w:val="21"/>
              </w:rPr>
            </w:pPr>
            <w:r>
              <w:rPr>
                <w:szCs w:val="21"/>
              </w:rPr>
              <w:t>2</w:t>
            </w:r>
          </w:p>
        </w:tc>
        <w:tc>
          <w:tcPr>
            <w:tcW w:w="2160" w:type="dxa"/>
            <w:vAlign w:val="center"/>
          </w:tcPr>
          <w:p>
            <w:pPr>
              <w:adjustRightInd w:val="0"/>
              <w:snapToGrid w:val="0"/>
              <w:spacing w:line="360" w:lineRule="auto"/>
              <w:rPr>
                <w:szCs w:val="21"/>
              </w:rPr>
            </w:pPr>
            <w:r>
              <w:rPr>
                <w:szCs w:val="21"/>
              </w:rPr>
              <w:t>投标有效期</w:t>
            </w:r>
          </w:p>
        </w:tc>
        <w:tc>
          <w:tcPr>
            <w:tcW w:w="5400" w:type="dxa"/>
            <w:vAlign w:val="center"/>
          </w:tcPr>
          <w:p>
            <w:pPr>
              <w:adjustRightInd w:val="0"/>
              <w:snapToGrid w:val="0"/>
              <w:spacing w:line="360" w:lineRule="auto"/>
              <w:rPr>
                <w:szCs w:val="21"/>
              </w:rPr>
            </w:pPr>
            <w:r>
              <w:rPr>
                <w:rFonts w:hint="eastAsia"/>
                <w:b/>
                <w:bCs/>
                <w:color w:val="FF0000"/>
                <w:szCs w:val="21"/>
                <w:u w:val="single"/>
              </w:rPr>
              <w:t>120</w:t>
            </w:r>
            <w:r>
              <w:rPr>
                <w:szCs w:val="21"/>
                <w:u w:val="single"/>
              </w:rPr>
              <w:t>日历天</w:t>
            </w:r>
            <w:r>
              <w:rPr>
                <w:szCs w:val="21"/>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3</w:t>
            </w:r>
          </w:p>
        </w:tc>
        <w:tc>
          <w:tcPr>
            <w:tcW w:w="216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szCs w:val="21"/>
              </w:rPr>
            </w:pPr>
            <w:r>
              <w:rPr>
                <w:szCs w:val="21"/>
              </w:rPr>
              <w:t>投标文件的投递</w:t>
            </w:r>
          </w:p>
        </w:tc>
        <w:tc>
          <w:tcPr>
            <w:tcW w:w="5400"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szCs w:val="21"/>
              </w:rPr>
            </w:pPr>
            <w:r>
              <w:t>投标人必须在招标文件规定的投标截止时间前将密封的投标文件</w:t>
            </w:r>
            <w:r>
              <w:rPr>
                <w:color w:val="FF0000"/>
              </w:rPr>
              <w:t>邮寄</w:t>
            </w:r>
            <w:r>
              <w:t>到深圳</w:t>
            </w:r>
            <w:r>
              <w:rPr>
                <w:rFonts w:hint="eastAsia"/>
              </w:rPr>
              <w:t>市深大体育文化发展有限公司</w:t>
            </w:r>
            <w:r>
              <w:t>（</w:t>
            </w:r>
            <w:r>
              <w:rPr>
                <w:color w:val="FF0000"/>
              </w:rPr>
              <w:t>以快递到达时间为准</w:t>
            </w:r>
            <w: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4</w:t>
            </w:r>
          </w:p>
        </w:tc>
        <w:tc>
          <w:tcPr>
            <w:tcW w:w="216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szCs w:val="21"/>
              </w:rPr>
            </w:pPr>
            <w:r>
              <w:rPr>
                <w:szCs w:val="21"/>
              </w:rPr>
              <w:t>履约担保金额</w:t>
            </w:r>
          </w:p>
        </w:tc>
        <w:tc>
          <w:tcPr>
            <w:tcW w:w="5400"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szCs w:val="21"/>
              </w:rPr>
            </w:pPr>
            <w:r>
              <w:rPr>
                <w:rFonts w:hint="eastAsia"/>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5</w:t>
            </w:r>
          </w:p>
        </w:tc>
        <w:tc>
          <w:tcPr>
            <w:tcW w:w="216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szCs w:val="21"/>
              </w:rPr>
            </w:pPr>
            <w:r>
              <w:rPr>
                <w:szCs w:val="21"/>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szCs w:val="21"/>
              </w:rPr>
            </w:pPr>
            <w:r>
              <w:rPr>
                <w:rFonts w:hint="eastAsia"/>
                <w:szCs w:val="21"/>
              </w:rPr>
              <w:t>投标文件正本</w:t>
            </w:r>
            <w:r>
              <w:rPr>
                <w:rFonts w:hint="eastAsia"/>
                <w:b/>
                <w:bCs/>
                <w:color w:val="FF0000"/>
                <w:szCs w:val="21"/>
              </w:rPr>
              <w:t>一</w:t>
            </w:r>
            <w:r>
              <w:rPr>
                <w:rFonts w:hint="eastAsia"/>
                <w:szCs w:val="21"/>
              </w:rPr>
              <w:t xml:space="preserve">份，副本 </w:t>
            </w:r>
            <w:r>
              <w:rPr>
                <w:rFonts w:hint="eastAsia"/>
                <w:b/>
                <w:bCs/>
                <w:color w:val="FF0000"/>
                <w:szCs w:val="21"/>
              </w:rPr>
              <w:t>四</w:t>
            </w:r>
            <w:r>
              <w:rPr>
                <w:rFonts w:hint="eastAsia"/>
                <w:szCs w:val="21"/>
              </w:rPr>
              <w:t xml:space="preserve"> 份，份数不足按废标处理。</w:t>
            </w:r>
          </w:p>
          <w:p>
            <w:pPr>
              <w:adjustRightInd w:val="0"/>
              <w:snapToGrid w:val="0"/>
              <w:spacing w:line="360" w:lineRule="auto"/>
              <w:rPr>
                <w:szCs w:val="21"/>
              </w:rPr>
            </w:pPr>
            <w:r>
              <w:rPr>
                <w:rFonts w:hint="eastAsia"/>
                <w:szCs w:val="21"/>
              </w:rPr>
              <w:t>投标文件采用A4版胶印装订，不得采用活页夹装订，投标文件中的任何一页不能是裁剪粘贴式的，否则按废标处理。</w:t>
            </w:r>
          </w:p>
          <w:p>
            <w:pPr>
              <w:adjustRightInd w:val="0"/>
              <w:snapToGrid w:val="0"/>
              <w:spacing w:line="360" w:lineRule="auto"/>
              <w:rPr>
                <w:szCs w:val="21"/>
              </w:rPr>
            </w:pPr>
            <w:r>
              <w:rPr>
                <w:rFonts w:hint="eastAsia"/>
                <w:szCs w:val="21"/>
              </w:rPr>
              <w:t>需要将投标一览表另外再单独密封一份提交。</w:t>
            </w:r>
          </w:p>
        </w:tc>
      </w:tr>
    </w:tbl>
    <w:p>
      <w:pPr>
        <w:spacing w:line="480" w:lineRule="auto"/>
        <w:rPr>
          <w:b/>
          <w:color w:val="FF0000"/>
        </w:rPr>
      </w:pPr>
      <w:r>
        <w:rPr>
          <w:rFonts w:hint="eastAsia"/>
          <w:szCs w:val="21"/>
        </w:rPr>
        <w:t>备注：本表为通用条款相关内容的补充和明确，如与通用条款相冲突的以本表为准。</w:t>
      </w:r>
    </w:p>
    <w:p>
      <w:pPr>
        <w:spacing w:line="360" w:lineRule="auto"/>
        <w:rPr>
          <w:b/>
          <w:color w:val="FF0000"/>
        </w:rPr>
      </w:pPr>
    </w:p>
    <w:p>
      <w:pPr>
        <w:pStyle w:val="2"/>
        <w:spacing w:line="360" w:lineRule="auto"/>
      </w:pPr>
    </w:p>
    <w:p>
      <w:pPr>
        <w:pStyle w:val="2"/>
        <w:spacing w:before="120" w:beforeLines="50" w:after="120" w:afterLines="50" w:line="360" w:lineRule="auto"/>
        <w:rPr>
          <w:b/>
          <w:bCs w:val="0"/>
          <w:sz w:val="28"/>
          <w:szCs w:val="28"/>
        </w:rPr>
      </w:pPr>
      <w:bookmarkStart w:id="8" w:name="_Toc128884461"/>
      <w:r>
        <w:rPr>
          <w:rFonts w:hint="eastAsia"/>
          <w:b/>
          <w:bCs w:val="0"/>
          <w:sz w:val="28"/>
          <w:szCs w:val="28"/>
        </w:rPr>
        <w:t>二、招标项目概况</w:t>
      </w:r>
      <w:bookmarkEnd w:id="8"/>
    </w:p>
    <w:p>
      <w:pPr>
        <w:adjustRightInd w:val="0"/>
        <w:snapToGrid w:val="0"/>
        <w:spacing w:line="360" w:lineRule="auto"/>
        <w:ind w:firstLine="420" w:firstLineChars="200"/>
        <w:rPr>
          <w:szCs w:val="21"/>
        </w:rPr>
      </w:pPr>
      <w:r>
        <w:rPr>
          <w:szCs w:val="21"/>
        </w:rPr>
        <w:t>1、项目概况</w:t>
      </w:r>
    </w:p>
    <w:p>
      <w:pPr>
        <w:adjustRightInd w:val="0"/>
        <w:snapToGrid w:val="0"/>
        <w:spacing w:line="360" w:lineRule="auto"/>
        <w:ind w:firstLine="420" w:firstLineChars="200"/>
        <w:rPr>
          <w:rFonts w:hint="eastAsia" w:ascii="宋体" w:hAnsi="宋体" w:cs="宋体"/>
          <w:b/>
          <w:bCs/>
          <w:color w:val="FF0000"/>
          <w:kern w:val="0"/>
          <w:szCs w:val="21"/>
          <w:highlight w:val="none"/>
          <w:lang w:eastAsia="zh-CN"/>
        </w:rPr>
      </w:pPr>
      <w:r>
        <w:rPr>
          <w:szCs w:val="21"/>
        </w:rPr>
        <w:t>主要工程内容有：</w:t>
      </w:r>
      <w:r>
        <w:rPr>
          <w:rFonts w:hint="eastAsia" w:ascii="宋体" w:hAnsi="宋体" w:cs="宋体"/>
          <w:b/>
          <w:bCs/>
          <w:color w:val="FF0000"/>
          <w:kern w:val="0"/>
          <w:szCs w:val="21"/>
          <w:highlight w:val="none"/>
          <w:lang w:eastAsia="zh-CN"/>
        </w:rPr>
        <w:t>铺设运动地胶、铺设悬浮式拼装地板、边角修整等。</w:t>
      </w:r>
    </w:p>
    <w:p>
      <w:pPr>
        <w:adjustRightInd w:val="0"/>
        <w:snapToGrid w:val="0"/>
        <w:spacing w:line="360" w:lineRule="auto"/>
        <w:ind w:firstLine="420" w:firstLineChars="200"/>
        <w:rPr>
          <w:szCs w:val="21"/>
        </w:rPr>
      </w:pPr>
      <w:r>
        <w:rPr>
          <w:szCs w:val="21"/>
          <w:highlight w:val="none"/>
        </w:rPr>
        <w:t>2</w:t>
      </w:r>
      <w:r>
        <w:rPr>
          <w:szCs w:val="21"/>
        </w:rPr>
        <w:t>、采购人：</w:t>
      </w:r>
      <w:r>
        <w:rPr>
          <w:rFonts w:hint="eastAsia"/>
          <w:szCs w:val="21"/>
        </w:rPr>
        <w:t>深圳市深大体育文化发展有限公司</w:t>
      </w:r>
    </w:p>
    <w:p>
      <w:pPr>
        <w:adjustRightInd w:val="0"/>
        <w:snapToGrid w:val="0"/>
        <w:spacing w:line="360" w:lineRule="auto"/>
        <w:ind w:firstLine="420" w:firstLineChars="200"/>
        <w:rPr>
          <w:szCs w:val="21"/>
          <w:highlight w:val="yellow"/>
        </w:rPr>
      </w:pPr>
      <w:r>
        <w:rPr>
          <w:szCs w:val="21"/>
          <w:highlight w:val="yellow"/>
        </w:rPr>
        <w:t>3、工期要求：</w:t>
      </w:r>
      <w:r>
        <w:rPr>
          <w:rFonts w:hint="eastAsia"/>
          <w:szCs w:val="21"/>
          <w:highlight w:val="yellow"/>
        </w:rPr>
        <w:t>总工期为</w:t>
      </w:r>
      <w:r>
        <w:rPr>
          <w:rFonts w:hint="eastAsia"/>
          <w:b/>
          <w:bCs/>
          <w:color w:val="auto"/>
          <w:szCs w:val="21"/>
          <w:highlight w:val="yellow"/>
          <w:lang w:val="en-US" w:eastAsia="zh-CN"/>
        </w:rPr>
        <w:t>1</w:t>
      </w:r>
      <w:r>
        <w:rPr>
          <w:rFonts w:hint="eastAsia"/>
          <w:b/>
          <w:bCs/>
          <w:color w:val="auto"/>
          <w:szCs w:val="21"/>
          <w:highlight w:val="yellow"/>
        </w:rPr>
        <w:t>5</w:t>
      </w:r>
      <w:r>
        <w:rPr>
          <w:rFonts w:hint="eastAsia"/>
          <w:szCs w:val="21"/>
          <w:highlight w:val="yellow"/>
        </w:rPr>
        <w:t>天以内，具体开工时间以</w:t>
      </w:r>
      <w:r>
        <w:rPr>
          <w:rFonts w:hint="eastAsia"/>
          <w:szCs w:val="21"/>
          <w:highlight w:val="yellow"/>
          <w:lang w:eastAsia="zh-CN"/>
        </w:rPr>
        <w:t>采购</w:t>
      </w:r>
      <w:r>
        <w:rPr>
          <w:rFonts w:hint="eastAsia"/>
          <w:szCs w:val="21"/>
          <w:highlight w:val="yellow"/>
        </w:rPr>
        <w:t>方通知为准。</w:t>
      </w:r>
    </w:p>
    <w:p>
      <w:pPr>
        <w:pStyle w:val="7"/>
        <w:adjustRightInd w:val="0"/>
        <w:snapToGrid w:val="0"/>
        <w:spacing w:line="360" w:lineRule="auto"/>
        <w:ind w:firstLine="392" w:firstLineChars="187"/>
        <w:rPr>
          <w:rFonts w:hint="eastAsia"/>
          <w:szCs w:val="21"/>
          <w:lang w:val="en-US" w:eastAsia="zh-CN"/>
        </w:rPr>
      </w:pPr>
    </w:p>
    <w:p>
      <w:pPr>
        <w:pStyle w:val="7"/>
        <w:adjustRightInd w:val="0"/>
        <w:snapToGrid w:val="0"/>
        <w:spacing w:line="360" w:lineRule="auto"/>
        <w:ind w:firstLine="392" w:firstLineChars="187"/>
        <w:rPr>
          <w:szCs w:val="21"/>
        </w:rPr>
      </w:pPr>
    </w:p>
    <w:p>
      <w:pPr>
        <w:pStyle w:val="7"/>
        <w:adjustRightInd w:val="0"/>
        <w:snapToGrid w:val="0"/>
        <w:spacing w:line="360" w:lineRule="auto"/>
        <w:ind w:firstLine="392" w:firstLineChars="187"/>
        <w:rPr>
          <w:szCs w:val="21"/>
        </w:rPr>
      </w:pPr>
    </w:p>
    <w:p>
      <w:pPr>
        <w:pStyle w:val="7"/>
        <w:spacing w:before="60" w:beforeLines="25" w:after="60" w:afterLines="25"/>
        <w:ind w:left="0" w:leftChars="0" w:firstLine="0" w:firstLineChars="0"/>
        <w:rPr>
          <w:szCs w:val="21"/>
        </w:rPr>
      </w:pPr>
    </w:p>
    <w:p>
      <w:pPr>
        <w:pStyle w:val="2"/>
        <w:numPr>
          <w:ilvl w:val="0"/>
          <w:numId w:val="5"/>
        </w:numPr>
        <w:spacing w:before="120" w:beforeLines="50" w:after="120" w:afterLines="50" w:line="360" w:lineRule="auto"/>
      </w:pPr>
      <w:r>
        <w:rPr>
          <w:rFonts w:ascii="Times New Roman" w:hAnsi="Times New Roman"/>
          <w:b/>
          <w:bCs w:val="0"/>
          <w:sz w:val="28"/>
          <w:szCs w:val="28"/>
        </w:rPr>
        <w:t>项目技术要求</w:t>
      </w:r>
    </w:p>
    <w:p>
      <w:pPr>
        <w:numPr>
          <w:ilvl w:val="0"/>
          <w:numId w:val="6"/>
        </w:numPr>
        <w:adjustRightInd w:val="0"/>
        <w:snapToGrid w:val="0"/>
        <w:spacing w:line="360" w:lineRule="auto"/>
        <w:ind w:firstLine="210" w:firstLineChars="100"/>
        <w:rPr>
          <w:rFonts w:hint="eastAsia" w:ascii="宋体" w:hAnsi="宋体" w:cs="宋体"/>
          <w:b/>
          <w:bCs/>
          <w:color w:val="FF0000"/>
          <w:kern w:val="0"/>
          <w:szCs w:val="21"/>
          <w:highlight w:val="none"/>
          <w:lang w:eastAsia="zh-CN"/>
        </w:rPr>
      </w:pPr>
      <w:r>
        <w:rPr>
          <w:szCs w:val="21"/>
        </w:rPr>
        <w:t>主要工作：</w:t>
      </w:r>
      <w:r>
        <w:rPr>
          <w:rFonts w:hint="eastAsia" w:ascii="宋体" w:hAnsi="宋体" w:cs="宋体"/>
          <w:b/>
          <w:bCs/>
          <w:color w:val="FF0000"/>
          <w:kern w:val="0"/>
          <w:szCs w:val="21"/>
          <w:highlight w:val="none"/>
          <w:lang w:eastAsia="zh-CN"/>
        </w:rPr>
        <w:t>铺设运动地胶、铺设悬浮式拼装地板、边角修整等。</w:t>
      </w:r>
    </w:p>
    <w:p>
      <w:pPr>
        <w:pStyle w:val="2"/>
        <w:numPr>
          <w:ilvl w:val="0"/>
          <w:numId w:val="0"/>
        </w:numPr>
        <w:jc w:val="both"/>
      </w:pPr>
    </w:p>
    <w:p>
      <w:pPr>
        <w:rPr>
          <w:rFonts w:hint="eastAsia"/>
          <w:b w:val="0"/>
          <w:bCs w:val="0"/>
          <w:sz w:val="24"/>
          <w:szCs w:val="22"/>
          <w:lang w:val="en-US" w:eastAsia="zh-CN"/>
        </w:rPr>
      </w:pPr>
    </w:p>
    <w:p>
      <w:pPr>
        <w:rPr>
          <w:rFonts w:hint="eastAsia"/>
          <w:b w:val="0"/>
          <w:bCs w:val="0"/>
          <w:sz w:val="24"/>
          <w:szCs w:val="22"/>
          <w:lang w:eastAsia="zh-CN"/>
        </w:rPr>
      </w:pPr>
      <w:r>
        <w:rPr>
          <w:rFonts w:hint="eastAsia"/>
          <w:b w:val="0"/>
          <w:bCs w:val="0"/>
          <w:sz w:val="24"/>
          <w:szCs w:val="22"/>
          <w:lang w:val="en-US" w:eastAsia="zh-CN"/>
        </w:rPr>
        <w:t>1、</w:t>
      </w:r>
      <w:r>
        <w:rPr>
          <w:rFonts w:hint="eastAsia"/>
          <w:b w:val="0"/>
          <w:bCs w:val="0"/>
          <w:sz w:val="24"/>
          <w:szCs w:val="22"/>
          <w:lang w:eastAsia="zh-CN"/>
        </w:rPr>
        <w:t>货物需求一览表及技术规格</w:t>
      </w:r>
    </w:p>
    <w:p>
      <w:pPr>
        <w:pStyle w:val="2"/>
      </w:pPr>
    </w:p>
    <w:tbl>
      <w:tblPr>
        <w:tblStyle w:val="54"/>
        <w:tblW w:w="4981" w:type="pct"/>
        <w:tblInd w:w="0" w:type="dxa"/>
        <w:tblLayout w:type="fixed"/>
        <w:tblCellMar>
          <w:top w:w="0" w:type="dxa"/>
          <w:left w:w="108" w:type="dxa"/>
          <w:bottom w:w="0" w:type="dxa"/>
          <w:right w:w="108" w:type="dxa"/>
        </w:tblCellMar>
      </w:tblPr>
      <w:tblGrid>
        <w:gridCol w:w="1392"/>
        <w:gridCol w:w="5701"/>
        <w:gridCol w:w="779"/>
        <w:gridCol w:w="625"/>
      </w:tblGrid>
      <w:tr>
        <w:tblPrEx>
          <w:tblCellMar>
            <w:top w:w="0" w:type="dxa"/>
            <w:left w:w="108" w:type="dxa"/>
            <w:bottom w:w="0" w:type="dxa"/>
            <w:right w:w="108" w:type="dxa"/>
          </w:tblCellMar>
        </w:tblPrEx>
        <w:trPr>
          <w:trHeight w:val="510" w:hRule="atLeast"/>
        </w:trPr>
        <w:tc>
          <w:tcPr>
            <w:tcW w:w="8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35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参数要求</w:t>
            </w:r>
          </w:p>
        </w:tc>
        <w:tc>
          <w:tcPr>
            <w:tcW w:w="45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单位</w:t>
            </w:r>
          </w:p>
        </w:tc>
        <w:tc>
          <w:tcPr>
            <w:tcW w:w="36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数量</w:t>
            </w:r>
          </w:p>
        </w:tc>
      </w:tr>
      <w:tr>
        <w:tblPrEx>
          <w:tblCellMar>
            <w:top w:w="0" w:type="dxa"/>
            <w:left w:w="108" w:type="dxa"/>
            <w:bottom w:w="0" w:type="dxa"/>
            <w:right w:w="108" w:type="dxa"/>
          </w:tblCellMar>
        </w:tblPrEx>
        <w:trPr>
          <w:trHeight w:val="90" w:hRule="atLeast"/>
        </w:trPr>
        <w:tc>
          <w:tcPr>
            <w:tcW w:w="819" w:type="pct"/>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乒乓</w:t>
            </w:r>
            <w:r>
              <w:rPr>
                <w:rFonts w:hint="eastAsia" w:ascii="宋体" w:hAnsi="宋体" w:cs="宋体"/>
                <w:color w:val="000000"/>
                <w:kern w:val="0"/>
                <w:sz w:val="18"/>
                <w:szCs w:val="18"/>
              </w:rPr>
              <w:t>球地胶</w:t>
            </w:r>
          </w:p>
        </w:tc>
        <w:tc>
          <w:tcPr>
            <w:tcW w:w="3354" w:type="pct"/>
            <w:tcBorders>
              <w:top w:val="nil"/>
              <w:left w:val="nil"/>
              <w:bottom w:val="single" w:color="auto" w:sz="4" w:space="0"/>
              <w:right w:val="single" w:color="auto" w:sz="4" w:space="0"/>
            </w:tcBorders>
            <w:noWrap w:val="0"/>
            <w:vAlign w:val="center"/>
          </w:tcPr>
          <w:p>
            <w:pPr>
              <w:widowControl/>
              <w:numPr>
                <w:ilvl w:val="0"/>
                <w:numId w:val="0"/>
              </w:numPr>
              <w:spacing w:line="360" w:lineRule="auto"/>
              <w:jc w:val="left"/>
              <w:rPr>
                <w:rFonts w:hint="eastAsia" w:ascii="宋体" w:hAnsi="宋体" w:eastAsia="宋体" w:cs="宋体"/>
                <w:b w:val="0"/>
                <w:bCs/>
                <w:sz w:val="20"/>
                <w:szCs w:val="20"/>
                <w:lang w:val="en-US" w:eastAsia="zh-CN"/>
              </w:rPr>
            </w:pPr>
            <w:r>
              <w:rPr>
                <w:rFonts w:hint="eastAsia" w:ascii="新宋体" w:hAnsi="新宋体" w:eastAsia="新宋体" w:cs="宋体"/>
                <w:sz w:val="16"/>
                <w:szCs w:val="16"/>
                <w:lang w:eastAsia="zh-CN"/>
              </w:rPr>
              <w:t>一、</w:t>
            </w:r>
            <w:r>
              <w:rPr>
                <w:rFonts w:hint="eastAsia" w:ascii="新宋体" w:hAnsi="新宋体" w:eastAsia="新宋体" w:cs="宋体"/>
                <w:sz w:val="16"/>
                <w:szCs w:val="16"/>
              </w:rPr>
              <w:t>技术参数要求</w:t>
            </w:r>
            <w:r>
              <w:rPr>
                <w:rFonts w:hint="eastAsia" w:ascii="宋体" w:hAnsi="宋体" w:eastAsia="宋体" w:cs="宋体"/>
                <w:b w:val="0"/>
                <w:bCs/>
                <w:sz w:val="20"/>
                <w:szCs w:val="20"/>
                <w:lang w:val="en-US" w:eastAsia="zh-CN"/>
              </w:rPr>
              <w:t>：</w:t>
            </w:r>
          </w:p>
          <w:p>
            <w:pPr>
              <w:widowControl/>
              <w:numPr>
                <w:ilvl w:val="0"/>
                <w:numId w:val="0"/>
              </w:numPr>
              <w:spacing w:line="360" w:lineRule="auto"/>
              <w:jc w:val="left"/>
              <w:rPr>
                <w:rFonts w:hint="eastAsia" w:ascii="宋体" w:hAnsi="宋体" w:eastAsia="宋体" w:cs="宋体"/>
                <w:b w:val="0"/>
                <w:bCs/>
                <w:color w:val="E36C09"/>
                <w:sz w:val="20"/>
                <w:szCs w:val="20"/>
                <w:lang w:val="en-US" w:eastAsia="zh-CN"/>
              </w:rPr>
            </w:pPr>
            <w:r>
              <w:rPr>
                <w:rFonts w:hint="eastAsia" w:ascii="宋体" w:hAnsi="宋体" w:cs="宋体"/>
                <w:b w:val="0"/>
                <w:bCs/>
                <w:color w:val="auto"/>
                <w:sz w:val="20"/>
                <w:szCs w:val="20"/>
                <w:lang w:val="en-US" w:eastAsia="zh-CN"/>
              </w:rPr>
              <w:t>1</w:t>
            </w:r>
            <w:r>
              <w:rPr>
                <w:rFonts w:hint="eastAsia" w:ascii="宋体" w:hAnsi="宋体" w:eastAsia="宋体" w:cs="宋体"/>
                <w:b w:val="0"/>
                <w:bCs/>
                <w:color w:val="auto"/>
                <w:sz w:val="20"/>
                <w:szCs w:val="20"/>
                <w:lang w:val="en-US" w:eastAsia="zh-CN"/>
              </w:rPr>
              <w:t>.</w:t>
            </w:r>
            <w:r>
              <w:rPr>
                <w:rFonts w:hint="eastAsia" w:ascii="宋体" w:hAnsi="宋体" w:cs="宋体"/>
                <w:b w:val="0"/>
                <w:bCs/>
                <w:color w:val="auto"/>
                <w:sz w:val="20"/>
                <w:szCs w:val="20"/>
                <w:lang w:val="en-US" w:eastAsia="zh-CN"/>
              </w:rPr>
              <w:t>产品为</w:t>
            </w:r>
            <w:r>
              <w:rPr>
                <w:rFonts w:hint="eastAsia" w:ascii="宋体" w:hAnsi="宋体" w:cs="宋体"/>
                <w:b w:val="0"/>
                <w:bCs/>
                <w:color w:val="E36C09"/>
                <w:sz w:val="20"/>
                <w:szCs w:val="20"/>
                <w:lang w:val="en-US" w:eastAsia="zh-CN"/>
              </w:rPr>
              <w:t>布纹</w:t>
            </w:r>
            <w:r>
              <w:rPr>
                <w:rFonts w:hint="eastAsia" w:ascii="宋体" w:hAnsi="宋体" w:eastAsia="宋体" w:cs="宋体"/>
                <w:b w:val="0"/>
                <w:bCs/>
                <w:color w:val="E36C09"/>
                <w:sz w:val="20"/>
                <w:szCs w:val="20"/>
                <w:lang w:val="en-US" w:eastAsia="zh-CN"/>
              </w:rPr>
              <w:t>；</w:t>
            </w:r>
          </w:p>
          <w:p>
            <w:pPr>
              <w:widowControl/>
              <w:numPr>
                <w:ilvl w:val="0"/>
                <w:numId w:val="0"/>
              </w:numPr>
              <w:spacing w:line="360" w:lineRule="auto"/>
              <w:jc w:val="left"/>
              <w:rPr>
                <w:rFonts w:hint="eastAsia" w:ascii="宋体" w:hAnsi="宋体" w:eastAsia="宋体" w:cs="宋体"/>
                <w:b w:val="0"/>
                <w:bCs/>
                <w:color w:val="E36C09"/>
                <w:sz w:val="20"/>
                <w:szCs w:val="20"/>
                <w:lang w:val="en-US" w:eastAsia="zh-CN"/>
              </w:rPr>
            </w:pPr>
            <w:r>
              <w:rPr>
                <w:rFonts w:hint="eastAsia" w:ascii="宋体" w:hAnsi="宋体" w:cs="宋体"/>
                <w:b w:val="0"/>
                <w:bCs/>
                <w:sz w:val="20"/>
                <w:szCs w:val="20"/>
                <w:lang w:val="en-US" w:eastAsia="zh-CN"/>
              </w:rPr>
              <w:t>2.</w:t>
            </w:r>
            <w:r>
              <w:rPr>
                <w:rFonts w:hint="eastAsia" w:ascii="宋体" w:hAnsi="宋体" w:eastAsia="宋体" w:cs="宋体"/>
                <w:b w:val="0"/>
                <w:bCs/>
                <w:sz w:val="20"/>
                <w:szCs w:val="20"/>
                <w:lang w:val="en-US" w:eastAsia="zh-CN"/>
              </w:rPr>
              <w:t>PVC运动地板总厚度</w:t>
            </w:r>
            <w:r>
              <w:rPr>
                <w:rFonts w:hint="eastAsia" w:ascii="宋体" w:hAnsi="宋体" w:eastAsia="宋体" w:cs="宋体"/>
                <w:b w:val="0"/>
                <w:bCs/>
                <w:color w:val="E36C09"/>
                <w:sz w:val="20"/>
                <w:szCs w:val="20"/>
                <w:lang w:val="en-US" w:eastAsia="zh-CN"/>
              </w:rPr>
              <w:t>≥</w:t>
            </w:r>
            <w:r>
              <w:rPr>
                <w:rFonts w:hint="eastAsia" w:ascii="宋体" w:hAnsi="宋体" w:cs="宋体"/>
                <w:b w:val="0"/>
                <w:bCs/>
                <w:color w:val="E36C09"/>
                <w:sz w:val="20"/>
                <w:szCs w:val="20"/>
                <w:lang w:val="en-US" w:eastAsia="zh-CN"/>
              </w:rPr>
              <w:t xml:space="preserve"> 5.0 </w:t>
            </w:r>
            <w:r>
              <w:rPr>
                <w:rFonts w:hint="eastAsia" w:ascii="宋体" w:hAnsi="宋体" w:eastAsia="宋体" w:cs="宋体"/>
                <w:b w:val="0"/>
                <w:bCs/>
                <w:color w:val="E36C09"/>
                <w:sz w:val="20"/>
                <w:szCs w:val="20"/>
                <w:lang w:val="en-US" w:eastAsia="zh-CN"/>
              </w:rPr>
              <w:t>mm</w:t>
            </w:r>
            <w:r>
              <w:rPr>
                <w:rFonts w:hint="eastAsia" w:ascii="宋体" w:hAnsi="宋体" w:eastAsia="宋体" w:cs="宋体"/>
                <w:b w:val="0"/>
                <w:bCs/>
                <w:sz w:val="20"/>
                <w:szCs w:val="20"/>
                <w:lang w:val="en-US" w:eastAsia="zh-CN"/>
              </w:rPr>
              <w:t>，耐磨层</w:t>
            </w:r>
            <w:r>
              <w:rPr>
                <w:rFonts w:hint="eastAsia" w:ascii="宋体" w:hAnsi="宋体" w:eastAsia="宋体" w:cs="宋体"/>
                <w:b w:val="0"/>
                <w:bCs/>
                <w:color w:val="E36C09"/>
                <w:sz w:val="20"/>
                <w:szCs w:val="20"/>
                <w:lang w:val="en-US" w:eastAsia="zh-CN"/>
              </w:rPr>
              <w:t>≥</w:t>
            </w:r>
            <w:r>
              <w:rPr>
                <w:rFonts w:hint="eastAsia" w:ascii="宋体" w:hAnsi="宋体" w:cs="宋体"/>
                <w:b w:val="0"/>
                <w:bCs/>
                <w:color w:val="E36C09"/>
                <w:sz w:val="20"/>
                <w:szCs w:val="20"/>
                <w:lang w:val="en-US" w:eastAsia="zh-CN"/>
              </w:rPr>
              <w:t xml:space="preserve"> 1.2   </w:t>
            </w:r>
            <w:r>
              <w:rPr>
                <w:rFonts w:hint="eastAsia" w:ascii="宋体" w:hAnsi="宋体" w:eastAsia="宋体" w:cs="宋体"/>
                <w:b w:val="0"/>
                <w:bCs/>
                <w:color w:val="E36C09"/>
                <w:sz w:val="20"/>
                <w:szCs w:val="20"/>
                <w:lang w:val="en-US" w:eastAsia="zh-CN"/>
              </w:rPr>
              <w:t>mm；</w:t>
            </w:r>
          </w:p>
          <w:p>
            <w:pPr>
              <w:widowControl/>
              <w:numPr>
                <w:ilvl w:val="0"/>
                <w:numId w:val="0"/>
              </w:numPr>
              <w:spacing w:line="360" w:lineRule="auto"/>
              <w:jc w:val="left"/>
              <w:rPr>
                <w:rFonts w:hint="eastAsia" w:ascii="宋体" w:hAnsi="宋体" w:eastAsia="宋体" w:cs="宋体"/>
                <w:b w:val="0"/>
                <w:bCs/>
                <w:sz w:val="20"/>
                <w:szCs w:val="20"/>
                <w:lang w:val="en-US" w:eastAsia="zh-CN"/>
              </w:rPr>
            </w:pPr>
            <w:r>
              <w:rPr>
                <w:rFonts w:hint="eastAsia" w:ascii="宋体" w:hAnsi="宋体" w:cs="宋体"/>
                <w:b w:val="0"/>
                <w:bCs/>
                <w:sz w:val="20"/>
                <w:szCs w:val="20"/>
                <w:lang w:val="en-US" w:eastAsia="zh-CN"/>
              </w:rPr>
              <w:t>3.</w:t>
            </w:r>
            <w:r>
              <w:rPr>
                <w:rFonts w:hint="eastAsia" w:ascii="宋体" w:hAnsi="宋体" w:eastAsia="宋体" w:cs="宋体"/>
                <w:b w:val="0"/>
                <w:bCs/>
                <w:sz w:val="20"/>
                <w:szCs w:val="20"/>
                <w:lang w:val="en-US" w:eastAsia="zh-CN"/>
              </w:rPr>
              <w:t>外观质量：色泽均匀，无明显色差，无裂痕，分层等缺陷</w:t>
            </w:r>
          </w:p>
          <w:p>
            <w:pPr>
              <w:widowControl/>
              <w:numPr>
                <w:ilvl w:val="0"/>
                <w:numId w:val="0"/>
              </w:numPr>
              <w:spacing w:line="360" w:lineRule="auto"/>
              <w:jc w:val="left"/>
              <w:rPr>
                <w:rFonts w:hint="eastAsia" w:ascii="宋体" w:hAnsi="宋体" w:eastAsia="宋体" w:cs="宋体"/>
                <w:b w:val="0"/>
                <w:bCs/>
                <w:sz w:val="20"/>
                <w:szCs w:val="20"/>
                <w:lang w:val="en-US" w:eastAsia="zh-CN"/>
              </w:rPr>
            </w:pPr>
            <w:r>
              <w:rPr>
                <w:rFonts w:hint="eastAsia" w:ascii="宋体" w:hAnsi="宋体" w:cs="宋体"/>
                <w:b w:val="0"/>
                <w:bCs/>
                <w:sz w:val="20"/>
                <w:szCs w:val="20"/>
                <w:lang w:val="en-US" w:eastAsia="zh-CN"/>
              </w:rPr>
              <w:t>4.</w:t>
            </w:r>
            <w:r>
              <w:rPr>
                <w:rFonts w:hint="eastAsia" w:ascii="宋体" w:hAnsi="宋体" w:eastAsia="宋体" w:cs="宋体"/>
                <w:b w:val="0"/>
                <w:bCs/>
                <w:sz w:val="20"/>
                <w:szCs w:val="20"/>
                <w:lang w:val="en-US" w:eastAsia="zh-CN"/>
              </w:rPr>
              <w:t>硬度（邵A），度：≥50</w:t>
            </w:r>
          </w:p>
          <w:p>
            <w:pPr>
              <w:widowControl/>
              <w:numPr>
                <w:ilvl w:val="0"/>
                <w:numId w:val="0"/>
              </w:numPr>
              <w:spacing w:line="360" w:lineRule="auto"/>
              <w:jc w:val="left"/>
              <w:rPr>
                <w:rFonts w:hint="default" w:ascii="宋体" w:hAnsi="宋体" w:eastAsia="宋体" w:cs="宋体"/>
                <w:b w:val="0"/>
                <w:bCs/>
                <w:sz w:val="20"/>
                <w:szCs w:val="20"/>
                <w:lang w:val="en-US" w:eastAsia="zh-CN"/>
              </w:rPr>
            </w:pPr>
            <w:r>
              <w:rPr>
                <w:rFonts w:hint="eastAsia" w:ascii="宋体" w:hAnsi="宋体" w:cs="宋体"/>
                <w:b w:val="0"/>
                <w:bCs/>
                <w:sz w:val="20"/>
                <w:szCs w:val="20"/>
                <w:lang w:val="en-US" w:eastAsia="zh-CN"/>
              </w:rPr>
              <w:t>5.</w:t>
            </w:r>
            <w:r>
              <w:rPr>
                <w:rFonts w:hint="eastAsia" w:ascii="宋体" w:hAnsi="宋体" w:eastAsia="宋体" w:cs="宋体"/>
                <w:b w:val="0"/>
                <w:bCs/>
                <w:sz w:val="20"/>
                <w:szCs w:val="20"/>
                <w:lang w:val="en-US" w:eastAsia="zh-CN"/>
              </w:rPr>
              <w:t>产烟毒性：达到ZA1级</w:t>
            </w:r>
          </w:p>
          <w:p>
            <w:pPr>
              <w:widowControl/>
              <w:numPr>
                <w:ilvl w:val="0"/>
                <w:numId w:val="0"/>
              </w:numPr>
              <w:spacing w:line="360" w:lineRule="auto"/>
              <w:jc w:val="left"/>
              <w:rPr>
                <w:rFonts w:hint="eastAsia" w:ascii="宋体" w:hAnsi="宋体" w:eastAsia="宋体" w:cs="宋体"/>
                <w:b w:val="0"/>
                <w:bCs/>
                <w:sz w:val="20"/>
                <w:szCs w:val="20"/>
                <w:lang w:val="en-US" w:eastAsia="zh-CN"/>
              </w:rPr>
            </w:pPr>
            <w:r>
              <w:rPr>
                <w:rFonts w:hint="eastAsia" w:ascii="宋体" w:hAnsi="宋体" w:cs="宋体"/>
                <w:b w:val="0"/>
                <w:bCs/>
                <w:sz w:val="20"/>
                <w:szCs w:val="20"/>
                <w:lang w:val="en-US" w:eastAsia="zh-CN"/>
              </w:rPr>
              <w:t>6.</w:t>
            </w:r>
            <w:r>
              <w:rPr>
                <w:rFonts w:hint="eastAsia" w:ascii="宋体" w:hAnsi="宋体" w:eastAsia="宋体" w:cs="宋体"/>
                <w:b w:val="0"/>
                <w:bCs/>
                <w:sz w:val="20"/>
                <w:szCs w:val="20"/>
                <w:lang w:val="en-US" w:eastAsia="zh-CN"/>
              </w:rPr>
              <w:t>阻燃等级：1级</w:t>
            </w:r>
          </w:p>
          <w:p>
            <w:pPr>
              <w:widowControl/>
              <w:numPr>
                <w:ilvl w:val="0"/>
                <w:numId w:val="0"/>
              </w:numPr>
              <w:spacing w:line="360" w:lineRule="auto"/>
              <w:jc w:val="left"/>
              <w:rPr>
                <w:rFonts w:hint="default" w:ascii="宋体" w:hAnsi="宋体" w:eastAsia="宋体" w:cs="宋体"/>
                <w:b w:val="0"/>
                <w:bCs/>
                <w:sz w:val="20"/>
                <w:szCs w:val="20"/>
                <w:lang w:val="en-US" w:eastAsia="zh-CN"/>
              </w:rPr>
            </w:pPr>
            <w:r>
              <w:rPr>
                <w:rFonts w:hint="eastAsia" w:ascii="宋体" w:hAnsi="宋体" w:cs="宋体"/>
                <w:b w:val="0"/>
                <w:bCs/>
                <w:sz w:val="20"/>
                <w:szCs w:val="20"/>
                <w:lang w:val="en-US" w:eastAsia="zh-CN"/>
              </w:rPr>
              <w:t>7.</w:t>
            </w:r>
            <w:r>
              <w:rPr>
                <w:rFonts w:hint="eastAsia" w:ascii="宋体" w:hAnsi="宋体" w:eastAsia="宋体" w:cs="宋体"/>
                <w:b w:val="0"/>
                <w:bCs/>
                <w:sz w:val="20"/>
                <w:szCs w:val="20"/>
                <w:lang w:val="en-US" w:eastAsia="zh-CN"/>
              </w:rPr>
              <w:t>篮球反弹率：≥90</w:t>
            </w:r>
          </w:p>
          <w:p>
            <w:pPr>
              <w:widowControl/>
              <w:numPr>
                <w:ilvl w:val="0"/>
                <w:numId w:val="0"/>
              </w:numPr>
              <w:spacing w:line="360" w:lineRule="auto"/>
              <w:jc w:val="left"/>
              <w:rPr>
                <w:rFonts w:hint="eastAsia" w:ascii="宋体" w:hAnsi="宋体" w:eastAsia="宋体" w:cs="宋体"/>
                <w:b w:val="0"/>
                <w:bCs/>
                <w:sz w:val="20"/>
                <w:szCs w:val="20"/>
                <w:lang w:val="en-US" w:eastAsia="zh-CN"/>
              </w:rPr>
            </w:pPr>
            <w:r>
              <w:rPr>
                <w:rFonts w:hint="eastAsia" w:ascii="宋体" w:hAnsi="宋体" w:cs="宋体"/>
                <w:b w:val="0"/>
                <w:bCs/>
                <w:sz w:val="20"/>
                <w:szCs w:val="20"/>
                <w:lang w:val="en-US" w:eastAsia="zh-CN"/>
              </w:rPr>
              <w:t>8.</w:t>
            </w:r>
            <w:r>
              <w:rPr>
                <w:rFonts w:hint="eastAsia" w:ascii="宋体" w:hAnsi="宋体" w:eastAsia="宋体" w:cs="宋体"/>
                <w:b w:val="0"/>
                <w:bCs/>
                <w:sz w:val="20"/>
                <w:szCs w:val="20"/>
                <w:lang w:val="en-US" w:eastAsia="zh-CN"/>
              </w:rPr>
              <w:t>拉伸强度，MPa：</w:t>
            </w:r>
            <w:r>
              <w:rPr>
                <w:rFonts w:hint="eastAsia" w:ascii="宋体" w:hAnsi="宋体" w:cs="宋体"/>
                <w:b w:val="0"/>
                <w:bCs/>
                <w:sz w:val="20"/>
                <w:szCs w:val="20"/>
                <w:lang w:val="en-US" w:eastAsia="zh-CN"/>
              </w:rPr>
              <w:t>1</w:t>
            </w:r>
            <w:r>
              <w:rPr>
                <w:rFonts w:hint="eastAsia" w:ascii="宋体" w:hAnsi="宋体" w:eastAsia="宋体" w:cs="宋体"/>
                <w:b w:val="0"/>
                <w:bCs/>
                <w:sz w:val="20"/>
                <w:szCs w:val="20"/>
                <w:lang w:val="en-US" w:eastAsia="zh-CN"/>
              </w:rPr>
              <w:t>.0</w:t>
            </w:r>
          </w:p>
          <w:p>
            <w:pPr>
              <w:widowControl/>
              <w:numPr>
                <w:ilvl w:val="0"/>
                <w:numId w:val="0"/>
              </w:numPr>
              <w:spacing w:line="360" w:lineRule="auto"/>
              <w:jc w:val="left"/>
              <w:rPr>
                <w:rFonts w:hint="eastAsia" w:ascii="宋体" w:hAnsi="宋体" w:eastAsia="宋体" w:cs="宋体"/>
                <w:b w:val="0"/>
                <w:bCs/>
                <w:sz w:val="20"/>
                <w:szCs w:val="20"/>
                <w:lang w:val="en-US" w:eastAsia="zh-CN"/>
              </w:rPr>
            </w:pPr>
            <w:r>
              <w:rPr>
                <w:rFonts w:hint="eastAsia" w:ascii="宋体" w:hAnsi="宋体" w:cs="宋体"/>
                <w:b w:val="0"/>
                <w:bCs/>
                <w:sz w:val="20"/>
                <w:szCs w:val="20"/>
                <w:lang w:val="en-US" w:eastAsia="zh-CN"/>
              </w:rPr>
              <w:t>9.</w:t>
            </w:r>
            <w:r>
              <w:rPr>
                <w:rFonts w:hint="eastAsia" w:ascii="宋体" w:hAnsi="宋体" w:eastAsia="宋体" w:cs="宋体"/>
                <w:b w:val="0"/>
                <w:bCs/>
                <w:sz w:val="20"/>
                <w:szCs w:val="20"/>
                <w:lang w:val="en-US" w:eastAsia="zh-CN"/>
              </w:rPr>
              <w:t>扯断伸长率，%：≥1</w:t>
            </w:r>
            <w:r>
              <w:rPr>
                <w:rFonts w:hint="eastAsia" w:ascii="宋体" w:hAnsi="宋体" w:cs="宋体"/>
                <w:b w:val="0"/>
                <w:bCs/>
                <w:sz w:val="20"/>
                <w:szCs w:val="20"/>
                <w:lang w:val="en-US" w:eastAsia="zh-CN"/>
              </w:rPr>
              <w:t>2</w:t>
            </w:r>
            <w:r>
              <w:rPr>
                <w:rFonts w:hint="eastAsia" w:ascii="宋体" w:hAnsi="宋体" w:eastAsia="宋体" w:cs="宋体"/>
                <w:b w:val="0"/>
                <w:bCs/>
                <w:sz w:val="20"/>
                <w:szCs w:val="20"/>
                <w:lang w:val="en-US" w:eastAsia="zh-CN"/>
              </w:rPr>
              <w:t>0</w:t>
            </w:r>
          </w:p>
          <w:p>
            <w:pPr>
              <w:widowControl/>
              <w:numPr>
                <w:ilvl w:val="0"/>
                <w:numId w:val="0"/>
              </w:numPr>
              <w:spacing w:line="360" w:lineRule="auto"/>
              <w:jc w:val="left"/>
              <w:rPr>
                <w:rFonts w:hint="eastAsia" w:ascii="宋体" w:hAnsi="宋体" w:cs="宋体"/>
                <w:b w:val="0"/>
                <w:bCs/>
                <w:sz w:val="20"/>
                <w:szCs w:val="20"/>
                <w:lang w:val="en-US" w:eastAsia="zh-CN"/>
              </w:rPr>
            </w:pPr>
            <w:r>
              <w:rPr>
                <w:rFonts w:hint="eastAsia" w:ascii="宋体" w:hAnsi="宋体" w:cs="宋体"/>
                <w:b w:val="0"/>
                <w:bCs/>
                <w:color w:val="auto"/>
                <w:sz w:val="20"/>
                <w:szCs w:val="20"/>
                <w:lang w:val="en-US" w:eastAsia="zh-CN"/>
              </w:rPr>
              <w:t>10.</w:t>
            </w:r>
            <w:r>
              <w:rPr>
                <w:rFonts w:hint="eastAsia" w:ascii="宋体" w:hAnsi="宋体" w:cs="宋体"/>
                <w:b w:val="0"/>
                <w:bCs/>
                <w:sz w:val="20"/>
                <w:szCs w:val="20"/>
                <w:lang w:val="en-US" w:eastAsia="zh-CN"/>
              </w:rPr>
              <w:t>24h总挥发性有机物（TVOC）释放量：A级</w:t>
            </w:r>
          </w:p>
          <w:p>
            <w:pPr>
              <w:widowControl/>
              <w:numPr>
                <w:ilvl w:val="0"/>
                <w:numId w:val="0"/>
              </w:numPr>
              <w:spacing w:line="360" w:lineRule="auto"/>
              <w:jc w:val="left"/>
              <w:rPr>
                <w:rFonts w:hint="eastAsia" w:ascii="宋体" w:hAnsi="宋体" w:eastAsia="宋体" w:cs="宋体"/>
                <w:b w:val="0"/>
                <w:bCs/>
                <w:sz w:val="20"/>
                <w:szCs w:val="20"/>
                <w:lang w:val="en-US" w:eastAsia="zh-CN"/>
              </w:rPr>
            </w:pPr>
            <w:r>
              <w:rPr>
                <w:rFonts w:hint="eastAsia" w:ascii="宋体" w:hAnsi="宋体" w:cs="宋体"/>
                <w:b w:val="0"/>
                <w:bCs/>
                <w:sz w:val="20"/>
                <w:szCs w:val="20"/>
                <w:lang w:val="en-US" w:eastAsia="zh-CN"/>
              </w:rPr>
              <w:t>11.</w:t>
            </w:r>
            <w:r>
              <w:rPr>
                <w:rFonts w:hint="eastAsia" w:ascii="宋体" w:hAnsi="宋体" w:eastAsia="宋体" w:cs="宋体"/>
                <w:b w:val="0"/>
                <w:bCs/>
                <w:sz w:val="20"/>
                <w:szCs w:val="20"/>
                <w:lang w:val="en-US" w:eastAsia="zh-CN"/>
              </w:rPr>
              <w:t>防滑性能</w:t>
            </w:r>
            <w:r>
              <w:rPr>
                <w:rFonts w:hint="eastAsia" w:ascii="宋体" w:hAnsi="宋体" w:cs="宋体"/>
                <w:b w:val="0"/>
                <w:bCs/>
                <w:sz w:val="20"/>
                <w:szCs w:val="20"/>
                <w:lang w:val="en-US" w:eastAsia="zh-CN"/>
              </w:rPr>
              <w:t>：</w:t>
            </w:r>
            <w:r>
              <w:rPr>
                <w:rFonts w:hint="eastAsia" w:ascii="宋体" w:hAnsi="宋体" w:eastAsia="宋体" w:cs="宋体"/>
                <w:b w:val="0"/>
                <w:bCs/>
                <w:sz w:val="20"/>
                <w:szCs w:val="20"/>
                <w:lang w:val="en-US" w:eastAsia="zh-CN"/>
              </w:rPr>
              <w:t>≥R9</w:t>
            </w:r>
          </w:p>
          <w:p>
            <w:pPr>
              <w:widowControl/>
              <w:numPr>
                <w:ilvl w:val="0"/>
                <w:numId w:val="0"/>
              </w:numPr>
              <w:spacing w:line="360" w:lineRule="auto"/>
              <w:jc w:val="left"/>
              <w:rPr>
                <w:rFonts w:hint="eastAsia" w:ascii="宋体" w:hAnsi="宋体" w:cs="宋体"/>
                <w:b w:val="0"/>
                <w:bCs/>
                <w:sz w:val="20"/>
                <w:szCs w:val="20"/>
                <w:lang w:val="en-US" w:eastAsia="zh-CN"/>
              </w:rPr>
            </w:pPr>
            <w:r>
              <w:rPr>
                <w:rFonts w:hint="eastAsia" w:ascii="宋体" w:hAnsi="宋体" w:cs="宋体"/>
                <w:b w:val="0"/>
                <w:bCs/>
                <w:sz w:val="20"/>
                <w:szCs w:val="20"/>
                <w:lang w:val="en-US" w:eastAsia="zh-CN"/>
              </w:rPr>
              <w:t>12.</w:t>
            </w:r>
            <w:r>
              <w:rPr>
                <w:rFonts w:hint="eastAsia" w:ascii="宋体" w:hAnsi="宋体" w:cs="宋体"/>
                <w:b w:val="0"/>
                <w:bCs/>
                <w:color w:val="000000"/>
                <w:sz w:val="20"/>
                <w:szCs w:val="20"/>
                <w:lang w:val="en-US" w:eastAsia="zh-CN"/>
              </w:rPr>
              <w:t>硫元素（S）含量≤</w:t>
            </w:r>
            <w:r>
              <w:rPr>
                <w:rFonts w:hint="default" w:ascii="宋体" w:hAnsi="宋体" w:cs="宋体"/>
                <w:b w:val="0"/>
                <w:bCs/>
                <w:color w:val="000000"/>
                <w:sz w:val="20"/>
                <w:szCs w:val="20"/>
                <w:lang w:val="en-US" w:eastAsia="zh-CN"/>
              </w:rPr>
              <w:t>5</w:t>
            </w:r>
            <w:r>
              <w:rPr>
                <w:rFonts w:hint="eastAsia" w:ascii="宋体" w:hAnsi="宋体" w:cs="宋体"/>
                <w:b w:val="0"/>
                <w:bCs/>
                <w:color w:val="000000"/>
                <w:sz w:val="20"/>
                <w:szCs w:val="20"/>
                <w:lang w:val="en-US" w:eastAsia="zh-CN"/>
              </w:rPr>
              <w:t>00</w:t>
            </w:r>
            <w:r>
              <w:rPr>
                <w:rFonts w:hint="default" w:ascii="宋体" w:hAnsi="宋体" w:cs="宋体"/>
                <w:b w:val="0"/>
                <w:bCs/>
                <w:color w:val="000000"/>
                <w:sz w:val="20"/>
                <w:szCs w:val="20"/>
                <w:lang w:val="en-US" w:eastAsia="zh-CN"/>
              </w:rPr>
              <w:t>mg/kg</w:t>
            </w:r>
            <w:r>
              <w:rPr>
                <w:rFonts w:hint="eastAsia" w:ascii="宋体" w:hAnsi="宋体" w:cs="宋体"/>
                <w:b w:val="0"/>
                <w:bCs/>
                <w:color w:val="000000"/>
                <w:sz w:val="20"/>
                <w:szCs w:val="20"/>
                <w:lang w:val="en-US" w:eastAsia="zh-CN"/>
              </w:rPr>
              <w:t>、溴元素（Br）≤</w:t>
            </w:r>
            <w:r>
              <w:rPr>
                <w:rFonts w:hint="default" w:ascii="宋体" w:hAnsi="宋体" w:cs="宋体"/>
                <w:b w:val="0"/>
                <w:bCs/>
                <w:color w:val="000000"/>
                <w:sz w:val="20"/>
                <w:szCs w:val="20"/>
                <w:lang w:val="en-US" w:eastAsia="zh-CN"/>
              </w:rPr>
              <w:t>5</w:t>
            </w:r>
            <w:r>
              <w:rPr>
                <w:rFonts w:hint="eastAsia" w:ascii="宋体" w:hAnsi="宋体" w:cs="宋体"/>
                <w:b w:val="0"/>
                <w:bCs/>
                <w:color w:val="000000"/>
                <w:sz w:val="20"/>
                <w:szCs w:val="20"/>
                <w:lang w:val="en-US" w:eastAsia="zh-CN"/>
              </w:rPr>
              <w:t>00</w:t>
            </w:r>
            <w:r>
              <w:rPr>
                <w:rFonts w:hint="default" w:ascii="宋体" w:hAnsi="宋体" w:cs="宋体"/>
                <w:b w:val="0"/>
                <w:bCs/>
                <w:color w:val="000000"/>
                <w:sz w:val="20"/>
                <w:szCs w:val="20"/>
                <w:lang w:val="en-US" w:eastAsia="zh-CN"/>
              </w:rPr>
              <w:t>mg/kg</w:t>
            </w:r>
          </w:p>
          <w:p>
            <w:pPr>
              <w:widowControl/>
              <w:numPr>
                <w:ilvl w:val="0"/>
                <w:numId w:val="0"/>
              </w:numPr>
              <w:spacing w:line="360" w:lineRule="auto"/>
              <w:jc w:val="left"/>
              <w:rPr>
                <w:rFonts w:hint="eastAsia" w:ascii="宋体" w:hAnsi="宋体" w:cs="宋体"/>
                <w:b w:val="0"/>
                <w:bCs/>
                <w:sz w:val="20"/>
                <w:szCs w:val="20"/>
                <w:lang w:val="en-US" w:eastAsia="zh-CN"/>
              </w:rPr>
            </w:pPr>
            <w:r>
              <w:rPr>
                <w:rFonts w:hint="eastAsia" w:ascii="宋体" w:hAnsi="宋体" w:eastAsia="宋体" w:cs="宋体"/>
                <w:b w:val="0"/>
                <w:bCs/>
                <w:sz w:val="20"/>
                <w:szCs w:val="20"/>
              </w:rPr>
              <w:t>▲</w:t>
            </w:r>
            <w:r>
              <w:rPr>
                <w:rFonts w:hint="eastAsia" w:ascii="宋体" w:hAnsi="宋体" w:cs="宋体"/>
                <w:b w:val="0"/>
                <w:bCs/>
                <w:sz w:val="20"/>
                <w:szCs w:val="20"/>
                <w:lang w:val="en-US" w:eastAsia="zh-CN"/>
              </w:rPr>
              <w:t>13.回弹值（高温3000h）：﹥10%</w:t>
            </w:r>
          </w:p>
          <w:p>
            <w:pPr>
              <w:widowControl/>
              <w:numPr>
                <w:ilvl w:val="0"/>
                <w:numId w:val="0"/>
              </w:numPr>
              <w:spacing w:line="360" w:lineRule="auto"/>
              <w:jc w:val="left"/>
              <w:rPr>
                <w:rFonts w:hint="eastAsia" w:ascii="宋体" w:hAnsi="宋体" w:cs="宋体"/>
                <w:b w:val="0"/>
                <w:bCs/>
                <w:sz w:val="20"/>
                <w:szCs w:val="20"/>
                <w:lang w:val="en-US" w:eastAsia="zh-CN"/>
              </w:rPr>
            </w:pPr>
            <w:r>
              <w:rPr>
                <w:rFonts w:hint="eastAsia" w:ascii="宋体" w:hAnsi="宋体" w:eastAsia="宋体" w:cs="宋体"/>
                <w:b w:val="0"/>
                <w:bCs/>
                <w:sz w:val="20"/>
                <w:szCs w:val="20"/>
              </w:rPr>
              <w:t>▲</w:t>
            </w:r>
            <w:r>
              <w:rPr>
                <w:rFonts w:hint="eastAsia" w:ascii="宋体" w:hAnsi="宋体" w:cs="宋体"/>
                <w:b w:val="0"/>
                <w:bCs/>
                <w:sz w:val="20"/>
                <w:szCs w:val="20"/>
                <w:lang w:val="en-US" w:eastAsia="zh-CN"/>
              </w:rPr>
              <w:t>14.邵氏硬度（高温老化3000h）：65-80HA</w:t>
            </w:r>
          </w:p>
          <w:p>
            <w:pPr>
              <w:widowControl/>
              <w:numPr>
                <w:ilvl w:val="0"/>
                <w:numId w:val="0"/>
              </w:numPr>
              <w:spacing w:line="360" w:lineRule="auto"/>
              <w:jc w:val="left"/>
              <w:rPr>
                <w:rFonts w:hint="eastAsia" w:ascii="宋体" w:hAnsi="宋体" w:cs="宋体"/>
                <w:b w:val="0"/>
                <w:bCs/>
                <w:sz w:val="20"/>
                <w:szCs w:val="20"/>
                <w:lang w:val="en-US" w:eastAsia="zh-CN"/>
              </w:rPr>
            </w:pPr>
            <w:r>
              <w:rPr>
                <w:rFonts w:hint="eastAsia" w:ascii="宋体" w:hAnsi="宋体" w:eastAsia="宋体" w:cs="宋体"/>
                <w:b w:val="0"/>
                <w:bCs/>
                <w:sz w:val="20"/>
                <w:szCs w:val="20"/>
              </w:rPr>
              <w:t>▲</w:t>
            </w:r>
            <w:r>
              <w:rPr>
                <w:rFonts w:hint="eastAsia" w:ascii="宋体" w:hAnsi="宋体" w:cs="宋体"/>
                <w:b w:val="0"/>
                <w:bCs/>
                <w:sz w:val="20"/>
                <w:szCs w:val="20"/>
                <w:lang w:val="en-US" w:eastAsia="zh-CN"/>
              </w:rPr>
              <w:t>15.摩擦系数（低温3000h）：≥0.6</w:t>
            </w:r>
          </w:p>
          <w:p>
            <w:pPr>
              <w:widowControl/>
              <w:numPr>
                <w:ilvl w:val="0"/>
                <w:numId w:val="0"/>
              </w:numPr>
              <w:spacing w:line="360" w:lineRule="auto"/>
              <w:jc w:val="left"/>
              <w:rPr>
                <w:rFonts w:hint="eastAsia" w:ascii="宋体" w:hAnsi="宋体" w:cs="宋体"/>
                <w:b w:val="0"/>
                <w:bCs/>
                <w:sz w:val="20"/>
                <w:szCs w:val="20"/>
                <w:lang w:val="en-US" w:eastAsia="zh-CN"/>
              </w:rPr>
            </w:pPr>
            <w:r>
              <w:rPr>
                <w:rFonts w:hint="eastAsia" w:ascii="宋体" w:hAnsi="宋体" w:cs="宋体"/>
                <w:b w:val="0"/>
                <w:bCs/>
                <w:sz w:val="20"/>
                <w:szCs w:val="20"/>
                <w:lang w:val="en-US" w:eastAsia="zh-CN"/>
              </w:rPr>
              <w:t>16.</w:t>
            </w:r>
            <w:r>
              <w:rPr>
                <w:rFonts w:hint="eastAsia" w:ascii="宋体" w:hAnsi="宋体" w:eastAsia="宋体" w:cs="宋体"/>
                <w:b w:val="0"/>
                <w:bCs/>
                <w:sz w:val="20"/>
                <w:szCs w:val="20"/>
                <w:lang w:val="en-US" w:eastAsia="zh-CN"/>
              </w:rPr>
              <w:t>振动吸收：≥</w:t>
            </w:r>
            <w:r>
              <w:rPr>
                <w:rFonts w:hint="eastAsia" w:ascii="宋体" w:hAnsi="宋体" w:cs="宋体"/>
                <w:b w:val="0"/>
                <w:bCs/>
                <w:sz w:val="20"/>
                <w:szCs w:val="20"/>
                <w:lang w:val="en-US" w:eastAsia="zh-CN"/>
              </w:rPr>
              <w:t>6</w:t>
            </w:r>
            <w:r>
              <w:rPr>
                <w:rFonts w:hint="eastAsia" w:ascii="宋体" w:hAnsi="宋体" w:eastAsia="宋体" w:cs="宋体"/>
                <w:b w:val="0"/>
                <w:bCs/>
                <w:sz w:val="20"/>
                <w:szCs w:val="20"/>
                <w:lang w:val="en-US" w:eastAsia="zh-CN"/>
              </w:rPr>
              <w:t>0%</w:t>
            </w:r>
          </w:p>
          <w:p>
            <w:pPr>
              <w:widowControl/>
              <w:numPr>
                <w:ilvl w:val="0"/>
                <w:numId w:val="0"/>
              </w:numPr>
              <w:spacing w:line="360" w:lineRule="auto"/>
              <w:jc w:val="left"/>
              <w:rPr>
                <w:rFonts w:hint="eastAsia" w:ascii="宋体" w:hAnsi="宋体" w:cs="宋体"/>
                <w:b w:val="0"/>
                <w:bCs/>
                <w:sz w:val="20"/>
                <w:szCs w:val="20"/>
                <w:lang w:val="en-US" w:eastAsia="zh-CN"/>
              </w:rPr>
            </w:pPr>
            <w:r>
              <w:rPr>
                <w:rFonts w:hint="eastAsia" w:ascii="宋体" w:hAnsi="宋体" w:cs="宋体"/>
                <w:b w:val="0"/>
                <w:bCs/>
                <w:sz w:val="20"/>
                <w:szCs w:val="20"/>
                <w:lang w:val="en-US" w:eastAsia="zh-CN"/>
              </w:rPr>
              <w:t>17.撞击声压级改善量：</w:t>
            </w:r>
            <w:r>
              <w:rPr>
                <w:rFonts w:hint="eastAsia" w:ascii="宋体" w:hAnsi="宋体" w:eastAsia="宋体" w:cs="宋体"/>
                <w:b w:val="0"/>
                <w:bCs/>
                <w:sz w:val="20"/>
                <w:szCs w:val="20"/>
                <w:lang w:val="en-US" w:eastAsia="zh-CN"/>
              </w:rPr>
              <w:t>≥</w:t>
            </w:r>
            <w:r>
              <w:rPr>
                <w:rFonts w:hint="eastAsia" w:ascii="宋体" w:hAnsi="宋体" w:cs="宋体"/>
                <w:b w:val="0"/>
                <w:bCs/>
                <w:sz w:val="20"/>
                <w:szCs w:val="20"/>
                <w:lang w:val="en-US" w:eastAsia="zh-CN"/>
              </w:rPr>
              <w:t>10dB</w:t>
            </w:r>
          </w:p>
          <w:p>
            <w:pPr>
              <w:widowControl/>
              <w:numPr>
                <w:ilvl w:val="0"/>
                <w:numId w:val="0"/>
              </w:numPr>
              <w:spacing w:line="360" w:lineRule="auto"/>
              <w:jc w:val="left"/>
              <w:rPr>
                <w:rFonts w:hint="default" w:ascii="宋体" w:hAnsi="宋体" w:cs="宋体"/>
                <w:b w:val="0"/>
                <w:bCs/>
                <w:sz w:val="20"/>
                <w:szCs w:val="20"/>
                <w:lang w:val="en-US" w:eastAsia="zh-CN"/>
              </w:rPr>
            </w:pPr>
            <w:r>
              <w:rPr>
                <w:rFonts w:hint="eastAsia" w:ascii="宋体" w:hAnsi="宋体" w:eastAsia="宋体" w:cs="宋体"/>
                <w:b w:val="0"/>
                <w:bCs/>
                <w:sz w:val="20"/>
                <w:szCs w:val="20"/>
              </w:rPr>
              <w:t>▲</w:t>
            </w:r>
            <w:r>
              <w:rPr>
                <w:rFonts w:hint="eastAsia" w:ascii="宋体" w:hAnsi="宋体" w:cs="宋体"/>
                <w:b w:val="0"/>
                <w:bCs/>
                <w:sz w:val="20"/>
                <w:szCs w:val="20"/>
                <w:lang w:val="en-US" w:eastAsia="zh-CN"/>
              </w:rPr>
              <w:t>18.中性盐雾试验测试（1000h）（GB/T2423.17-2008）：试验后，所有样品均无明显变化，无变色、开裂、变形、起泡等现象；</w:t>
            </w:r>
          </w:p>
          <w:p>
            <w:pPr>
              <w:widowControl/>
              <w:numPr>
                <w:ilvl w:val="0"/>
                <w:numId w:val="0"/>
              </w:numPr>
              <w:spacing w:line="360" w:lineRule="auto"/>
              <w:jc w:val="left"/>
              <w:rPr>
                <w:rFonts w:hint="default" w:ascii="Times New Roman" w:hAnsi="Times New Roman" w:eastAsia="Times New Roman"/>
                <w:b w:val="0"/>
                <w:bCs/>
                <w:sz w:val="20"/>
                <w:szCs w:val="20"/>
                <w:lang w:val="zh-CN"/>
              </w:rPr>
            </w:pPr>
            <w:r>
              <w:rPr>
                <w:rFonts w:hint="eastAsia" w:ascii="宋体" w:hAnsi="宋体" w:eastAsia="宋体" w:cs="宋体"/>
                <w:b w:val="0"/>
                <w:bCs/>
                <w:sz w:val="20"/>
                <w:szCs w:val="20"/>
              </w:rPr>
              <w:t>▲</w:t>
            </w:r>
            <w:r>
              <w:rPr>
                <w:rFonts w:hint="eastAsia" w:ascii="宋体" w:hAnsi="宋体" w:cs="宋体"/>
                <w:b w:val="0"/>
                <w:bCs/>
                <w:sz w:val="20"/>
                <w:szCs w:val="20"/>
                <w:lang w:val="en-US" w:eastAsia="zh-CN"/>
              </w:rPr>
              <w:t>19.</w:t>
            </w:r>
            <w:r>
              <w:rPr>
                <w:rFonts w:hint="eastAsia" w:ascii="宋体" w:hAnsi="宋体" w:cs="宋体"/>
                <w:b w:val="0"/>
                <w:bCs/>
                <w:color w:val="000000"/>
                <w:sz w:val="20"/>
                <w:szCs w:val="20"/>
                <w:lang w:val="en-US" w:eastAsia="zh-CN"/>
              </w:rPr>
              <w:t>热空气老化(GB/T 3512-2001)（1000h）：试验后，所有样品均无明显变化，无开裂、起泡。</w:t>
            </w:r>
          </w:p>
          <w:p>
            <w:pPr>
              <w:widowControl/>
              <w:numPr>
                <w:ilvl w:val="0"/>
                <w:numId w:val="0"/>
              </w:numPr>
              <w:spacing w:line="360" w:lineRule="auto"/>
              <w:jc w:val="left"/>
              <w:rPr>
                <w:rFonts w:hint="eastAsia" w:ascii="宋体" w:hAnsi="宋体" w:cs="宋体"/>
                <w:b w:val="0"/>
                <w:bCs/>
                <w:color w:val="000000"/>
                <w:sz w:val="20"/>
                <w:szCs w:val="20"/>
                <w:lang w:val="en-US" w:eastAsia="zh-CN"/>
              </w:rPr>
            </w:pPr>
            <w:r>
              <w:rPr>
                <w:rFonts w:hint="eastAsia" w:ascii="宋体" w:hAnsi="宋体" w:eastAsia="宋体" w:cs="宋体"/>
                <w:b w:val="0"/>
                <w:bCs/>
                <w:sz w:val="20"/>
                <w:szCs w:val="20"/>
              </w:rPr>
              <w:t>▲</w:t>
            </w:r>
            <w:r>
              <w:rPr>
                <w:rFonts w:hint="eastAsia" w:ascii="宋体" w:hAnsi="宋体" w:cs="宋体"/>
                <w:b w:val="0"/>
                <w:bCs/>
                <w:sz w:val="20"/>
                <w:szCs w:val="20"/>
                <w:lang w:val="en-US" w:eastAsia="zh-CN"/>
              </w:rPr>
              <w:t>20.</w:t>
            </w:r>
            <w:r>
              <w:rPr>
                <w:rFonts w:hint="eastAsia" w:ascii="Times New Roman" w:hAnsi="Times New Roman"/>
                <w:b w:val="0"/>
                <w:bCs/>
                <w:sz w:val="20"/>
                <w:szCs w:val="20"/>
                <w:lang w:val="en-US" w:eastAsia="zh-CN"/>
              </w:rPr>
              <w:t>大</w:t>
            </w:r>
            <w:r>
              <w:rPr>
                <w:rFonts w:hint="default" w:ascii="Times New Roman" w:hAnsi="Times New Roman" w:eastAsia="Times New Roman"/>
                <w:b w:val="0"/>
                <w:bCs/>
                <w:sz w:val="20"/>
                <w:szCs w:val="20"/>
                <w:lang w:val="zh-CN"/>
              </w:rPr>
              <w:t>鼠经口毒性试验测试（14察期）性死亡率≤0%。</w:t>
            </w:r>
          </w:p>
          <w:p>
            <w:pPr>
              <w:spacing w:beforeLines="0" w:afterLines="0" w:line="360" w:lineRule="auto"/>
              <w:rPr>
                <w:rFonts w:hint="eastAsia" w:ascii="Times New Roman" w:hAnsi="Times New Roman" w:eastAsia="Times New Roman"/>
                <w:b w:val="0"/>
                <w:bCs/>
                <w:sz w:val="20"/>
                <w:szCs w:val="20"/>
                <w:lang w:val="zh-CN"/>
              </w:rPr>
            </w:pPr>
            <w:r>
              <w:rPr>
                <w:rFonts w:hint="eastAsia" w:ascii="宋体" w:hAnsi="宋体" w:eastAsia="宋体" w:cs="宋体"/>
                <w:b w:val="0"/>
                <w:bCs/>
                <w:sz w:val="20"/>
                <w:szCs w:val="20"/>
              </w:rPr>
              <w:t>▲</w:t>
            </w:r>
            <w:r>
              <w:rPr>
                <w:rFonts w:hint="eastAsia" w:ascii="宋体" w:hAnsi="宋体" w:cs="宋体"/>
                <w:b w:val="0"/>
                <w:bCs/>
                <w:sz w:val="20"/>
                <w:szCs w:val="20"/>
                <w:lang w:val="en-US" w:eastAsia="zh-CN"/>
              </w:rPr>
              <w:t>21.急性皮肤刺激性/腐蚀性试验：通过GB/T21604-2008测试，检测结果为无刺激性。</w:t>
            </w:r>
          </w:p>
          <w:p>
            <w:pPr>
              <w:spacing w:beforeLines="0" w:afterLines="0" w:line="360" w:lineRule="auto"/>
              <w:rPr>
                <w:rFonts w:hint="eastAsia" w:ascii="宋体" w:hAnsi="宋体" w:cs="宋体"/>
                <w:b w:val="0"/>
                <w:bCs/>
                <w:sz w:val="20"/>
                <w:szCs w:val="20"/>
                <w:lang w:val="en-US" w:eastAsia="zh-CN"/>
              </w:rPr>
            </w:pPr>
            <w:r>
              <w:rPr>
                <w:rFonts w:hint="eastAsia" w:ascii="宋体" w:hAnsi="宋体" w:eastAsia="宋体" w:cs="宋体"/>
                <w:b w:val="0"/>
                <w:bCs/>
                <w:sz w:val="20"/>
                <w:szCs w:val="20"/>
              </w:rPr>
              <w:t>▲</w:t>
            </w:r>
            <w:r>
              <w:rPr>
                <w:rFonts w:hint="eastAsia" w:ascii="宋体" w:hAnsi="宋体" w:cs="宋体"/>
                <w:b w:val="0"/>
                <w:bCs/>
                <w:sz w:val="20"/>
                <w:szCs w:val="20"/>
                <w:lang w:val="en-US" w:eastAsia="zh-CN"/>
              </w:rPr>
              <w:t>22.耐污染性：擦拭产品表面后，污渍完全消失（包括咖啡、尿液（6.6%尿素溶液）、绿茶、石灰浆（石灰：水=1：1）、可乐、黑色墨水、建筑涂料标准配制灰：水=1：1、蜡笔、液体鞋油、口香糖等10种以上污染物）。</w:t>
            </w:r>
          </w:p>
          <w:p>
            <w:pPr>
              <w:spacing w:line="360" w:lineRule="auto"/>
              <w:rPr>
                <w:rFonts w:hint="default" w:ascii="Calibri" w:hAnsi="Calibri"/>
                <w:b/>
                <w:sz w:val="18"/>
                <w:szCs w:val="20"/>
                <w:lang w:val="en-US" w:eastAsia="zh-CN"/>
              </w:rPr>
            </w:pPr>
            <w:r>
              <w:rPr>
                <w:rFonts w:hint="default" w:ascii="Calibri" w:hAnsi="Calibri"/>
                <w:b/>
                <w:sz w:val="18"/>
                <w:szCs w:val="20"/>
                <w:lang w:val="en-US" w:eastAsia="zh-CN"/>
              </w:rPr>
              <w:t>注：以上带有“</w:t>
            </w:r>
            <w:r>
              <w:rPr>
                <w:rFonts w:hint="eastAsia" w:ascii="宋体" w:hAnsi="宋体" w:eastAsia="宋体" w:cs="宋体"/>
                <w:b/>
                <w:sz w:val="21"/>
                <w:szCs w:val="21"/>
              </w:rPr>
              <w:t>▲</w:t>
            </w:r>
            <w:r>
              <w:rPr>
                <w:rFonts w:hint="default" w:ascii="Calibri" w:hAnsi="Calibri"/>
                <w:b/>
                <w:sz w:val="18"/>
                <w:szCs w:val="20"/>
                <w:lang w:val="en-US" w:eastAsia="zh-CN"/>
              </w:rPr>
              <w:t>”项为</w:t>
            </w:r>
            <w:r>
              <w:rPr>
                <w:rFonts w:hint="eastAsia" w:ascii="Calibri" w:hAnsi="Calibri"/>
                <w:b/>
                <w:sz w:val="18"/>
                <w:szCs w:val="20"/>
                <w:lang w:val="en-US" w:eastAsia="zh-CN"/>
              </w:rPr>
              <w:t>重要参数</w:t>
            </w:r>
            <w:r>
              <w:rPr>
                <w:rFonts w:hint="default" w:ascii="Calibri" w:hAnsi="Calibri"/>
                <w:b/>
                <w:sz w:val="18"/>
                <w:szCs w:val="20"/>
                <w:lang w:val="en-US" w:eastAsia="zh-CN"/>
              </w:rPr>
              <w:t>，</w:t>
            </w:r>
            <w:r>
              <w:rPr>
                <w:rFonts w:hint="eastAsia" w:ascii="Calibri" w:hAnsi="Calibri"/>
                <w:b/>
                <w:sz w:val="18"/>
                <w:szCs w:val="20"/>
                <w:lang w:val="en-US" w:eastAsia="zh-CN"/>
              </w:rPr>
              <w:t>每项不满足扣3分，扣完为止。</w:t>
            </w:r>
          </w:p>
          <w:p>
            <w:pPr>
              <w:spacing w:beforeLines="0" w:afterLines="0" w:line="360" w:lineRule="auto"/>
              <w:rPr>
                <w:rFonts w:hint="eastAsia" w:ascii="宋体" w:hAnsi="宋体" w:cs="宋体"/>
                <w:b w:val="0"/>
                <w:bCs/>
                <w:sz w:val="20"/>
                <w:szCs w:val="20"/>
                <w:lang w:val="en-US" w:eastAsia="zh-CN"/>
              </w:rPr>
            </w:pPr>
          </w:p>
          <w:p>
            <w:pPr>
              <w:spacing w:beforeLines="0" w:afterLines="0" w:line="400" w:lineRule="exact"/>
              <w:rPr>
                <w:rFonts w:hint="eastAsia" w:ascii="宋体" w:hAnsi="宋体" w:cs="宋体"/>
                <w:b w:val="0"/>
                <w:bCs/>
                <w:sz w:val="21"/>
                <w:szCs w:val="21"/>
                <w:lang w:val="zh-CN" w:eastAsia="zh-CN"/>
              </w:rPr>
            </w:pPr>
          </w:p>
          <w:p>
            <w:pPr>
              <w:widowControl/>
              <w:rPr>
                <w:rFonts w:ascii="宋体" w:hAnsi="宋体" w:cs="宋体"/>
                <w:color w:val="000000"/>
                <w:kern w:val="0"/>
                <w:sz w:val="18"/>
                <w:szCs w:val="18"/>
              </w:rPr>
            </w:pPr>
          </w:p>
        </w:tc>
        <w:tc>
          <w:tcPr>
            <w:tcW w:w="458" w:type="pct"/>
            <w:tcBorders>
              <w:top w:val="nil"/>
              <w:left w:val="nil"/>
              <w:bottom w:val="single" w:color="auto" w:sz="4" w:space="0"/>
              <w:right w:val="single" w:color="auto" w:sz="4" w:space="0"/>
            </w:tcBorders>
            <w:noWrap w:val="0"/>
            <w:vAlign w:val="center"/>
          </w:tcPr>
          <w:p>
            <w:pPr>
              <w:widowControl/>
              <w:jc w:val="center"/>
              <w:rPr>
                <w:rFonts w:hint="eastAsia" w:eastAsia="宋体"/>
                <w:b/>
                <w:bCs/>
                <w:color w:val="000000"/>
                <w:kern w:val="0"/>
                <w:sz w:val="18"/>
                <w:szCs w:val="18"/>
                <w:lang w:val="en-US" w:eastAsia="zh-CN"/>
              </w:rPr>
            </w:pPr>
            <w:r>
              <w:rPr>
                <w:rFonts w:hint="eastAsia"/>
                <w:b/>
                <w:bCs/>
                <w:color w:val="000000"/>
                <w:kern w:val="0"/>
                <w:sz w:val="18"/>
                <w:szCs w:val="18"/>
                <w:lang w:val="en-US" w:eastAsia="zh-CN"/>
              </w:rPr>
              <w:t>平方米</w:t>
            </w:r>
          </w:p>
        </w:tc>
        <w:tc>
          <w:tcPr>
            <w:tcW w:w="367"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b/>
                <w:bCs/>
                <w:color w:val="000000"/>
                <w:kern w:val="0"/>
                <w:sz w:val="20"/>
                <w:szCs w:val="20"/>
                <w:lang w:val="en-US" w:eastAsia="zh-CN"/>
              </w:rPr>
              <w:t>720</w:t>
            </w:r>
          </w:p>
        </w:tc>
      </w:tr>
      <w:tr>
        <w:tblPrEx>
          <w:tblCellMar>
            <w:top w:w="0" w:type="dxa"/>
            <w:left w:w="108" w:type="dxa"/>
            <w:bottom w:w="0" w:type="dxa"/>
            <w:right w:w="108" w:type="dxa"/>
          </w:tblCellMar>
        </w:tblPrEx>
        <w:trPr>
          <w:trHeight w:val="1530" w:hRule="atLeast"/>
        </w:trPr>
        <w:tc>
          <w:tcPr>
            <w:tcW w:w="819" w:type="pct"/>
            <w:tcBorders>
              <w:top w:val="nil"/>
              <w:left w:val="single" w:color="auto" w:sz="4" w:space="0"/>
              <w:bottom w:val="nil"/>
              <w:right w:val="single" w:color="auto" w:sz="4" w:space="0"/>
            </w:tcBorders>
            <w:noWrap w:val="0"/>
            <w:vAlign w:val="center"/>
          </w:tcPr>
          <w:p>
            <w:pPr>
              <w:widowControl/>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悬浮缓冲垫</w:t>
            </w:r>
          </w:p>
        </w:tc>
        <w:tc>
          <w:tcPr>
            <w:tcW w:w="3354" w:type="pct"/>
            <w:tcBorders>
              <w:top w:val="nil"/>
              <w:left w:val="nil"/>
              <w:bottom w:val="nil"/>
              <w:right w:val="single" w:color="auto" w:sz="4" w:space="0"/>
            </w:tcBorders>
            <w:noWrap w:val="0"/>
            <w:vAlign w:val="center"/>
          </w:tcPr>
          <w:p>
            <w:pPr>
              <w:spacing w:line="360" w:lineRule="auto"/>
              <w:rPr>
                <w:rFonts w:hint="default"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1.PP悬浮拼装地板</w:t>
            </w:r>
          </w:p>
          <w:p>
            <w:pPr>
              <w:spacing w:line="360" w:lineRule="auto"/>
              <w:rPr>
                <w:rFonts w:hint="default"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2、</w:t>
            </w:r>
            <w:r>
              <w:rPr>
                <w:rFonts w:hint="default" w:ascii="Calibri" w:hAnsi="Calibri"/>
                <w:b w:val="0"/>
                <w:bCs w:val="0"/>
                <w:color w:val="00B0F0"/>
                <w:sz w:val="20"/>
                <w:szCs w:val="21"/>
                <w:lang w:val="en-US" w:eastAsia="zh-CN"/>
              </w:rPr>
              <w:t>球类回弹值≥95%</w:t>
            </w:r>
            <w:r>
              <w:rPr>
                <w:rFonts w:hint="eastAsia" w:ascii="Calibri" w:hAnsi="Calibri"/>
                <w:b w:val="0"/>
                <w:bCs w:val="0"/>
                <w:color w:val="00B0F0"/>
                <w:sz w:val="20"/>
                <w:szCs w:val="21"/>
                <w:lang w:val="en-US" w:eastAsia="zh-CN"/>
              </w:rPr>
              <w:t>、</w:t>
            </w:r>
            <w:r>
              <w:rPr>
                <w:rFonts w:hint="default" w:ascii="Calibri" w:hAnsi="Calibri"/>
                <w:b w:val="0"/>
                <w:bCs w:val="0"/>
                <w:color w:val="00B0F0"/>
                <w:sz w:val="20"/>
                <w:szCs w:val="21"/>
                <w:lang w:val="en-US" w:eastAsia="zh-CN"/>
              </w:rPr>
              <w:t>冲击吸收≥5.0%</w:t>
            </w:r>
          </w:p>
          <w:p>
            <w:pPr>
              <w:spacing w:line="360" w:lineRule="auto"/>
              <w:rPr>
                <w:rFonts w:hint="default"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3、</w:t>
            </w:r>
            <w:r>
              <w:rPr>
                <w:rFonts w:hint="default" w:ascii="Calibri" w:hAnsi="Calibri"/>
                <w:b w:val="0"/>
                <w:bCs w:val="0"/>
                <w:color w:val="00B0F0"/>
                <w:sz w:val="20"/>
                <w:szCs w:val="21"/>
                <w:lang w:val="en-US" w:eastAsia="zh-CN"/>
              </w:rPr>
              <w:t>抗滑值BPN20℃≥47</w:t>
            </w:r>
          </w:p>
          <w:p>
            <w:pPr>
              <w:spacing w:line="360" w:lineRule="auto"/>
              <w:rPr>
                <w:rFonts w:hint="default"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4、</w:t>
            </w:r>
            <w:r>
              <w:rPr>
                <w:rFonts w:hint="default" w:ascii="Calibri" w:hAnsi="Calibri"/>
                <w:b w:val="0"/>
                <w:bCs w:val="0"/>
                <w:color w:val="00B0F0"/>
                <w:sz w:val="20"/>
                <w:szCs w:val="21"/>
                <w:lang w:val="en-US" w:eastAsia="zh-CN"/>
              </w:rPr>
              <w:t>苯24小时释放量≤0.5mg/m³</w:t>
            </w:r>
          </w:p>
          <w:p>
            <w:pPr>
              <w:spacing w:line="360" w:lineRule="auto"/>
              <w:rPr>
                <w:rFonts w:hint="default"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5、</w:t>
            </w:r>
            <w:r>
              <w:rPr>
                <w:rFonts w:hint="default" w:ascii="Calibri" w:hAnsi="Calibri"/>
                <w:b w:val="0"/>
                <w:bCs w:val="0"/>
                <w:color w:val="00B0F0"/>
                <w:sz w:val="20"/>
                <w:szCs w:val="21"/>
                <w:lang w:val="en-US" w:eastAsia="zh-CN"/>
              </w:rPr>
              <w:t>垂直变形≥0.5mm</w:t>
            </w:r>
          </w:p>
          <w:p>
            <w:pPr>
              <w:spacing w:line="360" w:lineRule="auto"/>
              <w:rPr>
                <w:rFonts w:hint="default"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6、</w:t>
            </w:r>
            <w:r>
              <w:rPr>
                <w:rFonts w:hint="default" w:ascii="Calibri" w:hAnsi="Calibri"/>
                <w:b w:val="0"/>
                <w:bCs w:val="0"/>
                <w:color w:val="00B0F0"/>
                <w:sz w:val="20"/>
                <w:szCs w:val="21"/>
                <w:lang w:val="en-US" w:eastAsia="zh-CN"/>
              </w:rPr>
              <w:t>阻燃Ι级</w:t>
            </w:r>
          </w:p>
          <w:p>
            <w:pPr>
              <w:spacing w:line="360" w:lineRule="auto"/>
              <w:rPr>
                <w:rFonts w:hint="default"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7、</w:t>
            </w:r>
            <w:r>
              <w:rPr>
                <w:rFonts w:hint="default" w:ascii="Calibri" w:hAnsi="Calibri"/>
                <w:b w:val="0"/>
                <w:bCs w:val="0"/>
                <w:color w:val="00B0F0"/>
                <w:sz w:val="20"/>
                <w:szCs w:val="21"/>
                <w:lang w:val="en-US" w:eastAsia="zh-CN"/>
              </w:rPr>
              <w:t>拉伸模量MPa</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≥300</w:t>
            </w:r>
            <w:r>
              <w:rPr>
                <w:rFonts w:hint="eastAsia" w:ascii="Calibri" w:hAnsi="Calibri"/>
                <w:b w:val="0"/>
                <w:bCs w:val="0"/>
                <w:color w:val="00B0F0"/>
                <w:sz w:val="20"/>
                <w:szCs w:val="21"/>
                <w:lang w:val="en-US" w:eastAsia="zh-CN"/>
              </w:rPr>
              <w:t>、</w:t>
            </w:r>
            <w:r>
              <w:rPr>
                <w:rFonts w:hint="default" w:ascii="Calibri" w:hAnsi="Calibri"/>
                <w:b w:val="0"/>
                <w:bCs w:val="0"/>
                <w:color w:val="00B0F0"/>
                <w:sz w:val="20"/>
                <w:szCs w:val="21"/>
                <w:lang w:val="en-US" w:eastAsia="zh-CN"/>
              </w:rPr>
              <w:t>弯曲强度MPa</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≥20</w:t>
            </w:r>
          </w:p>
          <w:p>
            <w:pPr>
              <w:spacing w:line="360" w:lineRule="auto"/>
              <w:rPr>
                <w:rFonts w:hint="default"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8、</w:t>
            </w:r>
            <w:r>
              <w:rPr>
                <w:rFonts w:hint="default" w:ascii="Calibri" w:hAnsi="Calibri"/>
                <w:b w:val="0"/>
                <w:bCs w:val="0"/>
                <w:color w:val="00B0F0"/>
                <w:sz w:val="20"/>
                <w:szCs w:val="21"/>
                <w:lang w:val="en-US" w:eastAsia="zh-CN"/>
              </w:rPr>
              <w:t>拉伸屈服应力MPa</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≥25</w:t>
            </w:r>
          </w:p>
          <w:p>
            <w:pPr>
              <w:spacing w:line="360" w:lineRule="auto"/>
              <w:rPr>
                <w:rFonts w:hint="eastAsia"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9、</w:t>
            </w:r>
            <w:r>
              <w:rPr>
                <w:rFonts w:hint="default" w:ascii="Calibri" w:hAnsi="Calibri"/>
                <w:b w:val="0"/>
                <w:bCs w:val="0"/>
                <w:color w:val="00B0F0"/>
                <w:sz w:val="20"/>
                <w:szCs w:val="21"/>
                <w:lang w:val="en-US" w:eastAsia="zh-CN"/>
              </w:rPr>
              <w:t>负荷变形温度GB/T1634.1-2004方法B测试）≥85℃</w:t>
            </w:r>
            <w:r>
              <w:rPr>
                <w:rFonts w:hint="eastAsia" w:ascii="Calibri" w:hAnsi="Calibri"/>
                <w:b w:val="0"/>
                <w:bCs w:val="0"/>
                <w:color w:val="00B0F0"/>
                <w:sz w:val="20"/>
                <w:szCs w:val="21"/>
                <w:lang w:val="en-US" w:eastAsia="zh-CN"/>
              </w:rPr>
              <w:t>、</w:t>
            </w:r>
          </w:p>
          <w:p>
            <w:pPr>
              <w:spacing w:line="360" w:lineRule="auto"/>
              <w:rPr>
                <w:rFonts w:hint="default" w:ascii="Calibri" w:hAnsi="Calibri"/>
                <w:b w:val="0"/>
                <w:bCs w:val="0"/>
                <w:color w:val="00B0F0"/>
                <w:sz w:val="20"/>
                <w:szCs w:val="21"/>
                <w:lang w:val="en-US" w:eastAsia="zh-CN"/>
              </w:rPr>
            </w:pPr>
            <w:r>
              <w:rPr>
                <w:rFonts w:hint="default" w:ascii="Calibri" w:hAnsi="Calibri"/>
                <w:b w:val="0"/>
                <w:bCs w:val="0"/>
                <w:color w:val="00B0F0"/>
                <w:sz w:val="20"/>
                <w:szCs w:val="21"/>
                <w:lang w:val="en-US" w:eastAsia="zh-CN"/>
              </w:rPr>
              <w:t>70℃弯曲模量MPa</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≥300</w:t>
            </w:r>
          </w:p>
          <w:p>
            <w:pPr>
              <w:spacing w:line="360" w:lineRule="auto"/>
              <w:rPr>
                <w:rFonts w:hint="default" w:ascii="Calibri" w:hAnsi="Calibri"/>
                <w:b w:val="0"/>
                <w:bCs w:val="0"/>
                <w:color w:val="00B0F0"/>
                <w:sz w:val="20"/>
                <w:szCs w:val="21"/>
                <w:lang w:val="en-US" w:eastAsia="zh-CN"/>
              </w:rPr>
            </w:pPr>
            <w:r>
              <w:rPr>
                <w:rFonts w:hint="eastAsia" w:ascii="Calibri" w:hAnsi="Calibri"/>
                <w:b w:val="0"/>
                <w:bCs w:val="0"/>
                <w:color w:val="00B0F0"/>
                <w:sz w:val="20"/>
                <w:szCs w:val="21"/>
                <w:lang w:val="en-US" w:eastAsia="zh-CN"/>
              </w:rPr>
              <w:t>10、</w:t>
            </w:r>
            <w:r>
              <w:rPr>
                <w:rFonts w:hint="default" w:ascii="Calibri" w:hAnsi="Calibri"/>
                <w:b w:val="0"/>
                <w:bCs w:val="0"/>
                <w:color w:val="00B0F0"/>
                <w:sz w:val="20"/>
                <w:szCs w:val="21"/>
                <w:lang w:val="en-US" w:eastAsia="zh-CN"/>
              </w:rPr>
              <w:t>耐人造光色牢度（GB/T 8427-2008方法测试）≥6级</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11、</w:t>
            </w:r>
            <w:r>
              <w:rPr>
                <w:rFonts w:hint="default" w:ascii="Calibri" w:hAnsi="Calibri"/>
                <w:b w:val="0"/>
                <w:bCs w:val="0"/>
                <w:color w:val="00B0F0"/>
                <w:sz w:val="20"/>
                <w:szCs w:val="21"/>
                <w:lang w:val="en-US" w:eastAsia="zh-CN"/>
              </w:rPr>
              <w:t>模塑收缩率（GB/T17037.4-2003方法测试</w:t>
            </w:r>
            <w:r>
              <w:rPr>
                <w:rFonts w:hint="eastAsia" w:ascii="Calibri" w:hAnsi="Calibri"/>
                <w:b w:val="0"/>
                <w:bCs w:val="0"/>
                <w:color w:val="00B0F0"/>
                <w:sz w:val="20"/>
                <w:szCs w:val="21"/>
                <w:lang w:val="en-US" w:eastAsia="zh-CN"/>
              </w:rPr>
              <w:t>）</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≤1.5%</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12、</w:t>
            </w:r>
            <w:r>
              <w:rPr>
                <w:rFonts w:hint="default" w:ascii="Calibri" w:hAnsi="Calibri"/>
                <w:b w:val="0"/>
                <w:bCs w:val="0"/>
                <w:color w:val="00B0F0"/>
                <w:sz w:val="20"/>
                <w:szCs w:val="21"/>
                <w:lang w:val="en-US" w:eastAsia="zh-CN"/>
              </w:rPr>
              <w:t>甲醛测试（ISO 17226-1:2008方法检测）≤1.0mg/kg</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13、</w:t>
            </w:r>
            <w:r>
              <w:rPr>
                <w:rFonts w:hint="default" w:ascii="Calibri" w:hAnsi="Calibri"/>
                <w:b w:val="0"/>
                <w:bCs w:val="0"/>
                <w:color w:val="00B0F0"/>
                <w:sz w:val="20"/>
                <w:szCs w:val="21"/>
                <w:lang w:val="en-US" w:eastAsia="zh-CN"/>
              </w:rPr>
              <w:t>弯曲破坏载荷保留率(抗冻融性)≥70%</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14、</w:t>
            </w:r>
            <w:r>
              <w:rPr>
                <w:rFonts w:hint="default" w:ascii="Calibri" w:hAnsi="Calibri"/>
                <w:b w:val="0"/>
                <w:bCs w:val="0"/>
                <w:color w:val="00B0F0"/>
                <w:sz w:val="20"/>
                <w:szCs w:val="21"/>
                <w:lang w:val="en-US" w:eastAsia="zh-CN"/>
              </w:rPr>
              <w:t>低温落球冲击</w:t>
            </w:r>
            <w:r>
              <w:rPr>
                <w:rFonts w:hint="eastAsia" w:ascii="Calibri" w:hAnsi="Calibri"/>
                <w:b w:val="0"/>
                <w:bCs w:val="0"/>
                <w:color w:val="00B0F0"/>
                <w:sz w:val="20"/>
                <w:szCs w:val="21"/>
                <w:lang w:val="en-US" w:eastAsia="zh-CN"/>
              </w:rPr>
              <w:t>:</w:t>
            </w:r>
            <w:r>
              <w:rPr>
                <w:rFonts w:hint="default" w:ascii="Calibri" w:hAnsi="Calibri"/>
                <w:b w:val="0"/>
                <w:bCs w:val="0"/>
                <w:color w:val="00B0F0"/>
                <w:sz w:val="20"/>
                <w:szCs w:val="21"/>
                <w:lang w:val="en-US" w:eastAsia="zh-CN"/>
              </w:rPr>
              <w:t>无裂痕</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15、</w:t>
            </w:r>
            <w:r>
              <w:rPr>
                <w:rFonts w:hint="default" w:ascii="Calibri" w:hAnsi="Calibri"/>
                <w:b w:val="0"/>
                <w:bCs w:val="0"/>
                <w:color w:val="00B0F0"/>
                <w:sz w:val="20"/>
                <w:szCs w:val="21"/>
                <w:lang w:val="en-US" w:eastAsia="zh-CN"/>
              </w:rPr>
              <w:t>1000h盐雾老化后硬度≥56</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16、</w:t>
            </w:r>
            <w:r>
              <w:rPr>
                <w:rFonts w:hint="default" w:ascii="Calibri" w:hAnsi="Calibri"/>
                <w:b w:val="0"/>
                <w:bCs w:val="0"/>
                <w:color w:val="00B0F0"/>
                <w:sz w:val="20"/>
                <w:szCs w:val="21"/>
                <w:lang w:val="en-US" w:eastAsia="zh-CN"/>
              </w:rPr>
              <w:t>1000h盐雾老化后残余凹陷≤0.1mm</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17、</w:t>
            </w:r>
            <w:r>
              <w:rPr>
                <w:rFonts w:hint="default" w:ascii="Calibri" w:hAnsi="Calibri"/>
                <w:b w:val="0"/>
                <w:bCs w:val="0"/>
                <w:color w:val="00B0F0"/>
                <w:sz w:val="20"/>
                <w:szCs w:val="21"/>
                <w:lang w:val="en-US" w:eastAsia="zh-CN"/>
              </w:rPr>
              <w:t>热空气老化(1000h)(GB/T 3512-2001)</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试验后，所有样品均无明显变化，无开裂、起泡，老化后冲击吸收≥15%</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18、</w:t>
            </w:r>
            <w:r>
              <w:rPr>
                <w:rFonts w:hint="default" w:ascii="Calibri" w:hAnsi="Calibri"/>
                <w:b w:val="0"/>
                <w:bCs w:val="0"/>
                <w:color w:val="00B0F0"/>
                <w:sz w:val="20"/>
                <w:szCs w:val="21"/>
                <w:lang w:val="en-US" w:eastAsia="zh-CN"/>
              </w:rPr>
              <w:t>低温测试（-50℃，1000h）</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外观无粉化、开裂现象</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19、</w:t>
            </w:r>
            <w:r>
              <w:rPr>
                <w:rFonts w:hint="default" w:ascii="Calibri" w:hAnsi="Calibri"/>
                <w:b w:val="0"/>
                <w:bCs w:val="0"/>
                <w:color w:val="00B0F0"/>
                <w:sz w:val="20"/>
                <w:szCs w:val="21"/>
                <w:lang w:val="en-US" w:eastAsia="zh-CN"/>
              </w:rPr>
              <w:t>依据REACH法规对产品中209种高度关注物质（SVHC）进行筛选测试</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所检测的高度关注物质（SVHC）的含量都≤0.1%（w/w）</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20、</w:t>
            </w:r>
            <w:r>
              <w:rPr>
                <w:rFonts w:hint="default" w:ascii="Calibri" w:hAnsi="Calibri"/>
                <w:b w:val="0"/>
                <w:bCs w:val="0"/>
                <w:color w:val="00B0F0"/>
                <w:sz w:val="20"/>
                <w:szCs w:val="21"/>
                <w:lang w:val="en-US" w:eastAsia="zh-CN"/>
              </w:rPr>
              <w:t>大鼠经口毒性试验测试（14察期）性死亡率</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≤0%</w:t>
            </w:r>
          </w:p>
          <w:p>
            <w:pPr>
              <w:spacing w:line="360" w:lineRule="auto"/>
              <w:rPr>
                <w:rFonts w:hint="default" w:ascii="Calibri" w:hAnsi="Calibri"/>
                <w:b w:val="0"/>
                <w:bCs w:val="0"/>
                <w:color w:val="00B0F0"/>
                <w:sz w:val="20"/>
                <w:szCs w:val="21"/>
                <w:lang w:val="en-US" w:eastAsia="zh-CN"/>
              </w:rPr>
            </w:pPr>
            <w:r>
              <w:rPr>
                <w:rFonts w:hint="eastAsia" w:ascii="宋体" w:hAnsi="宋体" w:eastAsia="宋体" w:cs="宋体"/>
                <w:b/>
                <w:color w:val="00B0F0"/>
                <w:sz w:val="21"/>
                <w:szCs w:val="21"/>
              </w:rPr>
              <w:t>▲</w:t>
            </w:r>
            <w:r>
              <w:rPr>
                <w:rFonts w:hint="eastAsia" w:ascii="Calibri" w:hAnsi="Calibri"/>
                <w:b w:val="0"/>
                <w:bCs w:val="0"/>
                <w:color w:val="00B0F0"/>
                <w:sz w:val="20"/>
                <w:szCs w:val="21"/>
                <w:lang w:val="en-US" w:eastAsia="zh-CN"/>
              </w:rPr>
              <w:t>21、</w:t>
            </w:r>
            <w:r>
              <w:rPr>
                <w:rFonts w:hint="default" w:ascii="Calibri" w:hAnsi="Calibri"/>
                <w:b w:val="0"/>
                <w:bCs w:val="0"/>
                <w:color w:val="00B0F0"/>
                <w:sz w:val="20"/>
                <w:szCs w:val="21"/>
                <w:lang w:val="en-US" w:eastAsia="zh-CN"/>
              </w:rPr>
              <w:t>耐酸碱性能</w:t>
            </w:r>
            <w:r>
              <w:rPr>
                <w:rFonts w:hint="default" w:ascii="Calibri" w:hAnsi="Calibri"/>
                <w:b w:val="0"/>
                <w:bCs w:val="0"/>
                <w:color w:val="00B0F0"/>
                <w:sz w:val="20"/>
                <w:szCs w:val="21"/>
                <w:lang w:val="en-US" w:eastAsia="zh-CN"/>
              </w:rPr>
              <w:tab/>
            </w:r>
            <w:r>
              <w:rPr>
                <w:rFonts w:hint="default" w:ascii="Calibri" w:hAnsi="Calibri"/>
                <w:b w:val="0"/>
                <w:bCs w:val="0"/>
                <w:color w:val="00B0F0"/>
                <w:sz w:val="20"/>
                <w:szCs w:val="21"/>
                <w:lang w:val="en-US" w:eastAsia="zh-CN"/>
              </w:rPr>
              <w:t>40%浓度硫酸溶液，40%浓度碳酸钠，浸泡168h，试验后地板颜色无明显变色</w:t>
            </w:r>
          </w:p>
          <w:p>
            <w:pPr>
              <w:spacing w:line="360" w:lineRule="auto"/>
              <w:rPr>
                <w:rFonts w:ascii="宋体" w:hAnsi="宋体" w:cs="宋体"/>
                <w:b w:val="0"/>
                <w:bCs w:val="0"/>
                <w:color w:val="00B0F0"/>
                <w:kern w:val="0"/>
                <w:sz w:val="18"/>
                <w:szCs w:val="18"/>
              </w:rPr>
            </w:pPr>
            <w:r>
              <w:rPr>
                <w:rFonts w:hint="default" w:ascii="Calibri" w:hAnsi="Calibri"/>
                <w:b/>
                <w:bCs/>
                <w:color w:val="00B0F0"/>
                <w:sz w:val="20"/>
                <w:szCs w:val="21"/>
                <w:lang w:val="en-US" w:eastAsia="zh-CN"/>
              </w:rPr>
              <w:t>注：以上带有“</w:t>
            </w:r>
            <w:r>
              <w:rPr>
                <w:rFonts w:hint="eastAsia" w:ascii="宋体" w:hAnsi="宋体" w:eastAsia="宋体" w:cs="宋体"/>
                <w:b/>
                <w:bCs/>
                <w:color w:val="00B0F0"/>
                <w:sz w:val="22"/>
                <w:szCs w:val="22"/>
              </w:rPr>
              <w:t>▲</w:t>
            </w:r>
            <w:r>
              <w:rPr>
                <w:rFonts w:hint="default" w:ascii="Calibri" w:hAnsi="Calibri"/>
                <w:b/>
                <w:bCs/>
                <w:color w:val="00B0F0"/>
                <w:sz w:val="20"/>
                <w:szCs w:val="21"/>
                <w:lang w:val="en-US" w:eastAsia="zh-CN"/>
              </w:rPr>
              <w:t>”项为</w:t>
            </w:r>
            <w:r>
              <w:rPr>
                <w:rFonts w:hint="eastAsia" w:ascii="Calibri" w:hAnsi="Calibri"/>
                <w:b/>
                <w:bCs/>
                <w:color w:val="00B0F0"/>
                <w:sz w:val="20"/>
                <w:szCs w:val="21"/>
                <w:lang w:val="en-US" w:eastAsia="zh-CN"/>
              </w:rPr>
              <w:t>重要参数</w:t>
            </w:r>
            <w:r>
              <w:rPr>
                <w:rFonts w:hint="default" w:ascii="Calibri" w:hAnsi="Calibri"/>
                <w:b/>
                <w:bCs/>
                <w:color w:val="00B0F0"/>
                <w:sz w:val="20"/>
                <w:szCs w:val="21"/>
                <w:lang w:val="en-US" w:eastAsia="zh-CN"/>
              </w:rPr>
              <w:t>，</w:t>
            </w:r>
            <w:r>
              <w:rPr>
                <w:rFonts w:hint="eastAsia" w:ascii="Calibri" w:hAnsi="Calibri"/>
                <w:b/>
                <w:bCs/>
                <w:color w:val="00B0F0"/>
                <w:sz w:val="20"/>
                <w:szCs w:val="21"/>
                <w:lang w:val="en-US" w:eastAsia="zh-CN"/>
              </w:rPr>
              <w:t>每项不满足扣3分，扣完为止。</w:t>
            </w:r>
          </w:p>
        </w:tc>
        <w:tc>
          <w:tcPr>
            <w:tcW w:w="458" w:type="pct"/>
            <w:tcBorders>
              <w:top w:val="nil"/>
              <w:left w:val="nil"/>
              <w:bottom w:val="nil"/>
              <w:right w:val="single" w:color="auto" w:sz="4" w:space="0"/>
            </w:tcBorders>
            <w:noWrap w:val="0"/>
            <w:vAlign w:val="center"/>
          </w:tcPr>
          <w:p>
            <w:pPr>
              <w:widowControl/>
              <w:jc w:val="center"/>
              <w:rPr>
                <w:rFonts w:hint="eastAsia" w:eastAsia="宋体"/>
                <w:b/>
                <w:bCs/>
                <w:color w:val="000000"/>
                <w:kern w:val="0"/>
                <w:sz w:val="18"/>
                <w:szCs w:val="18"/>
                <w:lang w:eastAsia="zh-CN"/>
              </w:rPr>
            </w:pPr>
            <w:r>
              <w:rPr>
                <w:rFonts w:hint="eastAsia"/>
                <w:b/>
                <w:bCs/>
                <w:color w:val="000000"/>
                <w:kern w:val="0"/>
                <w:sz w:val="18"/>
                <w:szCs w:val="18"/>
                <w:lang w:eastAsia="zh-CN"/>
              </w:rPr>
              <w:t>平方米</w:t>
            </w:r>
          </w:p>
        </w:tc>
        <w:tc>
          <w:tcPr>
            <w:tcW w:w="367" w:type="pct"/>
            <w:tcBorders>
              <w:top w:val="nil"/>
              <w:left w:val="nil"/>
              <w:bottom w:val="nil"/>
              <w:right w:val="single" w:color="auto" w:sz="4" w:space="0"/>
            </w:tcBorders>
            <w:noWrap/>
            <w:vAlign w:val="center"/>
          </w:tcPr>
          <w:p>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720</w:t>
            </w:r>
          </w:p>
        </w:tc>
      </w:tr>
      <w:tr>
        <w:tblPrEx>
          <w:tblCellMar>
            <w:top w:w="0" w:type="dxa"/>
            <w:left w:w="108" w:type="dxa"/>
            <w:bottom w:w="0" w:type="dxa"/>
            <w:right w:w="108" w:type="dxa"/>
          </w:tblCellMar>
        </w:tblPrEx>
        <w:trPr>
          <w:trHeight w:val="1530" w:hRule="atLeast"/>
        </w:trPr>
        <w:tc>
          <w:tcPr>
            <w:tcW w:w="819" w:type="pct"/>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其他要求</w:t>
            </w:r>
          </w:p>
        </w:tc>
        <w:tc>
          <w:tcPr>
            <w:tcW w:w="3354" w:type="pct"/>
            <w:tcBorders>
              <w:top w:val="nil"/>
              <w:left w:val="nil"/>
              <w:bottom w:val="single" w:color="auto" w:sz="4" w:space="0"/>
              <w:right w:val="single" w:color="auto" w:sz="4" w:space="0"/>
            </w:tcBorders>
            <w:noWrap w:val="0"/>
            <w:vAlign w:val="center"/>
          </w:tcPr>
          <w:p>
            <w:pPr>
              <w:widowControl/>
              <w:spacing w:line="360" w:lineRule="auto"/>
              <w:rPr>
                <w:rFonts w:hint="eastAsia"/>
                <w:color w:val="00B0F0"/>
                <w:sz w:val="20"/>
                <w:szCs w:val="20"/>
                <w:lang w:val="en-US" w:eastAsia="zh-CN"/>
              </w:rPr>
            </w:pPr>
            <w:r>
              <w:rPr>
                <w:rFonts w:hint="eastAsia"/>
                <w:color w:val="00B0F0"/>
                <w:sz w:val="20"/>
                <w:szCs w:val="20"/>
                <w:lang w:val="en-US" w:eastAsia="zh-CN"/>
              </w:rPr>
              <w:t>✳1、提供所投地胶及悬浮缓冲垫产品品牌获得CMA及CNAS认可的检测机构出具的中性盐雾试验测试（1000h）（GB/T2423.17-2008）检测报告。</w:t>
            </w:r>
          </w:p>
          <w:p>
            <w:pPr>
              <w:widowControl/>
              <w:spacing w:line="360" w:lineRule="auto"/>
              <w:rPr>
                <w:rFonts w:hint="default"/>
                <w:color w:val="00B0F0"/>
                <w:sz w:val="20"/>
                <w:szCs w:val="20"/>
                <w:lang w:val="en-US" w:eastAsia="zh-CN"/>
              </w:rPr>
            </w:pPr>
            <w:r>
              <w:rPr>
                <w:rFonts w:hint="eastAsia"/>
                <w:color w:val="00B0F0"/>
                <w:sz w:val="20"/>
                <w:szCs w:val="20"/>
                <w:lang w:val="en-US" w:eastAsia="zh-CN"/>
              </w:rPr>
              <w:t>✳2、提供所投地胶及悬浮缓冲垫产品品牌获得CMA及CNAS认可的检测机构出具的热空气老化试验(GB/T 3512-2001)（1000h）检测报告。</w:t>
            </w:r>
          </w:p>
          <w:p>
            <w:pPr>
              <w:widowControl/>
              <w:spacing w:line="360" w:lineRule="auto"/>
              <w:rPr>
                <w:rFonts w:hint="eastAsia"/>
                <w:color w:val="00B0F0"/>
                <w:sz w:val="20"/>
                <w:szCs w:val="20"/>
                <w:lang w:val="en-US" w:eastAsia="zh-CN"/>
              </w:rPr>
            </w:pPr>
            <w:r>
              <w:rPr>
                <w:rFonts w:hint="eastAsia"/>
                <w:color w:val="00B0F0"/>
                <w:sz w:val="20"/>
                <w:szCs w:val="20"/>
                <w:lang w:val="en-US" w:eastAsia="zh-CN"/>
              </w:rPr>
              <w:t>✳3、提供所投地胶及悬浮缓冲垫产品品牌获得CMA及CNAS认可的检测机构出具的耐污染性的检测报告的（擦拭产品表面后，污渍完全消失（包括咖啡、尿液（6.6%尿素溶液）、绿茶、石灰浆（石灰：水=1：1）、可乐、黑色墨水、建筑涂料标准配制灰：水=1：1、蜡笔、液体鞋油、口香糖等10种以上污染物）。</w:t>
            </w:r>
          </w:p>
          <w:p>
            <w:pPr>
              <w:widowControl/>
              <w:spacing w:line="360" w:lineRule="auto"/>
              <w:rPr>
                <w:rFonts w:hint="eastAsia"/>
                <w:color w:val="00B0F0"/>
                <w:sz w:val="20"/>
                <w:szCs w:val="20"/>
                <w:lang w:val="en-US" w:eastAsia="zh-CN"/>
              </w:rPr>
            </w:pPr>
            <w:r>
              <w:rPr>
                <w:rFonts w:hint="eastAsia"/>
                <w:color w:val="00B0F0"/>
                <w:sz w:val="20"/>
                <w:szCs w:val="20"/>
                <w:lang w:val="en-US" w:eastAsia="zh-CN"/>
              </w:rPr>
              <w:t>✳4.提供所投地胶产品品牌获得CMA及CNAS认可的检测机构出具的回弹值、邵氏硬度（高温3000h）测试报告</w:t>
            </w:r>
          </w:p>
          <w:p>
            <w:pPr>
              <w:pStyle w:val="2"/>
              <w:spacing w:line="360" w:lineRule="auto"/>
              <w:jc w:val="both"/>
              <w:rPr>
                <w:rFonts w:hint="eastAsia"/>
                <w:color w:val="00B0F0"/>
                <w:sz w:val="20"/>
                <w:lang w:val="en-US" w:eastAsia="zh-CN"/>
              </w:rPr>
            </w:pPr>
            <w:r>
              <w:rPr>
                <w:rFonts w:hint="eastAsia" w:ascii="Times New Roman" w:hAnsi="Times New Roman" w:eastAsia="宋体" w:cs="Times New Roman"/>
                <w:bCs w:val="0"/>
                <w:color w:val="00B0F0"/>
                <w:kern w:val="2"/>
                <w:sz w:val="20"/>
                <w:szCs w:val="20"/>
                <w:lang w:val="en-US" w:eastAsia="zh-CN" w:bidi="ar-SA"/>
              </w:rPr>
              <w:t>✳5.提供所投悬浮缓冲垫产品品牌获得CMA及CNAS认可的检测机构出具的40%浓度硫酸溶液，40%浓度碳酸钠，浸泡168h试验后地板颜色无明显变色检测报告。</w:t>
            </w:r>
          </w:p>
          <w:p>
            <w:pPr>
              <w:pStyle w:val="2"/>
              <w:jc w:val="left"/>
              <w:rPr>
                <w:color w:val="00B0F0"/>
              </w:rPr>
            </w:pPr>
            <w:r>
              <w:rPr>
                <w:rFonts w:hint="eastAsia" w:ascii="Times New Roman" w:hAnsi="Times New Roman" w:eastAsia="宋体" w:cs="Times New Roman"/>
                <w:bCs w:val="0"/>
                <w:color w:val="00B0F0"/>
                <w:kern w:val="2"/>
                <w:sz w:val="20"/>
                <w:szCs w:val="20"/>
                <w:lang w:val="en-US" w:eastAsia="zh-CN" w:bidi="ar-SA"/>
              </w:rPr>
              <w:t>✳6、所投地胶品牌具有奥运会级别赛事使用证明。</w:t>
            </w:r>
          </w:p>
        </w:tc>
        <w:tc>
          <w:tcPr>
            <w:tcW w:w="458" w:type="pct"/>
            <w:tcBorders>
              <w:top w:val="nil"/>
              <w:left w:val="nil"/>
              <w:bottom w:val="single" w:color="auto" w:sz="4" w:space="0"/>
              <w:right w:val="single" w:color="auto" w:sz="4" w:space="0"/>
            </w:tcBorders>
            <w:noWrap w:val="0"/>
            <w:vAlign w:val="center"/>
          </w:tcPr>
          <w:p>
            <w:pPr>
              <w:widowControl/>
              <w:jc w:val="center"/>
              <w:rPr>
                <w:rFonts w:hint="eastAsia"/>
                <w:b/>
                <w:bCs/>
                <w:color w:val="000000"/>
                <w:kern w:val="0"/>
                <w:sz w:val="18"/>
                <w:szCs w:val="18"/>
                <w:lang w:eastAsia="zh-CN"/>
              </w:rPr>
            </w:pPr>
          </w:p>
        </w:tc>
        <w:tc>
          <w:tcPr>
            <w:tcW w:w="367" w:type="pct"/>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szCs w:val="20"/>
                <w:lang w:val="en-US" w:eastAsia="zh-CN"/>
              </w:rPr>
            </w:pPr>
          </w:p>
        </w:tc>
      </w:tr>
    </w:tbl>
    <w:p>
      <w:pPr>
        <w:pStyle w:val="2"/>
        <w:numPr>
          <w:ilvl w:val="0"/>
          <w:numId w:val="0"/>
        </w:numPr>
        <w:spacing w:before="120" w:beforeLines="50" w:after="120" w:afterLines="50"/>
        <w:ind w:leftChars="0"/>
        <w:jc w:val="both"/>
        <w:rPr>
          <w:rFonts w:hint="eastAsia"/>
          <w:sz w:val="28"/>
          <w:szCs w:val="28"/>
        </w:rPr>
      </w:pPr>
    </w:p>
    <w:p>
      <w:pPr>
        <w:pStyle w:val="2"/>
        <w:numPr>
          <w:ilvl w:val="0"/>
          <w:numId w:val="5"/>
        </w:numPr>
        <w:spacing w:before="120" w:beforeLines="50" w:after="120" w:afterLines="50" w:line="360" w:lineRule="auto"/>
        <w:ind w:left="0" w:leftChars="0" w:firstLine="0" w:firstLineChars="0"/>
        <w:rPr>
          <w:rFonts w:hint="eastAsia"/>
          <w:b/>
          <w:bCs w:val="0"/>
          <w:sz w:val="28"/>
          <w:szCs w:val="28"/>
        </w:rPr>
      </w:pPr>
      <w:r>
        <w:rPr>
          <w:rFonts w:hint="eastAsia"/>
          <w:b/>
          <w:bCs w:val="0"/>
          <w:sz w:val="28"/>
          <w:szCs w:val="28"/>
        </w:rPr>
        <w:t>项目商务要求</w:t>
      </w:r>
    </w:p>
    <w:p>
      <w:pPr>
        <w:numPr>
          <w:ilvl w:val="0"/>
          <w:numId w:val="7"/>
        </w:numPr>
        <w:adjustRightInd w:val="0"/>
        <w:snapToGrid w:val="0"/>
        <w:spacing w:line="360" w:lineRule="auto"/>
        <w:ind w:firstLine="420" w:firstLineChars="200"/>
      </w:pPr>
      <w:r>
        <w:rPr>
          <w:szCs w:val="21"/>
        </w:rPr>
        <w:t>项目验收要求：</w:t>
      </w:r>
      <w:r>
        <w:t>在项目完工调试完成后1</w:t>
      </w:r>
      <w:r>
        <w:rPr>
          <w:rFonts w:hint="eastAsia"/>
          <w:lang w:val="en-US" w:eastAsia="zh-CN"/>
        </w:rPr>
        <w:t>0</w:t>
      </w:r>
      <w:r>
        <w:t>天内，由中标人书面提出申请后，招标人按国家及行业相关规定进行竣工验收。竣工验收时间以通过竣工验收的当次书面申请时间为准。</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1、交货期：</w:t>
      </w:r>
      <w:r>
        <w:rPr>
          <w:rFonts w:hint="eastAsia" w:ascii="宋体" w:hAnsi="宋体" w:cs="宋体"/>
          <w:color w:val="000000"/>
          <w:szCs w:val="21"/>
        </w:rPr>
        <w:t>合同签订后</w:t>
      </w:r>
      <w:r>
        <w:rPr>
          <w:rFonts w:hint="eastAsia" w:ascii="宋体" w:hAnsi="宋体" w:cs="宋体"/>
          <w:color w:val="000000"/>
          <w:szCs w:val="21"/>
          <w:highlight w:val="yellow"/>
        </w:rPr>
        <w:t>1个月内</w:t>
      </w:r>
      <w:r>
        <w:rPr>
          <w:rFonts w:hint="eastAsia" w:ascii="宋体" w:hAnsi="宋体" w:cs="宋体"/>
          <w:color w:val="000000"/>
          <w:szCs w:val="21"/>
        </w:rPr>
        <w:t>完成货物交货安装及验收。</w:t>
      </w:r>
    </w:p>
    <w:p>
      <w:pPr>
        <w:numPr>
          <w:ilvl w:val="0"/>
          <w:numId w:val="0"/>
        </w:numPr>
        <w:adjustRightInd w:val="0"/>
        <w:snapToGrid w:val="0"/>
        <w:spacing w:line="360" w:lineRule="auto"/>
        <w:ind w:firstLine="422" w:firstLineChars="200"/>
        <w:rPr>
          <w:rFonts w:hint="eastAsia" w:ascii="宋体" w:hAnsi="宋体" w:cs="宋体"/>
          <w:color w:val="000000"/>
          <w:szCs w:val="21"/>
        </w:rPr>
      </w:pPr>
      <w:r>
        <w:rPr>
          <w:rFonts w:hint="eastAsia" w:ascii="宋体" w:hAnsi="宋体" w:cs="宋体"/>
          <w:b/>
          <w:bCs/>
          <w:color w:val="000000"/>
          <w:szCs w:val="21"/>
        </w:rPr>
        <w:t>2、交货地点：</w:t>
      </w:r>
      <w:r>
        <w:rPr>
          <w:rFonts w:hint="eastAsia" w:ascii="宋体" w:hAnsi="宋体" w:cs="宋体"/>
          <w:color w:val="000000"/>
          <w:szCs w:val="21"/>
        </w:rPr>
        <w:t>深圳</w:t>
      </w:r>
    </w:p>
    <w:p>
      <w:pPr>
        <w:numPr>
          <w:ilvl w:val="0"/>
          <w:numId w:val="0"/>
        </w:numPr>
        <w:adjustRightInd w:val="0"/>
        <w:snapToGrid w:val="0"/>
        <w:spacing w:line="360" w:lineRule="auto"/>
        <w:ind w:firstLine="422" w:firstLineChars="200"/>
        <w:rPr>
          <w:rFonts w:hint="eastAsia" w:ascii="宋体" w:hAnsi="宋体" w:cs="宋体"/>
          <w:color w:val="000000"/>
          <w:sz w:val="21"/>
          <w:szCs w:val="21"/>
          <w:lang w:val="en-US" w:eastAsia="zh-CN"/>
        </w:rPr>
      </w:pPr>
      <w:r>
        <w:rPr>
          <w:rFonts w:hint="eastAsia" w:ascii="宋体" w:hAnsi="宋体" w:cs="宋体"/>
          <w:b/>
          <w:bCs w:val="0"/>
          <w:color w:val="000000"/>
          <w:sz w:val="21"/>
          <w:szCs w:val="21"/>
          <w:lang w:val="en-US" w:eastAsia="zh-CN"/>
        </w:rPr>
        <w:t>3、验收要求：</w:t>
      </w:r>
      <w:r>
        <w:rPr>
          <w:rFonts w:hint="eastAsia" w:ascii="宋体" w:hAnsi="宋体" w:cs="宋体"/>
          <w:color w:val="000000"/>
          <w:sz w:val="21"/>
          <w:szCs w:val="21"/>
          <w:lang w:val="en-US" w:eastAsia="zh-CN"/>
        </w:rPr>
        <w:t>满足采购人的采购要求，货物质量符合国家质量检验标准或环保标准等相关要求。在货物验收前中标人须提供货物单证、产地证明、产品出厂检测报告或合格证（或质量保证书）、商标、说明书等。</w:t>
      </w:r>
    </w:p>
    <w:p>
      <w:pPr>
        <w:spacing w:line="360" w:lineRule="auto"/>
        <w:ind w:firstLine="422" w:firstLineChars="200"/>
      </w:pPr>
      <w:r>
        <w:rPr>
          <w:rFonts w:hint="eastAsia" w:ascii="宋体" w:hAnsi="宋体" w:cs="宋体"/>
          <w:b/>
          <w:bCs/>
          <w:color w:val="000000"/>
          <w:sz w:val="21"/>
          <w:szCs w:val="21"/>
          <w:lang w:val="en-US" w:eastAsia="zh-CN"/>
        </w:rPr>
        <w:t>4、报价要求：</w:t>
      </w:r>
      <w:r>
        <w:rPr>
          <w:rFonts w:hint="eastAsia" w:ascii="宋体" w:hAnsi="宋体" w:cs="宋体"/>
          <w:color w:val="000000"/>
          <w:sz w:val="21"/>
          <w:szCs w:val="21"/>
          <w:lang w:val="en-US" w:eastAsia="zh-CN"/>
        </w:rPr>
        <w:t>报价中必须包含货物及零配件的购置和安装、运输、保险、装卸、质保期售后服务、全额含税增值税专用发票、雇员费用、安装过程中损耗、额外材料、中标人更换同等或优于招标文件清单的差额费用以及合同实施过程中的应预见或不可预见费用等。</w:t>
      </w:r>
    </w:p>
    <w:p>
      <w:pPr>
        <w:pStyle w:val="7"/>
        <w:adjustRightInd w:val="0"/>
        <w:snapToGrid w:val="0"/>
        <w:spacing w:line="360" w:lineRule="auto"/>
        <w:ind w:firstLineChars="200"/>
        <w:rPr>
          <w:rFonts w:hint="eastAsia"/>
          <w:szCs w:val="21"/>
          <w:lang w:eastAsia="zh-CN"/>
        </w:rPr>
      </w:pPr>
      <w:r>
        <w:rPr>
          <w:rFonts w:hint="eastAsia"/>
          <w:b/>
          <w:bCs/>
          <w:szCs w:val="21"/>
          <w:lang w:val="en-US" w:eastAsia="zh-CN"/>
        </w:rPr>
        <w:t>5</w:t>
      </w:r>
      <w:r>
        <w:rPr>
          <w:b/>
          <w:bCs/>
          <w:szCs w:val="21"/>
        </w:rPr>
        <w:t>、保修、售后服务要求：</w:t>
      </w:r>
      <w:r>
        <w:rPr>
          <w:b/>
          <w:bCs/>
          <w:color w:val="FF0000"/>
          <w:szCs w:val="21"/>
        </w:rPr>
        <w:t>项目自竣工验收通过之日起保修</w:t>
      </w:r>
      <w:r>
        <w:rPr>
          <w:rFonts w:hint="eastAsia"/>
          <w:b/>
          <w:bCs/>
          <w:color w:val="FF0000"/>
          <w:szCs w:val="21"/>
          <w:lang w:val="en-US" w:eastAsia="zh-CN"/>
        </w:rPr>
        <w:t>5</w:t>
      </w:r>
      <w:r>
        <w:rPr>
          <w:b/>
          <w:bCs/>
          <w:color w:val="FF0000"/>
          <w:szCs w:val="21"/>
        </w:rPr>
        <w:t>年</w:t>
      </w:r>
      <w:r>
        <w:rPr>
          <w:szCs w:val="21"/>
        </w:rPr>
        <w:t>，保修期内出现任何与项目相关的质量及其他问题，由中标人负责按原标准修复。</w:t>
      </w:r>
      <w:r>
        <w:rPr>
          <w:rFonts w:hint="eastAsia"/>
          <w:szCs w:val="21"/>
        </w:rPr>
        <w:t>属于保修范围内的项目，在保修期内，</w:t>
      </w:r>
      <w:r>
        <w:rPr>
          <w:rFonts w:hint="eastAsia"/>
          <w:szCs w:val="21"/>
          <w:lang w:eastAsia="zh-CN"/>
        </w:rPr>
        <w:t>中标人</w:t>
      </w:r>
      <w:r>
        <w:rPr>
          <w:rFonts w:hint="eastAsia"/>
          <w:szCs w:val="21"/>
        </w:rPr>
        <w:t>应在接到保修通知之日后</w:t>
      </w:r>
      <w:r>
        <w:rPr>
          <w:rFonts w:hint="eastAsia"/>
          <w:b/>
          <w:bCs/>
          <w:color w:val="FF0000"/>
          <w:szCs w:val="21"/>
          <w:u w:val="single"/>
        </w:rPr>
        <w:t>7</w:t>
      </w:r>
      <w:r>
        <w:rPr>
          <w:b/>
          <w:bCs/>
          <w:color w:val="FF0000"/>
          <w:szCs w:val="21"/>
          <w:u w:val="single"/>
        </w:rPr>
        <w:t>天</w:t>
      </w:r>
      <w:r>
        <w:rPr>
          <w:rFonts w:hint="eastAsia"/>
          <w:szCs w:val="21"/>
        </w:rPr>
        <w:t>内派人修理。</w:t>
      </w:r>
      <w:r>
        <w:rPr>
          <w:rFonts w:hint="eastAsia"/>
          <w:szCs w:val="21"/>
          <w:lang w:eastAsia="zh-CN"/>
        </w:rPr>
        <w:t>中标人</w:t>
      </w:r>
      <w:r>
        <w:rPr>
          <w:rFonts w:hint="eastAsia"/>
          <w:szCs w:val="21"/>
        </w:rPr>
        <w:t>不在约定期限内派人修理，</w:t>
      </w:r>
      <w:r>
        <w:rPr>
          <w:rFonts w:hint="eastAsia"/>
          <w:szCs w:val="21"/>
          <w:lang w:eastAsia="zh-CN"/>
        </w:rPr>
        <w:t>招标人</w:t>
      </w:r>
      <w:r>
        <w:rPr>
          <w:rFonts w:hint="eastAsia"/>
          <w:szCs w:val="21"/>
        </w:rPr>
        <w:t>可委托其他人员修理，由此造成的费用损失及修理费用，全部</w:t>
      </w:r>
      <w:r>
        <w:rPr>
          <w:rFonts w:hint="eastAsia"/>
          <w:szCs w:val="21"/>
          <w:lang w:eastAsia="zh-CN"/>
        </w:rPr>
        <w:t>中标人</w:t>
      </w:r>
      <w:r>
        <w:rPr>
          <w:rFonts w:hint="eastAsia"/>
          <w:szCs w:val="21"/>
        </w:rPr>
        <w:t>承担</w:t>
      </w:r>
      <w:r>
        <w:rPr>
          <w:rFonts w:hint="eastAsia"/>
          <w:szCs w:val="21"/>
          <w:lang w:eastAsia="zh-CN"/>
        </w:rPr>
        <w:t>。</w:t>
      </w:r>
    </w:p>
    <w:p>
      <w:pPr>
        <w:pStyle w:val="7"/>
        <w:adjustRightInd w:val="0"/>
        <w:snapToGrid w:val="0"/>
        <w:spacing w:line="360" w:lineRule="auto"/>
        <w:ind w:firstLineChars="200"/>
        <w:rPr>
          <w:szCs w:val="21"/>
          <w:highlight w:val="none"/>
        </w:rPr>
      </w:pPr>
      <w:r>
        <w:rPr>
          <w:rFonts w:hint="eastAsia"/>
          <w:b/>
          <w:bCs/>
          <w:szCs w:val="21"/>
          <w:highlight w:val="yellow"/>
          <w:lang w:val="en-US" w:eastAsia="zh-CN"/>
        </w:rPr>
        <w:t>6、</w:t>
      </w:r>
      <w:r>
        <w:rPr>
          <w:rFonts w:hint="eastAsia"/>
          <w:b/>
          <w:bCs/>
          <w:szCs w:val="21"/>
          <w:highlight w:val="yellow"/>
        </w:rPr>
        <w:t>付款</w:t>
      </w:r>
      <w:r>
        <w:rPr>
          <w:b/>
          <w:bCs/>
          <w:szCs w:val="21"/>
          <w:highlight w:val="yellow"/>
        </w:rPr>
        <w:t>及结算要求：</w:t>
      </w:r>
      <w:r>
        <w:rPr>
          <w:rFonts w:hint="eastAsia"/>
          <w:szCs w:val="21"/>
          <w:highlight w:val="yellow"/>
        </w:rPr>
        <w:t>合同签订生效后15个工作日内，支付合同总价的</w:t>
      </w:r>
      <w:r>
        <w:rPr>
          <w:rFonts w:hint="eastAsia"/>
          <w:szCs w:val="21"/>
          <w:highlight w:val="yellow"/>
          <w:lang w:val="en-US" w:eastAsia="zh-CN"/>
        </w:rPr>
        <w:t>3</w:t>
      </w:r>
      <w:r>
        <w:rPr>
          <w:rFonts w:hint="eastAsia"/>
          <w:szCs w:val="21"/>
          <w:highlight w:val="yellow"/>
        </w:rPr>
        <w:t>0%；全部货物</w:t>
      </w:r>
      <w:r>
        <w:rPr>
          <w:rFonts w:hint="eastAsia"/>
          <w:szCs w:val="21"/>
          <w:highlight w:val="yellow"/>
          <w:lang w:eastAsia="zh-CN"/>
        </w:rPr>
        <w:t>进场后</w:t>
      </w:r>
      <w:r>
        <w:rPr>
          <w:rFonts w:hint="eastAsia"/>
          <w:szCs w:val="21"/>
          <w:highlight w:val="yellow"/>
        </w:rPr>
        <w:t>，</w:t>
      </w:r>
      <w:r>
        <w:rPr>
          <w:rFonts w:hint="eastAsia"/>
          <w:szCs w:val="21"/>
          <w:highlight w:val="yellow"/>
          <w:lang w:val="en-US" w:eastAsia="zh-CN"/>
        </w:rPr>
        <w:t>5个工作日</w:t>
      </w:r>
      <w:r>
        <w:rPr>
          <w:rFonts w:hint="eastAsia"/>
          <w:szCs w:val="21"/>
          <w:highlight w:val="yellow"/>
        </w:rPr>
        <w:t>内支付合同总价的</w:t>
      </w:r>
      <w:r>
        <w:rPr>
          <w:rFonts w:hint="eastAsia"/>
          <w:szCs w:val="21"/>
          <w:highlight w:val="yellow"/>
          <w:lang w:val="en-US" w:eastAsia="zh-CN"/>
        </w:rPr>
        <w:t>40</w:t>
      </w:r>
      <w:r>
        <w:rPr>
          <w:rFonts w:hint="eastAsia"/>
          <w:szCs w:val="21"/>
          <w:highlight w:val="yellow"/>
        </w:rPr>
        <w:t>%，剩余3</w:t>
      </w:r>
      <w:r>
        <w:rPr>
          <w:rFonts w:hint="eastAsia"/>
          <w:szCs w:val="21"/>
          <w:highlight w:val="yellow"/>
          <w:lang w:val="en-US" w:eastAsia="zh-CN"/>
        </w:rPr>
        <w:t>0</w:t>
      </w:r>
      <w:r>
        <w:rPr>
          <w:rFonts w:hint="eastAsia"/>
          <w:szCs w:val="21"/>
          <w:highlight w:val="yellow"/>
        </w:rPr>
        <w:t>%在</w:t>
      </w:r>
      <w:r>
        <w:rPr>
          <w:rFonts w:hint="eastAsia"/>
          <w:szCs w:val="21"/>
          <w:highlight w:val="yellow"/>
          <w:lang w:eastAsia="zh-CN"/>
        </w:rPr>
        <w:t>项目竣工验收后全部付清</w:t>
      </w:r>
      <w:r>
        <w:rPr>
          <w:rFonts w:hint="eastAsia"/>
          <w:szCs w:val="21"/>
          <w:highlight w:val="yellow"/>
        </w:rPr>
        <w:t>。中标人应当于采购人</w:t>
      </w:r>
      <w:r>
        <w:rPr>
          <w:rFonts w:hint="eastAsia"/>
          <w:szCs w:val="21"/>
          <w:highlight w:val="yellow"/>
          <w:lang w:eastAsia="zh-CN"/>
        </w:rPr>
        <w:t>付清全部价款</w:t>
      </w:r>
      <w:r>
        <w:rPr>
          <w:rFonts w:hint="eastAsia"/>
          <w:szCs w:val="21"/>
          <w:highlight w:val="yellow"/>
        </w:rPr>
        <w:t>前提供相应金额的合法收款发票，否则，采购人有权拒绝支付且不承担任何责任。</w:t>
      </w:r>
    </w:p>
    <w:p>
      <w:pPr>
        <w:pStyle w:val="7"/>
        <w:adjustRightInd w:val="0"/>
        <w:snapToGrid w:val="0"/>
        <w:spacing w:line="360" w:lineRule="auto"/>
        <w:ind w:firstLineChars="200"/>
        <w:rPr>
          <w:b/>
          <w:bCs/>
          <w:szCs w:val="21"/>
        </w:rPr>
      </w:pPr>
      <w:r>
        <w:rPr>
          <w:rFonts w:hint="eastAsia"/>
          <w:b/>
          <w:bCs/>
          <w:szCs w:val="21"/>
          <w:lang w:val="en-US" w:eastAsia="zh-CN"/>
        </w:rPr>
        <w:t>7、</w:t>
      </w:r>
      <w:r>
        <w:rPr>
          <w:rFonts w:hint="eastAsia"/>
          <w:b/>
          <w:bCs/>
          <w:szCs w:val="21"/>
        </w:rPr>
        <w:t>施工</w:t>
      </w:r>
      <w:r>
        <w:rPr>
          <w:b/>
          <w:bCs/>
          <w:szCs w:val="21"/>
        </w:rPr>
        <w:t>要求：</w:t>
      </w:r>
    </w:p>
    <w:p>
      <w:pPr>
        <w:pStyle w:val="7"/>
        <w:adjustRightInd w:val="0"/>
        <w:snapToGrid w:val="0"/>
        <w:spacing w:line="360" w:lineRule="auto"/>
        <w:ind w:firstLineChars="200"/>
        <w:rPr>
          <w:szCs w:val="21"/>
        </w:rPr>
      </w:pPr>
      <w:r>
        <w:rPr>
          <w:rFonts w:hint="eastAsia"/>
          <w:szCs w:val="21"/>
        </w:rPr>
        <w:t>（1）严格按相关施工规范施工，满足设计要求。本工程所有施工用材料必须按“招标文件”中的要求或相当于此类材质的材料进行投标报价，且以上施工材料在施工前须带实物样板及相关资料供建设方选定后方可使用。</w:t>
      </w:r>
    </w:p>
    <w:p>
      <w:pPr>
        <w:pStyle w:val="7"/>
        <w:adjustRightInd w:val="0"/>
        <w:snapToGrid w:val="0"/>
        <w:spacing w:line="360" w:lineRule="auto"/>
        <w:ind w:firstLineChars="200"/>
        <w:rPr>
          <w:rFonts w:hint="eastAsia"/>
          <w:szCs w:val="21"/>
        </w:rPr>
      </w:pPr>
      <w:r>
        <w:rPr>
          <w:rFonts w:hint="eastAsia"/>
          <w:szCs w:val="21"/>
        </w:rPr>
        <w:t>（</w:t>
      </w:r>
      <w:r>
        <w:rPr>
          <w:rFonts w:hint="eastAsia"/>
          <w:szCs w:val="21"/>
          <w:lang w:val="en-US" w:eastAsia="zh-CN"/>
        </w:rPr>
        <w:t>2</w:t>
      </w:r>
      <w:r>
        <w:rPr>
          <w:rFonts w:hint="eastAsia"/>
          <w:szCs w:val="21"/>
        </w:rPr>
        <w:t>）施工单位在施工时务必保护好现场的其它设施，如有损坏由施工方照原价赔偿。物料在搬运、堆放过程中应注意保护公共设施，并保持公共场所的清洁卫生。</w:t>
      </w:r>
    </w:p>
    <w:p>
      <w:pPr>
        <w:pStyle w:val="7"/>
        <w:spacing w:before="60" w:beforeLines="25" w:after="60" w:afterLines="25"/>
        <w:rPr>
          <w:rFonts w:ascii="宋体" w:hAnsi="宋体"/>
          <w:szCs w:val="21"/>
          <w:highlight w:val="yellow"/>
        </w:rPr>
      </w:pPr>
    </w:p>
    <w:p>
      <w:pPr>
        <w:pStyle w:val="7"/>
        <w:spacing w:before="60" w:beforeLines="25" w:after="60" w:afterLines="25"/>
        <w:rPr>
          <w:rFonts w:ascii="宋体" w:hAnsi="宋体"/>
          <w:szCs w:val="21"/>
          <w:highlight w:val="yellow"/>
        </w:rPr>
      </w:pPr>
    </w:p>
    <w:p>
      <w:pPr>
        <w:pStyle w:val="7"/>
        <w:spacing w:before="60" w:beforeLines="25" w:after="60" w:afterLines="25"/>
        <w:rPr>
          <w:rFonts w:ascii="宋体" w:hAnsi="宋体"/>
          <w:szCs w:val="21"/>
          <w:highlight w:val="yellow"/>
        </w:rPr>
      </w:pPr>
    </w:p>
    <w:p>
      <w:pPr>
        <w:pStyle w:val="7"/>
        <w:spacing w:before="60" w:beforeLines="25" w:after="60" w:afterLines="25"/>
        <w:rPr>
          <w:rFonts w:ascii="宋体" w:hAnsi="宋体"/>
          <w:szCs w:val="21"/>
          <w:highlight w:val="yellow"/>
        </w:rPr>
      </w:pPr>
    </w:p>
    <w:p>
      <w:pPr>
        <w:rPr>
          <w:b/>
          <w:color w:val="FF0000"/>
        </w:rPr>
      </w:pPr>
    </w:p>
    <w:p>
      <w:pPr>
        <w:ind w:firstLine="411" w:firstLineChars="196"/>
        <w:rPr>
          <w:color w:val="000000"/>
          <w:szCs w:val="21"/>
        </w:rPr>
      </w:pPr>
    </w:p>
    <w:p>
      <w:pPr>
        <w:keepNext/>
        <w:keepLines/>
        <w:adjustRightInd w:val="0"/>
        <w:spacing w:before="120" w:beforeLines="50" w:after="120" w:afterLines="50" w:line="360" w:lineRule="auto"/>
        <w:jc w:val="center"/>
        <w:textAlignment w:val="baseline"/>
        <w:outlineLvl w:val="1"/>
        <w:rPr>
          <w:b/>
          <w:bCs/>
          <w:kern w:val="0"/>
          <w:sz w:val="28"/>
          <w:szCs w:val="28"/>
          <w:highlight w:val="none"/>
        </w:rPr>
      </w:pPr>
      <w:r>
        <w:rPr>
          <w:rFonts w:hint="eastAsia"/>
          <w:b/>
          <w:bCs/>
          <w:kern w:val="0"/>
          <w:sz w:val="28"/>
          <w:szCs w:val="28"/>
          <w:highlight w:val="none"/>
          <w:lang w:eastAsia="zh-CN"/>
        </w:rPr>
        <w:t>五、</w:t>
      </w:r>
      <w:r>
        <w:rPr>
          <w:b/>
          <w:bCs/>
          <w:kern w:val="0"/>
          <w:sz w:val="28"/>
          <w:szCs w:val="28"/>
          <w:highlight w:val="none"/>
        </w:rPr>
        <w:t>投标报价</w:t>
      </w:r>
    </w:p>
    <w:p>
      <w:pPr>
        <w:adjustRightInd w:val="0"/>
        <w:snapToGrid w:val="0"/>
        <w:spacing w:line="360" w:lineRule="auto"/>
        <w:ind w:firstLine="411" w:firstLineChars="196"/>
        <w:jc w:val="left"/>
        <w:rPr>
          <w:szCs w:val="21"/>
        </w:rPr>
      </w:pPr>
      <w:r>
        <w:rPr>
          <w:szCs w:val="21"/>
          <w:highlight w:val="none"/>
        </w:rPr>
        <w:t>1、本</w:t>
      </w:r>
      <w:r>
        <w:rPr>
          <w:rFonts w:hint="eastAsia"/>
          <w:szCs w:val="21"/>
          <w:highlight w:val="none"/>
          <w:lang w:eastAsia="zh-CN"/>
        </w:rPr>
        <w:t>项目</w:t>
      </w:r>
      <w:r>
        <w:rPr>
          <w:szCs w:val="21"/>
          <w:highlight w:val="none"/>
        </w:rPr>
        <w:t>的</w:t>
      </w:r>
      <w:r>
        <w:rPr>
          <w:rFonts w:hint="eastAsia"/>
          <w:szCs w:val="21"/>
          <w:highlight w:val="none"/>
          <w:lang w:eastAsia="zh-CN"/>
        </w:rPr>
        <w:t>采购清单</w:t>
      </w:r>
      <w:r>
        <w:rPr>
          <w:szCs w:val="21"/>
        </w:rPr>
        <w:t>的投标单价</w:t>
      </w:r>
      <w:bookmarkStart w:id="9" w:name="工程量清单计价方式"/>
      <w:r>
        <w:rPr>
          <w:szCs w:val="21"/>
        </w:rPr>
        <w:t>按综合单价方式</w:t>
      </w:r>
      <w:bookmarkEnd w:id="9"/>
      <w:r>
        <w:rPr>
          <w:szCs w:val="21"/>
        </w:rPr>
        <w:t>进行报价；</w:t>
      </w:r>
    </w:p>
    <w:p>
      <w:pPr>
        <w:adjustRightInd w:val="0"/>
        <w:snapToGrid w:val="0"/>
        <w:spacing w:line="360" w:lineRule="auto"/>
        <w:ind w:firstLine="411" w:firstLineChars="196"/>
        <w:jc w:val="left"/>
        <w:rPr>
          <w:szCs w:val="21"/>
        </w:rPr>
      </w:pPr>
      <w:r>
        <w:rPr>
          <w:szCs w:val="21"/>
        </w:rPr>
        <w:t>2、投标人应根据本企业的成本自行决定报价，但不得以低于其企业成本的报价竞标；</w:t>
      </w:r>
    </w:p>
    <w:p>
      <w:pPr>
        <w:adjustRightInd w:val="0"/>
        <w:snapToGrid w:val="0"/>
        <w:spacing w:line="360" w:lineRule="auto"/>
        <w:ind w:firstLine="411" w:firstLineChars="196"/>
        <w:jc w:val="left"/>
        <w:rPr>
          <w:szCs w:val="21"/>
        </w:rPr>
      </w:pPr>
      <w:r>
        <w:rPr>
          <w:szCs w:val="21"/>
        </w:rPr>
        <w:t>3、投标人的投标总报价不得超过财政预算限额；</w:t>
      </w:r>
    </w:p>
    <w:p>
      <w:pPr>
        <w:adjustRightInd w:val="0"/>
        <w:snapToGrid w:val="0"/>
        <w:spacing w:line="360" w:lineRule="auto"/>
        <w:ind w:firstLine="411" w:firstLineChars="196"/>
        <w:jc w:val="left"/>
        <w:rPr>
          <w:szCs w:val="21"/>
        </w:rPr>
      </w:pPr>
      <w:r>
        <w:rPr>
          <w:szCs w:val="21"/>
        </w:rPr>
        <w:t>4、投标人的投标报价，应是本项目招标范围和招标文件及合同条款上所列的各项内容中所述的全部，不得以任何理由予以重复，并以投标人在</w:t>
      </w:r>
      <w:r>
        <w:rPr>
          <w:rFonts w:hint="eastAsia"/>
          <w:szCs w:val="21"/>
          <w:lang w:eastAsia="zh-CN"/>
        </w:rPr>
        <w:t>采购清单</w:t>
      </w:r>
      <w:r>
        <w:rPr>
          <w:szCs w:val="21"/>
        </w:rPr>
        <w:t>中提出的综合单价或总价为依据；</w:t>
      </w:r>
    </w:p>
    <w:p>
      <w:pPr>
        <w:adjustRightInd w:val="0"/>
        <w:snapToGrid w:val="0"/>
        <w:spacing w:line="360" w:lineRule="auto"/>
        <w:ind w:firstLine="411" w:firstLineChars="196"/>
        <w:jc w:val="left"/>
        <w:rPr>
          <w:szCs w:val="21"/>
        </w:rPr>
      </w:pPr>
      <w:r>
        <w:rPr>
          <w:szCs w:val="21"/>
        </w:rPr>
        <w:t>5、除非</w:t>
      </w:r>
      <w:r>
        <w:rPr>
          <w:rFonts w:hint="eastAsia"/>
          <w:szCs w:val="21"/>
        </w:rPr>
        <w:t>深圳市深大体育文化发展有限公司</w:t>
      </w:r>
      <w:r>
        <w:rPr>
          <w:szCs w:val="21"/>
        </w:rPr>
        <w:t>通过修改招标文件予以更正，否则，投标人应毫无例外地按</w:t>
      </w:r>
      <w:r>
        <w:rPr>
          <w:rFonts w:hint="eastAsia"/>
          <w:szCs w:val="21"/>
          <w:lang w:eastAsia="zh-CN"/>
        </w:rPr>
        <w:t>采购</w:t>
      </w:r>
      <w:r>
        <w:rPr>
          <w:szCs w:val="21"/>
        </w:rPr>
        <w:t>清单中列出的</w:t>
      </w:r>
      <w:r>
        <w:rPr>
          <w:rFonts w:hint="eastAsia"/>
          <w:szCs w:val="21"/>
          <w:lang w:eastAsia="zh-CN"/>
        </w:rPr>
        <w:t>采购物资</w:t>
      </w:r>
      <w:r>
        <w:rPr>
          <w:szCs w:val="21"/>
        </w:rPr>
        <w:t>和数量填报综合单价和合价。投标人未填综合单价或合价的项目，在实施后，将不得以支付，并视作该项费用已包括在其它有价款的综合单价或合价内；</w:t>
      </w:r>
    </w:p>
    <w:p>
      <w:pPr>
        <w:adjustRightInd w:val="0"/>
        <w:snapToGrid w:val="0"/>
        <w:spacing w:line="360" w:lineRule="auto"/>
        <w:ind w:firstLine="411" w:firstLineChars="196"/>
        <w:jc w:val="left"/>
        <w:rPr>
          <w:szCs w:val="21"/>
        </w:rPr>
      </w:pPr>
      <w:r>
        <w:rPr>
          <w:szCs w:val="21"/>
        </w:rPr>
        <w:t>6、投标人应先到工地踏勘以充分了解工地的位置、情况、道路、储存空间、装卸限制及任何其它足以影响投标报价的情况，任何因忽视或误解工地情况而导致的索赔或工期延长申请将不获批准；</w:t>
      </w:r>
    </w:p>
    <w:p>
      <w:pPr>
        <w:adjustRightInd w:val="0"/>
        <w:snapToGrid w:val="0"/>
        <w:spacing w:line="360" w:lineRule="auto"/>
        <w:ind w:firstLine="411" w:firstLineChars="196"/>
        <w:jc w:val="left"/>
        <w:rPr>
          <w:szCs w:val="21"/>
        </w:rPr>
      </w:pPr>
      <w:r>
        <w:rPr>
          <w:szCs w:val="21"/>
        </w:rPr>
        <w:t>7、投标人不得期望通过索赔、签证等方式获取补偿，否则，除可能遭到拒绝外，还可能将被作为不良行为记录在案，并可能影响其以后参加</w:t>
      </w:r>
      <w:r>
        <w:rPr>
          <w:rFonts w:hint="eastAsia"/>
          <w:szCs w:val="21"/>
        </w:rPr>
        <w:t>深圳市深大体育文化发展有限公司</w:t>
      </w:r>
      <w:r>
        <w:rPr>
          <w:szCs w:val="21"/>
        </w:rPr>
        <w:t>采购的项目投标。各投标人在投标报价时，应充分考虑投标报价的风险。</w:t>
      </w:r>
    </w:p>
    <w:p>
      <w:pPr>
        <w:adjustRightInd w:val="0"/>
        <w:snapToGrid w:val="0"/>
        <w:spacing w:line="360" w:lineRule="auto"/>
        <w:ind w:firstLine="411" w:firstLineChars="196"/>
        <w:jc w:val="left"/>
        <w:rPr>
          <w:b w:val="0"/>
          <w:bCs w:val="0"/>
          <w:color w:val="auto"/>
          <w:szCs w:val="21"/>
        </w:rPr>
      </w:pPr>
      <w:r>
        <w:rPr>
          <w:b w:val="0"/>
          <w:bCs w:val="0"/>
          <w:color w:val="auto"/>
          <w:szCs w:val="21"/>
        </w:rPr>
        <w:t>8、投标人投标报价总额一经中标后，即作为中标单位与采购单位签订该项目合同的总价。合同方式见第一章相关条款。</w:t>
      </w:r>
    </w:p>
    <w:p>
      <w:pPr>
        <w:adjustRightInd w:val="0"/>
        <w:snapToGrid w:val="0"/>
        <w:spacing w:line="360" w:lineRule="auto"/>
        <w:ind w:firstLine="411" w:firstLineChars="196"/>
        <w:jc w:val="left"/>
        <w:rPr>
          <w:b w:val="0"/>
          <w:bCs w:val="0"/>
          <w:color w:val="auto"/>
          <w:szCs w:val="21"/>
        </w:rPr>
      </w:pPr>
      <w:r>
        <w:rPr>
          <w:b w:val="0"/>
          <w:bCs w:val="0"/>
          <w:color w:val="auto"/>
          <w:szCs w:val="21"/>
        </w:rPr>
        <w:t>（1）如本项目采用固定总价合同。投标人所投报的投标报价为</w:t>
      </w:r>
      <w:r>
        <w:rPr>
          <w:rFonts w:hint="eastAsia"/>
          <w:b w:val="0"/>
          <w:bCs w:val="0"/>
          <w:color w:val="auto"/>
          <w:szCs w:val="21"/>
          <w:lang w:eastAsia="zh-CN"/>
        </w:rPr>
        <w:t>采购</w:t>
      </w:r>
      <w:r>
        <w:rPr>
          <w:b w:val="0"/>
          <w:bCs w:val="0"/>
          <w:color w:val="auto"/>
          <w:szCs w:val="21"/>
        </w:rPr>
        <w:t>清单的总价格，对没有填写综合单价与合价的项目费用，应视为已包括在</w:t>
      </w:r>
      <w:r>
        <w:rPr>
          <w:rFonts w:hint="eastAsia"/>
          <w:b w:val="0"/>
          <w:bCs w:val="0"/>
          <w:color w:val="auto"/>
          <w:szCs w:val="21"/>
          <w:lang w:eastAsia="zh-CN"/>
        </w:rPr>
        <w:t>采购</w:t>
      </w:r>
      <w:r>
        <w:rPr>
          <w:b w:val="0"/>
          <w:bCs w:val="0"/>
          <w:color w:val="auto"/>
          <w:szCs w:val="21"/>
        </w:rPr>
        <w:t>清单的其他综合单价与合价之中。</w:t>
      </w:r>
    </w:p>
    <w:p>
      <w:pPr>
        <w:adjustRightInd w:val="0"/>
        <w:snapToGrid w:val="0"/>
        <w:spacing w:line="360" w:lineRule="auto"/>
        <w:ind w:firstLine="411" w:firstLineChars="196"/>
        <w:jc w:val="left"/>
        <w:rPr>
          <w:b w:val="0"/>
          <w:bCs w:val="0"/>
          <w:color w:val="auto"/>
          <w:szCs w:val="21"/>
        </w:rPr>
      </w:pPr>
      <w:r>
        <w:rPr>
          <w:b w:val="0"/>
          <w:bCs w:val="0"/>
          <w:color w:val="auto"/>
          <w:szCs w:val="21"/>
        </w:rPr>
        <w:t>（2）如本项目采用固定单价合同。</w:t>
      </w:r>
      <w:r>
        <w:rPr>
          <w:rFonts w:hint="eastAsia"/>
          <w:b w:val="0"/>
          <w:bCs w:val="0"/>
          <w:color w:val="auto"/>
          <w:szCs w:val="21"/>
          <w:lang w:eastAsia="zh-CN"/>
        </w:rPr>
        <w:t>采购</w:t>
      </w:r>
      <w:r>
        <w:rPr>
          <w:b w:val="0"/>
          <w:bCs w:val="0"/>
          <w:color w:val="auto"/>
          <w:szCs w:val="21"/>
        </w:rPr>
        <w:t>清单所列的</w:t>
      </w:r>
      <w:r>
        <w:rPr>
          <w:rFonts w:hint="eastAsia"/>
          <w:b w:val="0"/>
          <w:bCs w:val="0"/>
          <w:color w:val="auto"/>
          <w:szCs w:val="21"/>
          <w:lang w:eastAsia="zh-CN"/>
        </w:rPr>
        <w:t>货物</w:t>
      </w:r>
      <w:r>
        <w:rPr>
          <w:b w:val="0"/>
          <w:bCs w:val="0"/>
          <w:color w:val="auto"/>
          <w:szCs w:val="21"/>
        </w:rPr>
        <w:t>系采购单位的估算，是临时的，作为投标报价的共同基础，不应被理解为是对采购单位要求工作内容的全部定义，也不能作为投标人应完成的实际</w:t>
      </w:r>
      <w:r>
        <w:rPr>
          <w:rFonts w:hint="eastAsia"/>
          <w:b w:val="0"/>
          <w:bCs w:val="0"/>
          <w:color w:val="auto"/>
          <w:szCs w:val="21"/>
          <w:lang w:eastAsia="zh-CN"/>
        </w:rPr>
        <w:t>施工量</w:t>
      </w:r>
      <w:r>
        <w:rPr>
          <w:b w:val="0"/>
          <w:bCs w:val="0"/>
          <w:color w:val="auto"/>
          <w:szCs w:val="21"/>
        </w:rPr>
        <w:t>。</w:t>
      </w:r>
    </w:p>
    <w:p>
      <w:pPr>
        <w:adjustRightInd w:val="0"/>
        <w:snapToGrid w:val="0"/>
        <w:spacing w:line="360" w:lineRule="auto"/>
        <w:ind w:firstLine="411" w:firstLineChars="196"/>
        <w:jc w:val="left"/>
        <w:rPr>
          <w:szCs w:val="21"/>
        </w:rPr>
      </w:pPr>
      <w:r>
        <w:rPr>
          <w:szCs w:val="21"/>
        </w:rPr>
        <w:t>（3）投标人的投标报价必须充分考虑到在施工中</w:t>
      </w:r>
      <w:r>
        <w:rPr>
          <w:rFonts w:hint="eastAsia"/>
          <w:szCs w:val="21"/>
          <w:lang w:eastAsia="zh-CN"/>
        </w:rPr>
        <w:t>预计可发生的所有费用</w:t>
      </w:r>
      <w:r>
        <w:rPr>
          <w:szCs w:val="21"/>
        </w:rPr>
        <w:t>,并在投标报价中反映出来。</w:t>
      </w:r>
    </w:p>
    <w:p>
      <w:pPr>
        <w:adjustRightInd w:val="0"/>
        <w:snapToGrid w:val="0"/>
        <w:spacing w:line="360" w:lineRule="auto"/>
        <w:ind w:firstLine="411" w:firstLineChars="196"/>
        <w:jc w:val="left"/>
        <w:rPr>
          <w:szCs w:val="21"/>
        </w:rPr>
      </w:pPr>
      <w:r>
        <w:rPr>
          <w:szCs w:val="21"/>
        </w:rPr>
        <w:t>9、本项目不接受总价优惠折扣形式的报价，投标人应将对项目的优惠直接在清单报价中体现出来。</w:t>
      </w:r>
    </w:p>
    <w:p>
      <w:pPr>
        <w:pStyle w:val="2"/>
        <w:spacing w:line="360" w:lineRule="auto"/>
      </w:pPr>
    </w:p>
    <w:p>
      <w:pPr>
        <w:spacing w:line="360" w:lineRule="auto"/>
      </w:pPr>
    </w:p>
    <w:p>
      <w:pPr>
        <w:pStyle w:val="2"/>
        <w:spacing w:line="360" w:lineRule="auto"/>
      </w:pPr>
    </w:p>
    <w:p>
      <w:pPr>
        <w:spacing w:line="360" w:lineRule="auto"/>
      </w:pPr>
    </w:p>
    <w:p>
      <w:pPr>
        <w:pStyle w:val="2"/>
        <w:spacing w:line="360" w:lineRule="auto"/>
      </w:pPr>
    </w:p>
    <w:p>
      <w:pPr>
        <w:keepNext/>
        <w:keepLines/>
        <w:adjustRightInd w:val="0"/>
        <w:spacing w:before="120" w:beforeLines="50" w:after="120" w:afterLines="50" w:line="360" w:lineRule="auto"/>
        <w:jc w:val="center"/>
        <w:textAlignment w:val="baseline"/>
        <w:outlineLvl w:val="1"/>
        <w:rPr>
          <w:b/>
          <w:bCs/>
          <w:kern w:val="0"/>
          <w:sz w:val="28"/>
          <w:szCs w:val="28"/>
        </w:rPr>
      </w:pPr>
      <w:r>
        <w:rPr>
          <w:rFonts w:hint="eastAsia"/>
          <w:b/>
          <w:bCs/>
          <w:kern w:val="0"/>
          <w:sz w:val="28"/>
          <w:szCs w:val="28"/>
          <w:lang w:eastAsia="zh-CN"/>
        </w:rPr>
        <w:t>六</w:t>
      </w:r>
      <w:r>
        <w:rPr>
          <w:b/>
          <w:bCs/>
          <w:kern w:val="0"/>
          <w:sz w:val="28"/>
          <w:szCs w:val="28"/>
        </w:rPr>
        <w:t>、注意事项</w:t>
      </w:r>
    </w:p>
    <w:p>
      <w:pPr>
        <w:adjustRightInd w:val="0"/>
        <w:snapToGrid w:val="0"/>
        <w:spacing w:line="480" w:lineRule="auto"/>
        <w:ind w:firstLine="392" w:firstLineChars="187"/>
        <w:jc w:val="left"/>
        <w:rPr>
          <w:color w:val="000000"/>
          <w:szCs w:val="21"/>
        </w:rPr>
      </w:pPr>
      <w:r>
        <w:rPr>
          <w:rFonts w:hint="eastAsia"/>
          <w:color w:val="000000"/>
          <w:szCs w:val="21"/>
          <w:lang w:val="en-US" w:eastAsia="zh-CN"/>
        </w:rPr>
        <w:t>1</w:t>
      </w:r>
      <w:r>
        <w:rPr>
          <w:color w:val="000000"/>
          <w:szCs w:val="21"/>
        </w:rPr>
        <w:t>、投标人若认为招标文件的技术要求或其他要求有倾向性或不公正性，可在招标答疑阶段提出，以维护招标行为的公平、公正。</w:t>
      </w:r>
    </w:p>
    <w:p>
      <w:pPr>
        <w:adjustRightInd w:val="0"/>
        <w:snapToGrid w:val="0"/>
        <w:spacing w:line="480" w:lineRule="auto"/>
        <w:ind w:firstLine="392" w:firstLineChars="187"/>
        <w:jc w:val="left"/>
        <w:rPr>
          <w:color w:val="000000"/>
          <w:szCs w:val="21"/>
        </w:rPr>
      </w:pPr>
      <w:r>
        <w:rPr>
          <w:rFonts w:hint="eastAsia"/>
          <w:color w:val="000000"/>
          <w:szCs w:val="21"/>
          <w:lang w:val="en-US" w:eastAsia="zh-CN"/>
        </w:rPr>
        <w:t>2</w:t>
      </w:r>
      <w:r>
        <w:rPr>
          <w:color w:val="000000"/>
          <w:szCs w:val="21"/>
        </w:rPr>
        <w:t>、投标人使用的标准必须是国际公认或国家、或地方政府颁布的同等或更高的标准，如投标人使用的标准低于上述标准,评标委员会将有权不予接受，投标人必须列表将明显的差异详细说明。</w:t>
      </w:r>
    </w:p>
    <w:p>
      <w:pPr>
        <w:adjustRightInd w:val="0"/>
        <w:snapToGrid w:val="0"/>
        <w:spacing w:line="480" w:lineRule="auto"/>
        <w:ind w:firstLine="411" w:firstLineChars="196"/>
        <w:jc w:val="left"/>
        <w:rPr>
          <w:b/>
          <w:color w:val="000000"/>
          <w:szCs w:val="21"/>
        </w:rPr>
      </w:pPr>
      <w:r>
        <w:rPr>
          <w:rFonts w:hint="eastAsia"/>
          <w:color w:val="000000"/>
          <w:szCs w:val="21"/>
          <w:lang w:val="en-US" w:eastAsia="zh-CN"/>
        </w:rPr>
        <w:t>3</w:t>
      </w:r>
      <w:r>
        <w:rPr>
          <w:color w:val="000000"/>
          <w:szCs w:val="21"/>
        </w:rPr>
        <w:t>、</w:t>
      </w:r>
      <w:r>
        <w:rPr>
          <w:b/>
          <w:color w:val="000000"/>
          <w:szCs w:val="21"/>
        </w:rPr>
        <w:t>招标文件、</w:t>
      </w:r>
      <w:r>
        <w:rPr>
          <w:rFonts w:hint="eastAsia"/>
          <w:b/>
          <w:color w:val="000000"/>
          <w:szCs w:val="21"/>
          <w:lang w:eastAsia="zh-CN"/>
        </w:rPr>
        <w:t>采购</w:t>
      </w:r>
      <w:r>
        <w:rPr>
          <w:b/>
          <w:color w:val="000000"/>
          <w:szCs w:val="21"/>
        </w:rPr>
        <w:t>清单中出现的材料、设备品牌均为投标参考，投标人可根据项目情况结合自身实际选择不低于参考品牌的材料、设备投标。</w:t>
      </w:r>
    </w:p>
    <w:p>
      <w:pPr>
        <w:spacing w:line="480" w:lineRule="auto"/>
        <w:rPr>
          <w:b/>
          <w:sz w:val="24"/>
        </w:rPr>
      </w:pPr>
    </w:p>
    <w:p>
      <w:pPr>
        <w:pStyle w:val="2"/>
        <w:keepNext w:val="0"/>
        <w:keepLines w:val="0"/>
        <w:pageBreakBefore/>
        <w:ind w:firstLine="440" w:firstLineChars="100"/>
        <w:jc w:val="both"/>
        <w:rPr>
          <w:rFonts w:ascii="华文新魏" w:hAnsi="华文新魏" w:eastAsia="华文新魏" w:cs="华文新魏"/>
          <w:b/>
          <w:bCs w:val="0"/>
          <w:kern w:val="2"/>
          <w:sz w:val="44"/>
          <w:szCs w:val="44"/>
        </w:rPr>
      </w:pPr>
      <w:bookmarkStart w:id="10" w:name="_Toc101074886"/>
      <w:bookmarkStart w:id="11" w:name="_Toc84303603"/>
      <w:bookmarkStart w:id="12" w:name="_Toc73518163"/>
      <w:bookmarkStart w:id="13" w:name="_Toc100052414"/>
      <w:bookmarkStart w:id="14" w:name="_Toc73517685"/>
      <w:bookmarkStart w:id="15" w:name="_Toc73521592"/>
      <w:bookmarkStart w:id="16" w:name="_Toc73521680"/>
      <w:r>
        <w:rPr>
          <w:rFonts w:hint="eastAsia" w:ascii="华文新魏" w:hAnsi="华文新魏" w:eastAsia="华文新魏" w:cs="华文新魏"/>
          <w:b/>
          <w:bCs w:val="0"/>
          <w:kern w:val="2"/>
          <w:sz w:val="44"/>
          <w:szCs w:val="44"/>
        </w:rPr>
        <w:t>第三章  合同条款及格式（</w:t>
      </w:r>
      <w:r>
        <w:rPr>
          <w:rFonts w:hint="eastAsia" w:ascii="华文新魏" w:hAnsi="华文新魏" w:eastAsia="华文新魏" w:cs="华文新魏"/>
          <w:b/>
          <w:bCs w:val="0"/>
          <w:color w:val="FF0000"/>
          <w:kern w:val="2"/>
          <w:sz w:val="44"/>
          <w:szCs w:val="44"/>
        </w:rPr>
        <w:t>仅供参考</w:t>
      </w:r>
      <w:r>
        <w:rPr>
          <w:rFonts w:hint="eastAsia" w:ascii="华文新魏" w:hAnsi="华文新魏" w:eastAsia="华文新魏" w:cs="华文新魏"/>
          <w:b/>
          <w:bCs w:val="0"/>
          <w:kern w:val="2"/>
          <w:sz w:val="44"/>
          <w:szCs w:val="44"/>
        </w:rPr>
        <w:t>）</w:t>
      </w:r>
    </w:p>
    <w:bookmarkEnd w:id="10"/>
    <w:bookmarkEnd w:id="11"/>
    <w:bookmarkEnd w:id="12"/>
    <w:bookmarkEnd w:id="13"/>
    <w:bookmarkEnd w:id="14"/>
    <w:bookmarkEnd w:id="15"/>
    <w:bookmarkEnd w:id="16"/>
    <w:p>
      <w:pPr>
        <w:pStyle w:val="196"/>
        <w:ind w:firstLine="0"/>
        <w:rPr>
          <w:rFonts w:hint="eastAsia" w:hAnsi="宋体" w:cs="仿宋_GB2312"/>
          <w:b/>
          <w:sz w:val="52"/>
        </w:rPr>
      </w:pPr>
      <w:bookmarkStart w:id="17" w:name="bt投标书"/>
      <w:bookmarkEnd w:id="17"/>
      <w:bookmarkStart w:id="18" w:name="bt附件"/>
      <w:bookmarkEnd w:id="18"/>
    </w:p>
    <w:p>
      <w:pPr>
        <w:widowControl/>
        <w:tabs>
          <w:tab w:val="left" w:pos="567"/>
        </w:tabs>
        <w:autoSpaceDE w:val="0"/>
        <w:autoSpaceDN w:val="0"/>
        <w:textAlignment w:val="bottom"/>
        <w:rPr>
          <w:rFonts w:hint="eastAsia" w:ascii="宋体" w:hAnsi="宋体"/>
          <w:b/>
          <w:sz w:val="72"/>
          <w:szCs w:val="72"/>
        </w:rPr>
      </w:pPr>
    </w:p>
    <w:p>
      <w:pPr>
        <w:widowControl/>
        <w:tabs>
          <w:tab w:val="left" w:pos="567"/>
        </w:tabs>
        <w:autoSpaceDE w:val="0"/>
        <w:autoSpaceDN w:val="0"/>
        <w:textAlignment w:val="bottom"/>
        <w:rPr>
          <w:rFonts w:hint="eastAsia" w:ascii="宋体" w:hAnsi="宋体"/>
          <w:b/>
          <w:sz w:val="72"/>
          <w:szCs w:val="72"/>
        </w:rPr>
      </w:pPr>
    </w:p>
    <w:p>
      <w:pPr>
        <w:pStyle w:val="2"/>
        <w:rPr>
          <w:rFonts w:hint="eastAsia"/>
        </w:rPr>
      </w:pPr>
    </w:p>
    <w:p>
      <w:pPr>
        <w:adjustRightInd w:val="0"/>
        <w:snapToGrid w:val="0"/>
        <w:spacing w:line="360" w:lineRule="auto"/>
        <w:jc w:val="center"/>
        <w:rPr>
          <w:rFonts w:hint="eastAsia" w:ascii="宋体" w:hAnsi="宋体"/>
          <w:b/>
          <w:kern w:val="0"/>
          <w:sz w:val="72"/>
          <w:szCs w:val="72"/>
        </w:rPr>
      </w:pPr>
      <w:r>
        <w:rPr>
          <w:rFonts w:ascii="宋体" w:hAnsi="宋体"/>
          <w:b/>
          <w:kern w:val="0"/>
          <w:sz w:val="72"/>
          <w:szCs w:val="72"/>
        </w:rPr>
        <w:t>合</w:t>
      </w:r>
      <w:r>
        <w:rPr>
          <w:rFonts w:hint="eastAsia" w:ascii="宋体" w:hAnsi="宋体"/>
          <w:b/>
          <w:kern w:val="0"/>
          <w:sz w:val="72"/>
          <w:szCs w:val="72"/>
        </w:rPr>
        <w:t xml:space="preserve"> </w:t>
      </w:r>
      <w:r>
        <w:rPr>
          <w:rFonts w:ascii="宋体" w:hAnsi="宋体"/>
          <w:b/>
          <w:kern w:val="0"/>
          <w:sz w:val="72"/>
          <w:szCs w:val="72"/>
        </w:rPr>
        <w:t>同</w:t>
      </w:r>
      <w:r>
        <w:rPr>
          <w:rFonts w:hint="eastAsia" w:ascii="宋体" w:hAnsi="宋体"/>
          <w:b/>
          <w:kern w:val="0"/>
          <w:sz w:val="72"/>
          <w:szCs w:val="72"/>
        </w:rPr>
        <w:t xml:space="preserve"> </w:t>
      </w:r>
      <w:r>
        <w:rPr>
          <w:rFonts w:ascii="宋体" w:hAnsi="宋体"/>
          <w:b/>
          <w:kern w:val="0"/>
          <w:sz w:val="72"/>
          <w:szCs w:val="72"/>
        </w:rPr>
        <w:t>书</w:t>
      </w:r>
      <w:r>
        <w:rPr>
          <w:rFonts w:hint="eastAsia" w:ascii="宋体" w:hAnsi="宋体"/>
          <w:b/>
          <w:kern w:val="0"/>
          <w:sz w:val="72"/>
          <w:szCs w:val="72"/>
        </w:rPr>
        <w:t xml:space="preserve"> 格 式</w:t>
      </w:r>
    </w:p>
    <w:p>
      <w:pPr>
        <w:adjustRightInd w:val="0"/>
        <w:snapToGrid w:val="0"/>
        <w:spacing w:line="360" w:lineRule="auto"/>
        <w:jc w:val="center"/>
        <w:rPr>
          <w:rFonts w:hint="eastAsia" w:ascii="宋体" w:hAnsi="宋体"/>
          <w:b/>
          <w:kern w:val="0"/>
          <w:sz w:val="36"/>
          <w:szCs w:val="36"/>
        </w:rPr>
      </w:pPr>
    </w:p>
    <w:p>
      <w:pPr>
        <w:adjustRightInd w:val="0"/>
        <w:snapToGrid w:val="0"/>
        <w:spacing w:line="360" w:lineRule="auto"/>
        <w:jc w:val="center"/>
        <w:rPr>
          <w:rFonts w:hint="eastAsia" w:ascii="宋体" w:hAnsi="宋体"/>
          <w:b/>
          <w:kern w:val="0"/>
          <w:sz w:val="36"/>
          <w:szCs w:val="36"/>
        </w:rPr>
      </w:pPr>
      <w:r>
        <w:rPr>
          <w:rFonts w:hint="eastAsia" w:ascii="宋体" w:hAnsi="宋体"/>
          <w:b/>
          <w:kern w:val="0"/>
          <w:sz w:val="36"/>
          <w:szCs w:val="36"/>
        </w:rPr>
        <w:t>（货物类）</w:t>
      </w:r>
    </w:p>
    <w:p>
      <w:pPr>
        <w:adjustRightInd w:val="0"/>
        <w:snapToGrid w:val="0"/>
        <w:spacing w:line="360" w:lineRule="auto"/>
        <w:rPr>
          <w:rFonts w:hint="eastAsia" w:ascii="宋体" w:hAnsi="宋体"/>
          <w:b/>
          <w:sz w:val="24"/>
        </w:rPr>
      </w:pPr>
    </w:p>
    <w:p>
      <w:pPr>
        <w:pStyle w:val="2"/>
        <w:rPr>
          <w:rFonts w:hint="eastAsia"/>
        </w:rPr>
      </w:pPr>
    </w:p>
    <w:p>
      <w:pPr>
        <w:rPr>
          <w:rFonts w:hint="eastAsia"/>
        </w:rPr>
      </w:pPr>
    </w:p>
    <w:p>
      <w:pPr>
        <w:rPr>
          <w:rFonts w:hint="eastAsia"/>
        </w:rPr>
      </w:pPr>
    </w:p>
    <w:p>
      <w:pPr>
        <w:adjustRightInd w:val="0"/>
        <w:snapToGrid w:val="0"/>
        <w:spacing w:line="360" w:lineRule="auto"/>
        <w:rPr>
          <w:rFonts w:hint="eastAsia" w:ascii="宋体" w:hAnsi="宋体" w:cs="仿宋_GB2312"/>
          <w:b/>
          <w:sz w:val="24"/>
        </w:rPr>
      </w:pPr>
    </w:p>
    <w:p>
      <w:pPr>
        <w:adjustRightInd w:val="0"/>
        <w:snapToGrid w:val="0"/>
        <w:spacing w:line="360" w:lineRule="auto"/>
        <w:ind w:firstLine="1889" w:firstLineChars="784"/>
        <w:rPr>
          <w:rFonts w:hint="eastAsia" w:ascii="宋体" w:hAnsi="宋体" w:cs="仿宋_GB2312"/>
          <w:b/>
          <w:sz w:val="24"/>
        </w:rPr>
      </w:pPr>
      <w:r>
        <w:rPr>
          <w:rFonts w:hint="eastAsia" w:ascii="宋体" w:hAnsi="宋体" w:cs="仿宋_GB2312"/>
          <w:b/>
          <w:sz w:val="24"/>
        </w:rPr>
        <w:t>采 购 编 号：</w:t>
      </w:r>
      <w:r>
        <w:rPr>
          <w:rFonts w:hint="eastAsia" w:ascii="宋体" w:hAnsi="宋体" w:cs="仿宋_GB2312"/>
          <w:b/>
          <w:sz w:val="24"/>
          <w:u w:val="single"/>
        </w:rPr>
        <w:t xml:space="preserve">                            </w:t>
      </w:r>
      <w:r>
        <w:rPr>
          <w:rFonts w:hint="eastAsia" w:ascii="宋体" w:hAnsi="宋体" w:cs="仿宋_GB2312"/>
          <w:b/>
          <w:sz w:val="24"/>
        </w:rPr>
        <w:t xml:space="preserve"> </w:t>
      </w:r>
    </w:p>
    <w:p>
      <w:pPr>
        <w:adjustRightInd w:val="0"/>
        <w:snapToGrid w:val="0"/>
        <w:spacing w:line="360" w:lineRule="auto"/>
        <w:rPr>
          <w:rFonts w:hint="eastAsia" w:ascii="宋体" w:hAnsi="宋体" w:cs="仿宋_GB2312"/>
          <w:b/>
          <w:sz w:val="24"/>
        </w:rPr>
      </w:pPr>
    </w:p>
    <w:p>
      <w:pPr>
        <w:adjustRightInd w:val="0"/>
        <w:snapToGrid w:val="0"/>
        <w:spacing w:line="360" w:lineRule="auto"/>
        <w:ind w:firstLine="1889" w:firstLineChars="784"/>
        <w:rPr>
          <w:rFonts w:hint="eastAsia" w:ascii="宋体" w:hAnsi="宋体" w:cs="仿宋_GB2312"/>
          <w:b/>
          <w:kern w:val="0"/>
          <w:sz w:val="28"/>
          <w:szCs w:val="28"/>
        </w:rPr>
      </w:pPr>
      <w:r>
        <w:rPr>
          <w:rFonts w:hint="eastAsia" w:ascii="宋体" w:hAnsi="宋体" w:cs="仿宋_GB2312"/>
          <w:b/>
          <w:sz w:val="24"/>
        </w:rPr>
        <w:t>采购项目名称：</w:t>
      </w:r>
      <w:r>
        <w:rPr>
          <w:rFonts w:hint="eastAsia" w:ascii="宋体" w:hAnsi="宋体" w:cs="仿宋_GB2312"/>
          <w:b/>
          <w:sz w:val="24"/>
          <w:u w:val="single"/>
        </w:rPr>
        <w:t xml:space="preserve">                           </w:t>
      </w:r>
      <w:r>
        <w:rPr>
          <w:rFonts w:hint="eastAsia" w:ascii="宋体" w:hAnsi="宋体" w:cs="仿宋_GB2312"/>
          <w:b/>
          <w:sz w:val="24"/>
        </w:rPr>
        <w:t xml:space="preserve"> </w:t>
      </w:r>
    </w:p>
    <w:p>
      <w:pPr>
        <w:adjustRightInd w:val="0"/>
        <w:snapToGrid w:val="0"/>
        <w:spacing w:line="360" w:lineRule="auto"/>
        <w:jc w:val="center"/>
        <w:rPr>
          <w:rFonts w:hint="eastAsia" w:ascii="宋体" w:hAnsi="宋体"/>
          <w:b/>
          <w:kern w:val="0"/>
          <w:sz w:val="28"/>
          <w:szCs w:val="28"/>
        </w:rPr>
      </w:pPr>
    </w:p>
    <w:p>
      <w:pPr>
        <w:pStyle w:val="2"/>
        <w:rPr>
          <w:rFonts w:hint="eastAsia" w:ascii="宋体" w:hAnsi="宋体"/>
          <w:b/>
          <w:kern w:val="0"/>
          <w:sz w:val="28"/>
          <w:szCs w:val="28"/>
        </w:rPr>
      </w:pPr>
    </w:p>
    <w:p>
      <w:pPr>
        <w:rPr>
          <w:rFonts w:hint="eastAsia" w:ascii="宋体" w:hAnsi="宋体"/>
          <w:b/>
          <w:kern w:val="0"/>
          <w:sz w:val="28"/>
          <w:szCs w:val="28"/>
        </w:rPr>
      </w:pPr>
    </w:p>
    <w:p>
      <w:pPr>
        <w:pStyle w:val="2"/>
        <w:rPr>
          <w:rFonts w:hint="eastAsia"/>
        </w:rPr>
      </w:pPr>
    </w:p>
    <w:p>
      <w:pPr>
        <w:pStyle w:val="2"/>
        <w:rPr>
          <w:rFonts w:hint="eastAsia"/>
        </w:rPr>
      </w:pPr>
    </w:p>
    <w:p>
      <w:pPr>
        <w:pStyle w:val="2"/>
        <w:tabs>
          <w:tab w:val="left" w:pos="720"/>
        </w:tabs>
        <w:ind w:left="0" w:firstLine="0"/>
        <w:rPr>
          <w:rFonts w:hint="eastAsia"/>
        </w:rPr>
      </w:pPr>
    </w:p>
    <w:p>
      <w:pPr>
        <w:pStyle w:val="2"/>
        <w:rPr>
          <w:rFonts w:hint="eastAsia" w:ascii="宋体" w:hAnsi="宋体"/>
          <w:b/>
          <w:sz w:val="24"/>
        </w:rPr>
      </w:pPr>
      <w:r>
        <w:rPr>
          <w:rFonts w:hint="eastAsia" w:ascii="宋体" w:hAnsi="宋体"/>
          <w:b/>
          <w:sz w:val="24"/>
        </w:rPr>
        <w:t>注：本合同仅为合同的参考文本，合同签订双方可根据项目的具体要求进行修订。</w:t>
      </w: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华文新魏" w:hAnsi="华文新魏" w:eastAsia="华文新魏" w:cs="华文新魏"/>
          <w:b/>
          <w:bCs w:val="0"/>
          <w:kern w:val="2"/>
          <w:sz w:val="44"/>
          <w:szCs w:val="44"/>
        </w:rPr>
        <w:sectPr>
          <w:headerReference r:id="rId3" w:type="default"/>
          <w:footerReference r:id="rId4" w:type="default"/>
          <w:footerReference r:id="rId5" w:type="even"/>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p>
    <w:p>
      <w:pPr>
        <w:spacing w:line="360" w:lineRule="auto"/>
        <w:jc w:val="center"/>
        <w:rPr>
          <w:rFonts w:hint="eastAsia" w:ascii="宋体" w:hAnsi="宋体" w:cs="宋体"/>
          <w:sz w:val="32"/>
          <w:szCs w:val="32"/>
        </w:rPr>
      </w:pP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合同（货物类合同参考范本）</w:t>
      </w:r>
    </w:p>
    <w:p>
      <w:pPr>
        <w:spacing w:line="360" w:lineRule="auto"/>
        <w:rPr>
          <w:rFonts w:hint="eastAsia" w:ascii="宋体" w:hAnsi="宋体" w:cs="宋体"/>
          <w:b/>
        </w:rPr>
      </w:pPr>
      <w:r>
        <w:rPr>
          <w:rFonts w:hint="eastAsia" w:ascii="宋体" w:hAnsi="宋体" w:cs="宋体"/>
          <w:b/>
        </w:rPr>
        <w:t>采购方：_____________________________（以下简称甲方）</w:t>
      </w:r>
    </w:p>
    <w:p>
      <w:pPr>
        <w:spacing w:line="360" w:lineRule="auto"/>
        <w:rPr>
          <w:rFonts w:hint="eastAsia" w:ascii="宋体" w:hAnsi="宋体" w:cs="宋体"/>
          <w:b/>
        </w:rPr>
      </w:pPr>
      <w:r>
        <w:rPr>
          <w:rFonts w:hint="eastAsia" w:ascii="宋体" w:hAnsi="宋体" w:cs="宋体"/>
          <w:b/>
        </w:rPr>
        <w:t>服务方：_____________________________（以下简称乙方）</w:t>
      </w:r>
    </w:p>
    <w:p>
      <w:pPr>
        <w:pStyle w:val="22"/>
        <w:rPr>
          <w:rFonts w:hint="eastAsia"/>
        </w:rPr>
      </w:pPr>
    </w:p>
    <w:p>
      <w:pPr>
        <w:ind w:firstLine="420" w:firstLineChars="200"/>
      </w:pPr>
      <w:r>
        <w:rPr>
          <w:rFonts w:hint="eastAsia"/>
        </w:rPr>
        <w:t>甲乙双方根据</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日项目（项目编号</w:t>
      </w:r>
      <w:r>
        <w:rPr>
          <w:rFonts w:hint="eastAsia"/>
          <w:u w:val="single"/>
        </w:rPr>
        <w:t xml:space="preserve">：                         </w:t>
      </w:r>
      <w:r>
        <w:rPr>
          <w:rFonts w:hint="eastAsia"/>
        </w:rPr>
        <w:t>，采购编号：</w:t>
      </w:r>
      <w:r>
        <w:rPr>
          <w:rFonts w:hint="eastAsia"/>
          <w:u w:val="single"/>
        </w:rPr>
        <w:t xml:space="preserve">      </w:t>
      </w:r>
      <w:r>
        <w:rPr>
          <w:rFonts w:hint="eastAsia"/>
        </w:rPr>
        <w:t>）的招标结果和有关招标文件、投标文件的要求，经双方协商一致，订立以下合同：</w:t>
      </w:r>
    </w:p>
    <w:p>
      <w:pPr>
        <w:numPr>
          <w:ilvl w:val="0"/>
          <w:numId w:val="8"/>
        </w:numPr>
        <w:tabs>
          <w:tab w:val="left" w:pos="851"/>
        </w:tabs>
        <w:spacing w:line="360" w:lineRule="auto"/>
        <w:ind w:left="1134" w:hanging="1134"/>
        <w:rPr>
          <w:rFonts w:ascii="宋体" w:hAnsi="宋体"/>
          <w:b/>
        </w:rPr>
      </w:pPr>
      <w:r>
        <w:rPr>
          <w:rFonts w:hint="eastAsia" w:ascii="宋体" w:hAnsi="宋体"/>
          <w:b/>
        </w:rPr>
        <w:t>货物名称、数量、规格、单价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683"/>
        <w:gridCol w:w="1545"/>
        <w:gridCol w:w="737"/>
        <w:gridCol w:w="673"/>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pPr>
              <w:pStyle w:val="22"/>
              <w:jc w:val="center"/>
            </w:pPr>
            <w:r>
              <w:rPr>
                <w:rFonts w:hint="eastAsia"/>
              </w:rPr>
              <w:t>序号</w:t>
            </w:r>
          </w:p>
        </w:tc>
        <w:tc>
          <w:tcPr>
            <w:tcW w:w="2683" w:type="dxa"/>
            <w:noWrap w:val="0"/>
            <w:vAlign w:val="center"/>
          </w:tcPr>
          <w:p>
            <w:pPr>
              <w:pStyle w:val="22"/>
              <w:jc w:val="center"/>
            </w:pPr>
            <w:r>
              <w:rPr>
                <w:rFonts w:hint="eastAsia"/>
              </w:rPr>
              <w:t>货物名称</w:t>
            </w:r>
          </w:p>
        </w:tc>
        <w:tc>
          <w:tcPr>
            <w:tcW w:w="1545" w:type="dxa"/>
            <w:noWrap w:val="0"/>
            <w:vAlign w:val="center"/>
          </w:tcPr>
          <w:p>
            <w:pPr>
              <w:pStyle w:val="22"/>
              <w:jc w:val="center"/>
            </w:pPr>
            <w:r>
              <w:rPr>
                <w:rFonts w:hint="eastAsia"/>
              </w:rPr>
              <w:t>规格</w:t>
            </w:r>
          </w:p>
        </w:tc>
        <w:tc>
          <w:tcPr>
            <w:tcW w:w="737" w:type="dxa"/>
            <w:noWrap w:val="0"/>
            <w:vAlign w:val="center"/>
          </w:tcPr>
          <w:p>
            <w:pPr>
              <w:pStyle w:val="22"/>
              <w:jc w:val="center"/>
              <w:rPr>
                <w:rFonts w:hint="eastAsia"/>
              </w:rPr>
            </w:pPr>
            <w:r>
              <w:rPr>
                <w:rFonts w:hint="eastAsia"/>
              </w:rPr>
              <w:t>单位</w:t>
            </w:r>
          </w:p>
        </w:tc>
        <w:tc>
          <w:tcPr>
            <w:tcW w:w="673" w:type="dxa"/>
            <w:noWrap w:val="0"/>
            <w:vAlign w:val="center"/>
          </w:tcPr>
          <w:p>
            <w:pPr>
              <w:pStyle w:val="22"/>
              <w:jc w:val="center"/>
              <w:rPr>
                <w:rFonts w:hint="eastAsia"/>
              </w:rPr>
            </w:pPr>
            <w:r>
              <w:rPr>
                <w:rFonts w:hint="eastAsia"/>
              </w:rPr>
              <w:t>数量</w:t>
            </w:r>
          </w:p>
        </w:tc>
        <w:tc>
          <w:tcPr>
            <w:tcW w:w="1921" w:type="dxa"/>
            <w:noWrap w:val="0"/>
            <w:vAlign w:val="center"/>
          </w:tcPr>
          <w:p>
            <w:pPr>
              <w:pStyle w:val="22"/>
              <w:jc w:val="center"/>
            </w:pPr>
            <w:r>
              <w:rPr>
                <w:rFonts w:hint="eastAsi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pPr>
              <w:pStyle w:val="22"/>
              <w:jc w:val="center"/>
              <w:rPr>
                <w:rFonts w:hint="eastAsia"/>
              </w:rPr>
            </w:pPr>
            <w:r>
              <w:rPr>
                <w:rFonts w:hint="eastAsia"/>
              </w:rPr>
              <w:t>1</w:t>
            </w:r>
          </w:p>
        </w:tc>
        <w:tc>
          <w:tcPr>
            <w:tcW w:w="2683" w:type="dxa"/>
            <w:noWrap w:val="0"/>
            <w:vAlign w:val="center"/>
          </w:tcPr>
          <w:p>
            <w:pPr>
              <w:pStyle w:val="22"/>
              <w:jc w:val="center"/>
            </w:pPr>
          </w:p>
        </w:tc>
        <w:tc>
          <w:tcPr>
            <w:tcW w:w="1545" w:type="dxa"/>
            <w:noWrap w:val="0"/>
            <w:vAlign w:val="center"/>
          </w:tcPr>
          <w:p>
            <w:pPr>
              <w:pStyle w:val="22"/>
              <w:jc w:val="center"/>
            </w:pPr>
          </w:p>
        </w:tc>
        <w:tc>
          <w:tcPr>
            <w:tcW w:w="737" w:type="dxa"/>
            <w:noWrap w:val="0"/>
            <w:vAlign w:val="center"/>
          </w:tcPr>
          <w:p>
            <w:pPr>
              <w:pStyle w:val="22"/>
              <w:jc w:val="center"/>
            </w:pPr>
          </w:p>
        </w:tc>
        <w:tc>
          <w:tcPr>
            <w:tcW w:w="673" w:type="dxa"/>
            <w:noWrap w:val="0"/>
            <w:vAlign w:val="center"/>
          </w:tcPr>
          <w:p>
            <w:pPr>
              <w:pStyle w:val="22"/>
              <w:jc w:val="center"/>
            </w:pPr>
          </w:p>
        </w:tc>
        <w:tc>
          <w:tcPr>
            <w:tcW w:w="1921" w:type="dxa"/>
            <w:noWrap w:val="0"/>
            <w:vAlign w:val="center"/>
          </w:tcPr>
          <w:p>
            <w:pPr>
              <w:pStyle w:val="2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pPr>
              <w:pStyle w:val="22"/>
              <w:jc w:val="center"/>
              <w:rPr>
                <w:rFonts w:hint="eastAsia"/>
              </w:rPr>
            </w:pPr>
            <w:r>
              <w:rPr>
                <w:rFonts w:hint="eastAsia"/>
              </w:rPr>
              <w:t>2</w:t>
            </w:r>
          </w:p>
        </w:tc>
        <w:tc>
          <w:tcPr>
            <w:tcW w:w="2683" w:type="dxa"/>
            <w:noWrap w:val="0"/>
            <w:vAlign w:val="center"/>
          </w:tcPr>
          <w:p>
            <w:pPr>
              <w:pStyle w:val="22"/>
              <w:jc w:val="center"/>
            </w:pPr>
          </w:p>
        </w:tc>
        <w:tc>
          <w:tcPr>
            <w:tcW w:w="1545" w:type="dxa"/>
            <w:noWrap w:val="0"/>
            <w:vAlign w:val="center"/>
          </w:tcPr>
          <w:p>
            <w:pPr>
              <w:pStyle w:val="22"/>
              <w:jc w:val="center"/>
            </w:pPr>
          </w:p>
        </w:tc>
        <w:tc>
          <w:tcPr>
            <w:tcW w:w="737" w:type="dxa"/>
            <w:noWrap w:val="0"/>
            <w:vAlign w:val="center"/>
          </w:tcPr>
          <w:p>
            <w:pPr>
              <w:pStyle w:val="22"/>
              <w:jc w:val="center"/>
            </w:pPr>
          </w:p>
        </w:tc>
        <w:tc>
          <w:tcPr>
            <w:tcW w:w="673" w:type="dxa"/>
            <w:noWrap w:val="0"/>
            <w:vAlign w:val="center"/>
          </w:tcPr>
          <w:p>
            <w:pPr>
              <w:pStyle w:val="22"/>
              <w:jc w:val="center"/>
            </w:pPr>
          </w:p>
        </w:tc>
        <w:tc>
          <w:tcPr>
            <w:tcW w:w="1921" w:type="dxa"/>
            <w:noWrap w:val="0"/>
            <w:vAlign w:val="center"/>
          </w:tcPr>
          <w:p>
            <w:pPr>
              <w:pStyle w:val="2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pPr>
              <w:pStyle w:val="22"/>
              <w:jc w:val="center"/>
              <w:rPr>
                <w:rFonts w:hint="eastAsia"/>
              </w:rPr>
            </w:pPr>
            <w:r>
              <w:rPr>
                <w:rFonts w:hint="eastAsia"/>
              </w:rPr>
              <w:t>3</w:t>
            </w:r>
          </w:p>
        </w:tc>
        <w:tc>
          <w:tcPr>
            <w:tcW w:w="2683" w:type="dxa"/>
            <w:noWrap w:val="0"/>
            <w:vAlign w:val="center"/>
          </w:tcPr>
          <w:p>
            <w:pPr>
              <w:pStyle w:val="22"/>
              <w:jc w:val="center"/>
            </w:pPr>
          </w:p>
        </w:tc>
        <w:tc>
          <w:tcPr>
            <w:tcW w:w="1545" w:type="dxa"/>
            <w:noWrap w:val="0"/>
            <w:vAlign w:val="center"/>
          </w:tcPr>
          <w:p>
            <w:pPr>
              <w:pStyle w:val="22"/>
              <w:jc w:val="center"/>
            </w:pPr>
          </w:p>
        </w:tc>
        <w:tc>
          <w:tcPr>
            <w:tcW w:w="737" w:type="dxa"/>
            <w:noWrap w:val="0"/>
            <w:vAlign w:val="center"/>
          </w:tcPr>
          <w:p>
            <w:pPr>
              <w:pStyle w:val="22"/>
              <w:jc w:val="center"/>
            </w:pPr>
          </w:p>
        </w:tc>
        <w:tc>
          <w:tcPr>
            <w:tcW w:w="673" w:type="dxa"/>
            <w:noWrap w:val="0"/>
            <w:vAlign w:val="center"/>
          </w:tcPr>
          <w:p>
            <w:pPr>
              <w:pStyle w:val="22"/>
              <w:jc w:val="center"/>
            </w:pPr>
          </w:p>
        </w:tc>
        <w:tc>
          <w:tcPr>
            <w:tcW w:w="1921" w:type="dxa"/>
            <w:noWrap w:val="0"/>
            <w:vAlign w:val="center"/>
          </w:tcPr>
          <w:p>
            <w:pPr>
              <w:pStyle w:val="2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pPr>
              <w:pStyle w:val="22"/>
              <w:jc w:val="center"/>
            </w:pPr>
            <w:r>
              <w:rPr>
                <w:rFonts w:hint="eastAsia"/>
              </w:rPr>
              <w:t>...</w:t>
            </w:r>
          </w:p>
        </w:tc>
        <w:tc>
          <w:tcPr>
            <w:tcW w:w="2683" w:type="dxa"/>
            <w:noWrap w:val="0"/>
            <w:vAlign w:val="center"/>
          </w:tcPr>
          <w:p>
            <w:pPr>
              <w:pStyle w:val="22"/>
              <w:jc w:val="center"/>
            </w:pPr>
          </w:p>
        </w:tc>
        <w:tc>
          <w:tcPr>
            <w:tcW w:w="1545" w:type="dxa"/>
            <w:noWrap w:val="0"/>
            <w:vAlign w:val="center"/>
          </w:tcPr>
          <w:p>
            <w:pPr>
              <w:pStyle w:val="22"/>
              <w:jc w:val="center"/>
            </w:pPr>
          </w:p>
        </w:tc>
        <w:tc>
          <w:tcPr>
            <w:tcW w:w="737" w:type="dxa"/>
            <w:noWrap w:val="0"/>
            <w:vAlign w:val="center"/>
          </w:tcPr>
          <w:p>
            <w:pPr>
              <w:pStyle w:val="22"/>
              <w:jc w:val="center"/>
            </w:pPr>
          </w:p>
        </w:tc>
        <w:tc>
          <w:tcPr>
            <w:tcW w:w="673" w:type="dxa"/>
            <w:noWrap w:val="0"/>
            <w:vAlign w:val="center"/>
          </w:tcPr>
          <w:p>
            <w:pPr>
              <w:pStyle w:val="22"/>
              <w:jc w:val="center"/>
            </w:pPr>
          </w:p>
        </w:tc>
        <w:tc>
          <w:tcPr>
            <w:tcW w:w="1921" w:type="dxa"/>
            <w:noWrap w:val="0"/>
            <w:vAlign w:val="center"/>
          </w:tcPr>
          <w:p>
            <w:pPr>
              <w:pStyle w:val="22"/>
              <w:jc w:val="center"/>
            </w:pPr>
          </w:p>
        </w:tc>
      </w:tr>
    </w:tbl>
    <w:p>
      <w:pPr>
        <w:tabs>
          <w:tab w:val="left" w:pos="1410"/>
        </w:tabs>
        <w:spacing w:line="360" w:lineRule="auto"/>
        <w:ind w:firstLine="284"/>
        <w:rPr>
          <w:rFonts w:ascii="宋体" w:hAnsi="宋体"/>
        </w:rPr>
      </w:pPr>
      <w:r>
        <w:rPr>
          <w:rFonts w:hint="eastAsia" w:ascii="宋体" w:hAnsi="宋体"/>
        </w:rPr>
        <w:t>其它费用：_____________________________</w:t>
      </w:r>
    </w:p>
    <w:p>
      <w:pPr>
        <w:tabs>
          <w:tab w:val="left" w:pos="1410"/>
        </w:tabs>
        <w:spacing w:line="360" w:lineRule="auto"/>
        <w:rPr>
          <w:rFonts w:ascii="宋体" w:hAnsi="宋体"/>
        </w:rPr>
      </w:pPr>
      <w:r>
        <w:rPr>
          <w:rFonts w:hint="eastAsia" w:ascii="宋体" w:hAnsi="宋体"/>
        </w:rPr>
        <w:t xml:space="preserve">   合同总价：（大写）人民币</w:t>
      </w:r>
      <w:r>
        <w:rPr>
          <w:rFonts w:hint="eastAsia" w:ascii="宋体" w:hAnsi="宋体"/>
          <w:u w:val="single"/>
        </w:rPr>
        <w:t xml:space="preserve">                   </w:t>
      </w:r>
      <w:r>
        <w:rPr>
          <w:rFonts w:hint="eastAsia" w:ascii="宋体" w:hAnsi="宋体"/>
        </w:rPr>
        <w:t>（小写）¥</w:t>
      </w:r>
      <w:r>
        <w:rPr>
          <w:rFonts w:hint="eastAsia" w:ascii="宋体" w:hAnsi="宋体"/>
          <w:u w:val="single"/>
        </w:rPr>
        <w:t xml:space="preserve">              </w:t>
      </w:r>
      <w:r>
        <w:rPr>
          <w:rFonts w:hint="eastAsia" w:ascii="宋体" w:hAnsi="宋体"/>
        </w:rPr>
        <w:t>。</w:t>
      </w:r>
    </w:p>
    <w:p>
      <w:pPr>
        <w:ind w:firstLine="315" w:firstLineChars="150"/>
        <w:rPr>
          <w:u w:val="single"/>
        </w:rPr>
      </w:pPr>
      <w:r>
        <w:rPr>
          <w:rFonts w:hint="eastAsia"/>
        </w:rPr>
        <w:t>甲方不再另付任何费用。随货物的辅件、易损耗备品、专用工具、技术资料等是货物的组成部分。</w:t>
      </w:r>
    </w:p>
    <w:p>
      <w:pPr>
        <w:numPr>
          <w:ilvl w:val="0"/>
          <w:numId w:val="8"/>
        </w:numPr>
        <w:tabs>
          <w:tab w:val="left" w:pos="851"/>
        </w:tabs>
        <w:spacing w:line="360" w:lineRule="auto"/>
        <w:ind w:left="0" w:firstLine="0"/>
        <w:rPr>
          <w:rFonts w:ascii="宋体" w:hAnsi="宋体"/>
          <w:b/>
        </w:rPr>
      </w:pPr>
      <w:r>
        <w:rPr>
          <w:rFonts w:hint="eastAsia" w:ascii="宋体" w:hAnsi="宋体"/>
          <w:b/>
        </w:rPr>
        <w:t>货物的质量标准、售后服务及损害赔偿</w:t>
      </w:r>
    </w:p>
    <w:p>
      <w:pPr>
        <w:spacing w:line="360" w:lineRule="auto"/>
        <w:ind w:firstLine="376"/>
        <w:rPr>
          <w:rFonts w:ascii="宋体" w:hAnsi="宋体"/>
        </w:rPr>
      </w:pPr>
      <w:r>
        <w:rPr>
          <w:rFonts w:hint="eastAsia" w:ascii="宋体" w:hAnsi="宋体"/>
        </w:rPr>
        <w:t>1、 按国家标准和招标文件和乙方投标文件技术标准执行。</w:t>
      </w:r>
    </w:p>
    <w:p>
      <w:pPr>
        <w:spacing w:line="360" w:lineRule="auto"/>
        <w:ind w:firstLine="376"/>
        <w:rPr>
          <w:rFonts w:ascii="宋体" w:hAnsi="宋体"/>
          <w:b/>
          <w:bCs/>
          <w:color w:val="FF0000"/>
        </w:rPr>
      </w:pPr>
      <w:r>
        <w:rPr>
          <w:rFonts w:hint="eastAsia" w:ascii="宋体" w:hAnsi="宋体"/>
        </w:rPr>
        <w:t>2、 货物的质量保证期为</w:t>
      </w:r>
      <w:r>
        <w:rPr>
          <w:rFonts w:hint="eastAsia" w:ascii="宋体" w:hAnsi="宋体"/>
          <w:u w:val="single"/>
        </w:rPr>
        <w:t xml:space="preserve">     </w:t>
      </w:r>
      <w:r>
        <w:rPr>
          <w:rFonts w:hint="eastAsia" w:ascii="宋体" w:hAnsi="宋体"/>
        </w:rPr>
        <w:t>年，自甲、乙双方验收合格并签字后生效。</w:t>
      </w:r>
    </w:p>
    <w:p>
      <w:pPr>
        <w:numPr>
          <w:ilvl w:val="0"/>
          <w:numId w:val="8"/>
        </w:numPr>
        <w:tabs>
          <w:tab w:val="left" w:pos="851"/>
        </w:tabs>
        <w:spacing w:line="360" w:lineRule="auto"/>
        <w:ind w:left="0" w:firstLine="0"/>
        <w:rPr>
          <w:rFonts w:ascii="宋体" w:hAnsi="宋体"/>
          <w:b/>
        </w:rPr>
      </w:pPr>
      <w:r>
        <w:rPr>
          <w:rFonts w:hint="eastAsia" w:ascii="宋体" w:hAnsi="宋体"/>
          <w:b/>
        </w:rPr>
        <w:t>交货和验收</w:t>
      </w:r>
    </w:p>
    <w:p>
      <w:pPr>
        <w:spacing w:line="360" w:lineRule="auto"/>
        <w:ind w:firstLine="376"/>
        <w:rPr>
          <w:rFonts w:ascii="宋体" w:hAnsi="宋体"/>
        </w:rPr>
      </w:pPr>
      <w:r>
        <w:rPr>
          <w:rFonts w:hint="eastAsia" w:ascii="宋体" w:hAnsi="宋体"/>
        </w:rPr>
        <w:t>1、交货期：_____________________________</w:t>
      </w:r>
    </w:p>
    <w:p>
      <w:pPr>
        <w:spacing w:line="360" w:lineRule="auto"/>
        <w:ind w:firstLine="376"/>
        <w:rPr>
          <w:rFonts w:ascii="宋体" w:hAnsi="宋体"/>
        </w:rPr>
      </w:pPr>
      <w:r>
        <w:rPr>
          <w:rFonts w:hint="eastAsia" w:ascii="宋体" w:hAnsi="宋体"/>
        </w:rPr>
        <w:t>2、交货地点：_____________________________</w:t>
      </w:r>
    </w:p>
    <w:p>
      <w:pPr>
        <w:spacing w:line="360" w:lineRule="auto"/>
        <w:ind w:firstLine="420" w:firstLineChars="200"/>
        <w:rPr>
          <w:rFonts w:ascii="宋体" w:hAnsi="宋体"/>
        </w:rPr>
      </w:pPr>
      <w:r>
        <w:rPr>
          <w:rFonts w:hint="eastAsia" w:ascii="宋体" w:hAnsi="宋体"/>
        </w:rPr>
        <w:t>3、验收方式：__________________________________</w:t>
      </w:r>
    </w:p>
    <w:p>
      <w:pPr>
        <w:tabs>
          <w:tab w:val="left" w:pos="0"/>
        </w:tabs>
        <w:spacing w:line="360" w:lineRule="auto"/>
        <w:ind w:firstLine="420" w:firstLineChars="200"/>
        <w:rPr>
          <w:rFonts w:ascii="宋体" w:hAnsi="宋体"/>
        </w:rPr>
      </w:pPr>
      <w:r>
        <w:rPr>
          <w:rFonts w:hint="eastAsia" w:ascii="宋体" w:hAnsi="宋体"/>
        </w:rPr>
        <w:t>4、验收要求：</w:t>
      </w:r>
    </w:p>
    <w:p>
      <w:pPr>
        <w:tabs>
          <w:tab w:val="left" w:pos="567"/>
        </w:tabs>
        <w:spacing w:line="360" w:lineRule="auto"/>
        <w:ind w:left="567"/>
        <w:rPr>
          <w:rFonts w:ascii="宋体" w:hAnsi="宋体"/>
        </w:rPr>
      </w:pPr>
      <w:r>
        <w:rPr>
          <w:rFonts w:hint="eastAsia" w:ascii="宋体" w:hAnsi="宋体"/>
        </w:rPr>
        <w:t>1）单证齐全，有原产地证明、产品合格证（或质量保证书）、商标、说明书、完税发票和其它应具有单证；</w:t>
      </w:r>
    </w:p>
    <w:p>
      <w:pPr>
        <w:tabs>
          <w:tab w:val="left" w:pos="567"/>
        </w:tabs>
        <w:spacing w:line="360" w:lineRule="auto"/>
        <w:ind w:left="567"/>
        <w:rPr>
          <w:rFonts w:ascii="宋体" w:hAnsi="宋体"/>
        </w:rPr>
      </w:pPr>
      <w:r>
        <w:rPr>
          <w:rFonts w:hint="eastAsia" w:ascii="宋体" w:hAnsi="宋体"/>
        </w:rPr>
        <w:t>2）质量符合招标文件和投标文件的要求。</w:t>
      </w:r>
    </w:p>
    <w:p>
      <w:pPr>
        <w:numPr>
          <w:ilvl w:val="0"/>
          <w:numId w:val="8"/>
        </w:numPr>
        <w:tabs>
          <w:tab w:val="left" w:pos="851"/>
        </w:tabs>
        <w:spacing w:line="360" w:lineRule="auto"/>
        <w:ind w:left="0" w:firstLine="0"/>
        <w:rPr>
          <w:rFonts w:ascii="宋体" w:hAnsi="宋体"/>
          <w:b/>
        </w:rPr>
      </w:pPr>
      <w:r>
        <w:rPr>
          <w:rFonts w:hint="eastAsia" w:ascii="宋体" w:hAnsi="宋体"/>
          <w:b/>
        </w:rPr>
        <w:t>货款的结算_____________________________</w:t>
      </w:r>
    </w:p>
    <w:p>
      <w:pPr>
        <w:numPr>
          <w:ilvl w:val="0"/>
          <w:numId w:val="8"/>
        </w:numPr>
        <w:tabs>
          <w:tab w:val="left" w:pos="851"/>
        </w:tabs>
        <w:spacing w:line="360" w:lineRule="auto"/>
        <w:ind w:left="0" w:firstLine="0"/>
        <w:rPr>
          <w:rFonts w:ascii="宋体" w:hAnsi="宋体"/>
          <w:b/>
        </w:rPr>
      </w:pPr>
      <w:r>
        <w:rPr>
          <w:rFonts w:hint="eastAsia" w:ascii="宋体" w:hAnsi="宋体"/>
          <w:b/>
        </w:rPr>
        <w:t>异议的时间和办法</w:t>
      </w:r>
    </w:p>
    <w:p>
      <w:pPr>
        <w:numPr>
          <w:ilvl w:val="2"/>
          <w:numId w:val="9"/>
        </w:numPr>
        <w:tabs>
          <w:tab w:val="left" w:pos="900"/>
          <w:tab w:val="clear" w:pos="2010"/>
        </w:tabs>
        <w:spacing w:line="360" w:lineRule="auto"/>
        <w:ind w:left="900"/>
        <w:rPr>
          <w:rFonts w:ascii="宋体" w:hAnsi="宋体"/>
        </w:rPr>
      </w:pPr>
      <w:r>
        <w:rPr>
          <w:rFonts w:hint="eastAsia" w:ascii="宋体" w:hAnsi="宋体"/>
        </w:rPr>
        <w:t>甲方在验收中，如果发现设备的品种、型号、数量、规格和质量不合规定，应妥为保管，并在30个工作日内向乙方提出书面异议；甲方自货物收到之日起两年内未通知乙方的，视为货物合乎规定。</w:t>
      </w:r>
    </w:p>
    <w:p>
      <w:pPr>
        <w:numPr>
          <w:ilvl w:val="2"/>
          <w:numId w:val="9"/>
        </w:numPr>
        <w:tabs>
          <w:tab w:val="left" w:pos="900"/>
          <w:tab w:val="clear" w:pos="2010"/>
        </w:tabs>
        <w:spacing w:line="360" w:lineRule="auto"/>
        <w:ind w:left="900"/>
        <w:rPr>
          <w:rFonts w:ascii="宋体" w:hAnsi="宋体"/>
          <w:color w:val="000000"/>
        </w:rPr>
      </w:pPr>
      <w:r>
        <w:rPr>
          <w:rFonts w:hint="eastAsia" w:ascii="宋体" w:hAnsi="宋体"/>
          <w:color w:val="000000"/>
        </w:rPr>
        <w:t>乙方在接到甲方书面异议后，应在5日内负责处理，否则，即视为默认甲方提出的异议和处理意见。</w:t>
      </w:r>
    </w:p>
    <w:p>
      <w:pPr>
        <w:numPr>
          <w:ilvl w:val="0"/>
          <w:numId w:val="8"/>
        </w:numPr>
        <w:tabs>
          <w:tab w:val="left" w:pos="851"/>
        </w:tabs>
        <w:spacing w:line="360" w:lineRule="auto"/>
        <w:ind w:left="0" w:firstLine="0"/>
        <w:rPr>
          <w:rFonts w:ascii="宋体" w:hAnsi="宋体"/>
          <w:b/>
          <w:color w:val="000000"/>
        </w:rPr>
      </w:pPr>
      <w:r>
        <w:rPr>
          <w:rFonts w:hint="eastAsia" w:ascii="宋体" w:hAnsi="宋体"/>
          <w:b/>
          <w:color w:val="000000"/>
        </w:rPr>
        <w:t>乙方的违约责任</w:t>
      </w:r>
    </w:p>
    <w:p>
      <w:pPr>
        <w:spacing w:line="360" w:lineRule="auto"/>
        <w:ind w:firstLine="567"/>
        <w:rPr>
          <w:rFonts w:ascii="宋体" w:hAnsi="宋体"/>
          <w:color w:val="000000"/>
        </w:rPr>
      </w:pPr>
      <w:r>
        <w:rPr>
          <w:rFonts w:hint="eastAsia" w:ascii="宋体" w:hAnsi="宋体"/>
          <w:color w:val="000000"/>
        </w:rPr>
        <w:t>1、</w:t>
      </w:r>
      <w:r>
        <w:rPr>
          <w:rFonts w:hint="eastAsia" w:ascii="宋体" w:hAnsi="宋体" w:cs="仿宋_GB2312"/>
          <w:color w:val="000000"/>
          <w:szCs w:val="21"/>
        </w:rPr>
        <w:t>乙方提供的货物、服务不符合采购文件、报价文件或本合同规定的，甲方有权拒收，并且乙方须向甲方方支付本合同总价5%的违约金。</w:t>
      </w:r>
    </w:p>
    <w:p>
      <w:pPr>
        <w:spacing w:line="360" w:lineRule="auto"/>
        <w:ind w:firstLine="567"/>
        <w:rPr>
          <w:rFonts w:ascii="宋体" w:hAnsi="宋体"/>
          <w:color w:val="000000"/>
        </w:rPr>
      </w:pPr>
      <w:r>
        <w:rPr>
          <w:rFonts w:hint="eastAsia" w:ascii="宋体" w:hAnsi="宋体"/>
          <w:color w:val="000000"/>
        </w:rPr>
        <w:t>2、乙方所交设备品种、型号、数量、规格、质量不符合</w:t>
      </w:r>
      <w:r>
        <w:rPr>
          <w:rFonts w:hint="eastAsia" w:ascii="宋体" w:hAnsi="宋体"/>
          <w:color w:val="000000"/>
          <w:szCs w:val="21"/>
        </w:rPr>
        <w:t>法律、法规规定和</w:t>
      </w:r>
      <w:r>
        <w:rPr>
          <w:rFonts w:hint="eastAsia" w:ascii="宋体" w:hAnsi="宋体"/>
          <w:color w:val="000000"/>
        </w:rPr>
        <w:t>合同约定的，由乙方负责包换或包修，并承担修理、调换或退货而支付的实际费用及以此给甲方造成的经济损失。</w:t>
      </w:r>
    </w:p>
    <w:p>
      <w:pPr>
        <w:spacing w:line="360" w:lineRule="auto"/>
        <w:ind w:firstLine="567"/>
        <w:rPr>
          <w:rFonts w:hint="eastAsia" w:ascii="宋体" w:hAnsi="宋体" w:cs="仿宋_GB2312"/>
          <w:color w:val="000000"/>
          <w:szCs w:val="21"/>
        </w:rPr>
      </w:pPr>
      <w:r>
        <w:rPr>
          <w:rFonts w:hint="eastAsia" w:ascii="宋体" w:hAnsi="宋体"/>
          <w:color w:val="000000"/>
        </w:rPr>
        <w:t>3、</w:t>
      </w:r>
      <w:r>
        <w:rPr>
          <w:rFonts w:hint="eastAsia" w:ascii="宋体" w:hAnsi="宋体" w:cs="仿宋_GB2312"/>
          <w:color w:val="000000"/>
          <w:szCs w:val="21"/>
        </w:rPr>
        <w:t>乙方未能按本合同规定的时间提供服务，从逾期之日起每日按本合同总价3‰的数额向甲方支付违约金；逾期半个月以上的，甲方有权终止合同，由此造成的甲方经济损失由乙方承担。</w:t>
      </w:r>
    </w:p>
    <w:p>
      <w:pPr>
        <w:spacing w:line="360" w:lineRule="auto"/>
        <w:ind w:firstLine="567"/>
        <w:rPr>
          <w:rFonts w:ascii="宋体" w:hAnsi="宋体"/>
          <w:color w:val="000000"/>
        </w:rPr>
      </w:pPr>
      <w:r>
        <w:rPr>
          <w:rFonts w:hint="eastAsia" w:ascii="宋体" w:hAnsi="宋体"/>
          <w:color w:val="000000"/>
        </w:rPr>
        <w:t>4、其它违约责任按《中华人民共和国合同法》处理。</w:t>
      </w:r>
    </w:p>
    <w:p>
      <w:pPr>
        <w:numPr>
          <w:ilvl w:val="0"/>
          <w:numId w:val="8"/>
        </w:numPr>
        <w:tabs>
          <w:tab w:val="left" w:pos="851"/>
        </w:tabs>
        <w:spacing w:line="360" w:lineRule="auto"/>
        <w:ind w:left="0" w:firstLine="0"/>
        <w:rPr>
          <w:rFonts w:ascii="宋体" w:hAnsi="宋体"/>
          <w:b/>
          <w:color w:val="000000"/>
        </w:rPr>
      </w:pPr>
      <w:r>
        <w:rPr>
          <w:rFonts w:hint="eastAsia" w:ascii="宋体" w:hAnsi="宋体"/>
          <w:b/>
          <w:color w:val="000000"/>
        </w:rPr>
        <w:t>甲方的违约责任</w:t>
      </w:r>
    </w:p>
    <w:p>
      <w:pPr>
        <w:spacing w:line="360" w:lineRule="auto"/>
        <w:ind w:firstLine="567"/>
        <w:rPr>
          <w:rFonts w:ascii="宋体" w:hAnsi="宋体"/>
          <w:color w:val="000000"/>
        </w:rPr>
      </w:pPr>
      <w:r>
        <w:rPr>
          <w:rFonts w:hint="eastAsia" w:ascii="宋体" w:hAnsi="宋体"/>
          <w:color w:val="000000"/>
        </w:rPr>
        <w:t>1、甲方无正当理由拒收货物，甲方向乙方偿付本合同总金额5%的违约金；逾期付款的，则每日按本合同总价的3‰向乙方偿付违约金，最高不超过合同总金额5%。</w:t>
      </w:r>
    </w:p>
    <w:p>
      <w:pPr>
        <w:spacing w:line="360" w:lineRule="auto"/>
        <w:ind w:firstLine="567"/>
        <w:rPr>
          <w:rFonts w:ascii="宋体" w:hAnsi="宋体"/>
          <w:color w:val="000000"/>
        </w:rPr>
      </w:pPr>
      <w:r>
        <w:rPr>
          <w:rFonts w:hint="eastAsia" w:ascii="宋体" w:hAnsi="宋体"/>
          <w:color w:val="000000"/>
        </w:rPr>
        <w:t>2、其它违约责任按《中华人民共和国合同法》处理。</w:t>
      </w:r>
    </w:p>
    <w:p>
      <w:pPr>
        <w:numPr>
          <w:ilvl w:val="0"/>
          <w:numId w:val="8"/>
        </w:numPr>
        <w:tabs>
          <w:tab w:val="left" w:pos="851"/>
        </w:tabs>
        <w:spacing w:line="360" w:lineRule="auto"/>
        <w:ind w:left="0" w:firstLine="0"/>
        <w:rPr>
          <w:rFonts w:ascii="宋体" w:hAnsi="宋体"/>
          <w:b/>
          <w:color w:val="000000"/>
        </w:rPr>
      </w:pPr>
      <w:r>
        <w:rPr>
          <w:rFonts w:hint="eastAsia" w:ascii="宋体" w:hAnsi="宋体"/>
          <w:b/>
          <w:color w:val="000000"/>
        </w:rPr>
        <w:t>不可抗力</w:t>
      </w:r>
    </w:p>
    <w:p>
      <w:pPr>
        <w:pStyle w:val="197"/>
        <w:ind w:left="0" w:leftChars="0" w:firstLine="420" w:firstLineChars="200"/>
      </w:pPr>
      <w:r>
        <w:rPr>
          <w:rFonts w:hint="eastAsia"/>
          <w:color w:val="000000"/>
        </w:rPr>
        <w:t>甲乙双方任何一方由于不可抗力原因不能履行合同时，应及</w:t>
      </w:r>
      <w:r>
        <w:rPr>
          <w:rFonts w:hint="eastAsia"/>
        </w:rPr>
        <w:t>时向对方通报不能履行或不能完全履行的理由，以减轻可能给对方造成的损失，在取得有关机构证明后，允许延期履行、部分履行或不履行合同，并根据情况可部分或全部免予承担违约责任。</w:t>
      </w:r>
    </w:p>
    <w:p>
      <w:pPr>
        <w:numPr>
          <w:ilvl w:val="0"/>
          <w:numId w:val="8"/>
        </w:numPr>
        <w:tabs>
          <w:tab w:val="left" w:pos="993"/>
        </w:tabs>
        <w:spacing w:line="360" w:lineRule="auto"/>
        <w:ind w:left="0" w:firstLine="0"/>
        <w:rPr>
          <w:rFonts w:ascii="宋体" w:hAnsi="宋体"/>
          <w:b/>
        </w:rPr>
      </w:pPr>
      <w:r>
        <w:rPr>
          <w:rFonts w:hint="eastAsia" w:ascii="宋体" w:hAnsi="宋体"/>
          <w:b/>
        </w:rPr>
        <w:t>争议的解决</w:t>
      </w:r>
    </w:p>
    <w:p>
      <w:pPr>
        <w:spacing w:line="360" w:lineRule="auto"/>
        <w:ind w:firstLine="567"/>
        <w:rPr>
          <w:rFonts w:ascii="宋体" w:hAnsi="宋体"/>
        </w:rPr>
      </w:pPr>
      <w:r>
        <w:rPr>
          <w:rFonts w:hint="eastAsia" w:ascii="宋体" w:hAnsi="宋体"/>
        </w:rPr>
        <w:t>1、因设备的质量问题发生争议，由法律及有关规章规定的技术单位进行质量鉴定，双方无条件服从该鉴定的结论；</w:t>
      </w:r>
    </w:p>
    <w:p>
      <w:pPr>
        <w:spacing w:line="360" w:lineRule="auto"/>
        <w:ind w:firstLine="567"/>
        <w:rPr>
          <w:rFonts w:ascii="宋体" w:hAnsi="宋体"/>
        </w:rPr>
      </w:pPr>
      <w:r>
        <w:rPr>
          <w:rFonts w:hint="eastAsia" w:ascii="宋体" w:hAnsi="宋体"/>
        </w:rPr>
        <w:t>2、执行本合同发生纠纷，当事人双方应当及时协商解决，协商不成的按下列第</w:t>
      </w:r>
      <w:r>
        <w:rPr>
          <w:rFonts w:hint="eastAsia" w:ascii="宋体" w:hAnsi="宋体"/>
          <w:u w:val="single"/>
        </w:rPr>
        <w:t>_A_</w:t>
      </w:r>
      <w:r>
        <w:rPr>
          <w:rFonts w:hint="eastAsia" w:ascii="宋体" w:hAnsi="宋体"/>
        </w:rPr>
        <w:t>种方式解决。</w:t>
      </w:r>
    </w:p>
    <w:p>
      <w:pPr>
        <w:numPr>
          <w:ilvl w:val="3"/>
          <w:numId w:val="9"/>
        </w:numPr>
        <w:tabs>
          <w:tab w:val="left" w:pos="900"/>
          <w:tab w:val="clear" w:pos="2430"/>
        </w:tabs>
        <w:spacing w:line="360" w:lineRule="auto"/>
        <w:ind w:hanging="1710"/>
        <w:rPr>
          <w:rFonts w:ascii="宋体" w:hAnsi="宋体"/>
        </w:rPr>
      </w:pPr>
      <w:r>
        <w:rPr>
          <w:rFonts w:hint="eastAsia" w:ascii="宋体" w:hAnsi="宋体"/>
        </w:rPr>
        <w:t>提交</w:t>
      </w:r>
      <w:r>
        <w:rPr>
          <w:rFonts w:hint="eastAsia" w:ascii="宋体" w:hAnsi="宋体"/>
          <w:highlight w:val="none"/>
          <w:lang w:eastAsia="zh-CN"/>
        </w:rPr>
        <w:t>深圳</w:t>
      </w:r>
      <w:r>
        <w:rPr>
          <w:rFonts w:hint="eastAsia" w:ascii="宋体" w:hAnsi="宋体"/>
        </w:rPr>
        <w:t>仲裁委员会仲裁；</w:t>
      </w:r>
    </w:p>
    <w:p>
      <w:pPr>
        <w:numPr>
          <w:ilvl w:val="3"/>
          <w:numId w:val="9"/>
        </w:numPr>
        <w:tabs>
          <w:tab w:val="left" w:pos="900"/>
          <w:tab w:val="clear" w:pos="2430"/>
        </w:tabs>
        <w:spacing w:line="360" w:lineRule="auto"/>
        <w:ind w:hanging="1710"/>
        <w:rPr>
          <w:rFonts w:ascii="宋体" w:hAnsi="宋体"/>
        </w:rPr>
      </w:pPr>
      <w:r>
        <w:rPr>
          <w:rFonts w:hint="eastAsia" w:ascii="宋体" w:hAnsi="宋体"/>
        </w:rPr>
        <w:t>依法向人民法院提起诉讼。</w:t>
      </w:r>
    </w:p>
    <w:p>
      <w:pPr>
        <w:numPr>
          <w:ilvl w:val="0"/>
          <w:numId w:val="8"/>
        </w:numPr>
        <w:tabs>
          <w:tab w:val="left" w:pos="993"/>
        </w:tabs>
        <w:spacing w:line="360" w:lineRule="auto"/>
        <w:ind w:left="0" w:firstLine="0"/>
        <w:rPr>
          <w:rFonts w:ascii="宋体" w:hAnsi="宋体"/>
          <w:b/>
        </w:rPr>
      </w:pPr>
      <w:r>
        <w:rPr>
          <w:rFonts w:hint="eastAsia" w:ascii="宋体" w:hAnsi="宋体"/>
          <w:b/>
        </w:rPr>
        <w:t>监督和管理</w:t>
      </w:r>
    </w:p>
    <w:p>
      <w:pPr>
        <w:spacing w:line="360" w:lineRule="auto"/>
        <w:ind w:firstLine="420" w:firstLineChars="200"/>
        <w:rPr>
          <w:rFonts w:ascii="宋体" w:hAnsi="宋体"/>
          <w:szCs w:val="21"/>
        </w:rPr>
      </w:pPr>
      <w:r>
        <w:rPr>
          <w:rFonts w:hint="eastAsia" w:ascii="宋体" w:hAnsi="宋体"/>
        </w:rPr>
        <w:t>1、</w:t>
      </w:r>
      <w:r>
        <w:rPr>
          <w:rFonts w:hint="eastAsia" w:ascii="宋体" w:hAnsi="宋体"/>
          <w:szCs w:val="21"/>
        </w:rPr>
        <w:t>双方应严格按合同执行，任何一方均不能单方对本合同内容做任何实质性变更。订立补充合同不得与原合同发生冲突。</w:t>
      </w:r>
    </w:p>
    <w:p>
      <w:pPr>
        <w:numPr>
          <w:ilvl w:val="0"/>
          <w:numId w:val="8"/>
        </w:numPr>
        <w:tabs>
          <w:tab w:val="left" w:pos="993"/>
        </w:tabs>
        <w:spacing w:line="360" w:lineRule="auto"/>
        <w:ind w:left="0" w:firstLine="0"/>
        <w:rPr>
          <w:rFonts w:ascii="宋体" w:hAnsi="宋体"/>
          <w:b/>
          <w:bCs/>
        </w:rPr>
      </w:pPr>
      <w:r>
        <w:rPr>
          <w:rFonts w:hint="eastAsia" w:ascii="宋体" w:hAnsi="宋体"/>
          <w:b/>
          <w:bCs/>
        </w:rPr>
        <w:t>投诉</w:t>
      </w:r>
    </w:p>
    <w:p>
      <w:pPr>
        <w:spacing w:line="360" w:lineRule="auto"/>
        <w:ind w:firstLine="420" w:firstLineChars="200"/>
        <w:rPr>
          <w:rFonts w:ascii="宋体" w:hAnsi="宋体"/>
          <w:bCs/>
        </w:rPr>
      </w:pPr>
      <w:r>
        <w:rPr>
          <w:rFonts w:hint="eastAsia" w:ascii="宋体" w:hAnsi="宋体"/>
          <w:szCs w:val="21"/>
        </w:rPr>
        <w:t>甲方如对乙方所提供的设备质量及服务提出投诉，经核查如属有效投诉，甲方有权取消乙方的中标资格</w:t>
      </w:r>
      <w:r>
        <w:rPr>
          <w:rFonts w:hint="eastAsia" w:ascii="宋体" w:hAnsi="宋体"/>
          <w:bCs/>
        </w:rPr>
        <w:t>。</w:t>
      </w:r>
    </w:p>
    <w:p>
      <w:pPr>
        <w:numPr>
          <w:ilvl w:val="0"/>
          <w:numId w:val="8"/>
        </w:numPr>
        <w:tabs>
          <w:tab w:val="left" w:pos="993"/>
        </w:tabs>
        <w:spacing w:line="360" w:lineRule="auto"/>
        <w:ind w:left="0" w:firstLine="0"/>
        <w:rPr>
          <w:rFonts w:ascii="宋体" w:hAnsi="宋体"/>
          <w:b/>
          <w:bCs/>
        </w:rPr>
      </w:pPr>
      <w:r>
        <w:rPr>
          <w:rFonts w:hint="eastAsia" w:ascii="宋体" w:hAnsi="宋体"/>
          <w:b/>
          <w:bCs/>
        </w:rPr>
        <w:t>合同生效日期</w:t>
      </w:r>
    </w:p>
    <w:p>
      <w:pPr>
        <w:rPr>
          <w:rFonts w:ascii="宋体" w:hAnsi="宋体"/>
          <w:highlight w:val="none"/>
        </w:rPr>
      </w:pPr>
      <w:r>
        <w:rPr>
          <w:rFonts w:hint="eastAsia" w:ascii="宋体" w:hAnsi="宋体"/>
          <w:highlight w:val="none"/>
        </w:rPr>
        <w:t>本合同自</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日起生效。</w:t>
      </w:r>
    </w:p>
    <w:p>
      <w:pPr>
        <w:numPr>
          <w:ilvl w:val="0"/>
          <w:numId w:val="8"/>
        </w:numPr>
        <w:tabs>
          <w:tab w:val="left" w:pos="993"/>
        </w:tabs>
        <w:spacing w:line="360" w:lineRule="auto"/>
        <w:ind w:left="0" w:firstLine="0"/>
        <w:rPr>
          <w:rFonts w:ascii="宋体" w:hAnsi="宋体"/>
          <w:b/>
          <w:bCs/>
          <w:highlight w:val="none"/>
        </w:rPr>
      </w:pPr>
      <w:r>
        <w:rPr>
          <w:rFonts w:hint="eastAsia" w:ascii="宋体" w:hAnsi="宋体"/>
          <w:b/>
          <w:bCs/>
          <w:highlight w:val="none"/>
        </w:rPr>
        <w:t>附则</w:t>
      </w:r>
    </w:p>
    <w:p>
      <w:pPr>
        <w:ind w:firstLine="420" w:firstLineChars="200"/>
        <w:rPr>
          <w:rFonts w:ascii="宋体" w:hAnsi="宋体"/>
          <w:highlight w:val="none"/>
        </w:rPr>
      </w:pPr>
      <w:r>
        <w:rPr>
          <w:rFonts w:hint="eastAsia" w:ascii="宋体" w:hAnsi="宋体"/>
          <w:highlight w:val="none"/>
        </w:rPr>
        <w:t>本合同关键条款需经招标代理见证。本合同一式</w:t>
      </w:r>
      <w:r>
        <w:rPr>
          <w:rFonts w:hint="eastAsia" w:ascii="宋体" w:hAnsi="宋体"/>
          <w:highlight w:val="none"/>
          <w:u w:val="single"/>
        </w:rPr>
        <w:t xml:space="preserve">    </w:t>
      </w:r>
      <w:r>
        <w:rPr>
          <w:rFonts w:hint="eastAsia" w:ascii="宋体" w:hAnsi="宋体"/>
          <w:highlight w:val="none"/>
        </w:rPr>
        <w:t>份，甲乙双方各执</w:t>
      </w:r>
      <w:r>
        <w:rPr>
          <w:rFonts w:hint="eastAsia" w:ascii="宋体" w:hAnsi="宋体"/>
          <w:highlight w:val="none"/>
          <w:u w:val="single"/>
        </w:rPr>
        <w:t xml:space="preserve">    </w:t>
      </w:r>
      <w:r>
        <w:rPr>
          <w:rFonts w:hint="eastAsia" w:ascii="宋体" w:hAnsi="宋体"/>
          <w:highlight w:val="none"/>
        </w:rPr>
        <w:t>份，一份送招标代理存档。</w:t>
      </w:r>
    </w:p>
    <w:p>
      <w:pPr>
        <w:spacing w:line="360" w:lineRule="auto"/>
        <w:rPr>
          <w:rFonts w:ascii="宋体" w:hAnsi="宋体"/>
          <w:bCs/>
        </w:rPr>
      </w:pPr>
    </w:p>
    <w:p>
      <w:pPr>
        <w:spacing w:line="360" w:lineRule="auto"/>
        <w:rPr>
          <w:rFonts w:ascii="宋体" w:hAnsi="宋体"/>
          <w:bCs/>
        </w:rPr>
      </w:pPr>
      <w:r>
        <w:rPr>
          <w:rFonts w:hint="eastAsia" w:ascii="宋体" w:hAnsi="宋体"/>
          <w:bCs/>
        </w:rPr>
        <w:t xml:space="preserve">购货单位（甲方）：                                </w:t>
      </w:r>
      <w:r>
        <w:rPr>
          <w:rFonts w:hint="eastAsia" w:ascii="宋体" w:hAnsi="宋体"/>
          <w:bCs/>
          <w:lang w:val="en-US" w:eastAsia="zh-CN"/>
        </w:rPr>
        <w:t xml:space="preserve"> </w:t>
      </w:r>
      <w:r>
        <w:rPr>
          <w:rFonts w:hint="eastAsia" w:ascii="宋体" w:hAnsi="宋体"/>
          <w:bCs/>
        </w:rPr>
        <w:t>供货单位（乙方）：</w:t>
      </w:r>
    </w:p>
    <w:p>
      <w:pPr>
        <w:spacing w:line="360" w:lineRule="auto"/>
        <w:rPr>
          <w:rFonts w:ascii="宋体" w:hAnsi="宋体"/>
          <w:bCs/>
        </w:rPr>
      </w:pPr>
      <w:r>
        <w:rPr>
          <w:rFonts w:hint="eastAsia" w:ascii="宋体" w:hAnsi="宋体"/>
          <w:bCs/>
        </w:rPr>
        <w:t>法定代表人/负责人：                               法定代表人/负责人：</w:t>
      </w:r>
    </w:p>
    <w:p>
      <w:pPr>
        <w:spacing w:line="360" w:lineRule="auto"/>
        <w:rPr>
          <w:rFonts w:ascii="宋体" w:hAnsi="宋体"/>
          <w:bCs/>
        </w:rPr>
      </w:pPr>
      <w:r>
        <w:rPr>
          <w:rFonts w:hint="eastAsia" w:ascii="宋体" w:hAnsi="宋体"/>
          <w:bCs/>
        </w:rPr>
        <w:t>委托代理人：                                      委托代理人：</w:t>
      </w:r>
    </w:p>
    <w:p>
      <w:pPr>
        <w:spacing w:line="360" w:lineRule="auto"/>
        <w:rPr>
          <w:rFonts w:ascii="宋体" w:hAnsi="宋体"/>
          <w:bCs/>
        </w:rPr>
      </w:pPr>
      <w:r>
        <w:rPr>
          <w:rFonts w:hint="eastAsia" w:ascii="宋体" w:hAnsi="宋体"/>
          <w:bCs/>
        </w:rPr>
        <w:t>地址：                                            地址：</w:t>
      </w:r>
    </w:p>
    <w:p>
      <w:pPr>
        <w:spacing w:line="360" w:lineRule="auto"/>
        <w:rPr>
          <w:rFonts w:ascii="宋体" w:hAnsi="宋体"/>
          <w:bCs/>
        </w:rPr>
      </w:pPr>
      <w:r>
        <w:rPr>
          <w:rFonts w:hint="eastAsia" w:ascii="宋体" w:hAnsi="宋体"/>
          <w:bCs/>
        </w:rPr>
        <w:t>开户银行：                                        开户银行：</w:t>
      </w:r>
    </w:p>
    <w:p>
      <w:pPr>
        <w:spacing w:line="360" w:lineRule="auto"/>
        <w:rPr>
          <w:rFonts w:ascii="宋体" w:hAnsi="宋体"/>
          <w:bCs/>
        </w:rPr>
      </w:pPr>
      <w:r>
        <w:rPr>
          <w:rFonts w:hint="eastAsia" w:ascii="宋体" w:hAnsi="宋体"/>
          <w:bCs/>
        </w:rPr>
        <w:t>帐号：                                            帐号：</w:t>
      </w:r>
    </w:p>
    <w:p>
      <w:pPr>
        <w:spacing w:line="360" w:lineRule="auto"/>
        <w:rPr>
          <w:rFonts w:ascii="宋体" w:hAnsi="宋体"/>
          <w:bCs/>
        </w:rPr>
      </w:pPr>
      <w:r>
        <w:rPr>
          <w:rFonts w:hint="eastAsia" w:ascii="宋体" w:hAnsi="宋体"/>
          <w:bCs/>
        </w:rPr>
        <w:t>电话：                                            电话：</w:t>
      </w:r>
    </w:p>
    <w:p>
      <w:pPr>
        <w:spacing w:line="360" w:lineRule="auto"/>
        <w:rPr>
          <w:rFonts w:ascii="宋体" w:hAnsi="宋体"/>
          <w:bCs/>
        </w:rPr>
      </w:pPr>
    </w:p>
    <w:p>
      <w:pPr>
        <w:pStyle w:val="22"/>
      </w:pPr>
    </w:p>
    <w:p>
      <w:pPr>
        <w:pStyle w:val="22"/>
        <w:rPr>
          <w:rFonts w:hint="eastAsia"/>
        </w:rPr>
        <w:sectPr>
          <w:pgSz w:w="11906" w:h="16838"/>
          <w:pgMar w:top="1418" w:right="1287" w:bottom="1089" w:left="1758" w:header="737" w:footer="31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b/>
        </w:rPr>
        <w:t>注：</w:t>
      </w:r>
      <w:r>
        <w:rPr>
          <w:rFonts w:hint="eastAsia" w:ascii="宋体" w:hAnsi="宋体"/>
          <w:b/>
          <w:bCs/>
        </w:rPr>
        <w:t>本合同样本仅供参考，具体条款内容由采购人和中标供应商协商确定，但不得对招投标文件的实质性条款作出变更，且必须包括采购人与中标人的名称和住所、标的、数量、质量、价款或者报酬、履行期限及地址和方式、验收要求、违约责任、解决争议的方法等内容。</w:t>
      </w:r>
    </w:p>
    <w:p>
      <w:pPr>
        <w:pStyle w:val="2"/>
        <w:spacing w:line="360" w:lineRule="auto"/>
        <w:rPr>
          <w:rFonts w:ascii="华文新魏" w:hAnsi="华文新魏" w:eastAsia="华文新魏" w:cs="华文新魏"/>
          <w:b/>
          <w:bCs w:val="0"/>
          <w:kern w:val="2"/>
          <w:sz w:val="44"/>
          <w:szCs w:val="44"/>
        </w:rPr>
      </w:pPr>
      <w:r>
        <w:rPr>
          <w:rFonts w:hint="eastAsia" w:ascii="华文新魏" w:hAnsi="华文新魏" w:eastAsia="华文新魏" w:cs="华文新魏"/>
          <w:b/>
          <w:bCs w:val="0"/>
          <w:kern w:val="2"/>
          <w:sz w:val="44"/>
          <w:szCs w:val="44"/>
        </w:rPr>
        <w:t>第四章  投标文件格式</w:t>
      </w:r>
    </w:p>
    <w:p>
      <w:pPr>
        <w:spacing w:line="360" w:lineRule="auto"/>
        <w:ind w:firstLine="480" w:firstLineChars="200"/>
      </w:pPr>
      <w:r>
        <w:rPr>
          <w:rStyle w:val="70"/>
          <w:rFonts w:hint="eastAsia" w:ascii="宋体" w:hAnsi="宋体" w:eastAsia="宋体" w:cs="宋体"/>
          <w:sz w:val="24"/>
        </w:rPr>
        <w:t>特别提醒：</w:t>
      </w:r>
      <w:r>
        <w:rPr>
          <w:rFonts w:hint="eastAsia" w:ascii="宋体" w:hAnsi="宋体" w:cs="宋体"/>
          <w:color w:val="FF0000"/>
          <w:sz w:val="24"/>
        </w:rPr>
        <w:t>投标人在编辑投标文件时，在投标文件目录中属于本节点内容的必须在本节点中填写，填写到其他节点或附件的将可能导致废标，一切后果由供应商自行承担。</w:t>
      </w:r>
    </w:p>
    <w:p>
      <w:pPr>
        <w:spacing w:line="360" w:lineRule="auto"/>
        <w:ind w:firstLine="480" w:firstLineChars="200"/>
        <w:rPr>
          <w:rFonts w:hint="eastAsia" w:ascii="宋体" w:hAnsi="宋体"/>
          <w:sz w:val="24"/>
          <w:szCs w:val="24"/>
        </w:rPr>
      </w:pPr>
      <w:r>
        <w:rPr>
          <w:rFonts w:hint="eastAsia" w:ascii="宋体" w:hAnsi="宋体"/>
          <w:sz w:val="24"/>
          <w:szCs w:val="24"/>
        </w:rPr>
        <w:t>投标文件组成：</w:t>
      </w:r>
    </w:p>
    <w:p>
      <w:pPr>
        <w:pStyle w:val="2"/>
      </w:pPr>
    </w:p>
    <w:p>
      <w:pPr>
        <w:pStyle w:val="7"/>
        <w:numPr>
          <w:ilvl w:val="0"/>
          <w:numId w:val="10"/>
        </w:numPr>
        <w:spacing w:line="360" w:lineRule="auto"/>
        <w:ind w:left="420" w:leftChars="200"/>
        <w:rPr>
          <w:rFonts w:ascii="宋体" w:hAnsi="宋体"/>
          <w:color w:val="000000"/>
          <w:sz w:val="22"/>
          <w:szCs w:val="22"/>
        </w:rPr>
      </w:pPr>
      <w:r>
        <w:rPr>
          <w:rFonts w:hint="eastAsia" w:ascii="宋体" w:hAnsi="宋体"/>
          <w:color w:val="000000"/>
          <w:sz w:val="22"/>
          <w:szCs w:val="22"/>
        </w:rPr>
        <w:t>投标文件封面</w:t>
      </w:r>
    </w:p>
    <w:p>
      <w:pPr>
        <w:pStyle w:val="7"/>
        <w:spacing w:line="360" w:lineRule="auto"/>
        <w:ind w:left="420" w:leftChars="200" w:firstLine="0"/>
        <w:rPr>
          <w:rFonts w:ascii="宋体" w:hAnsi="宋体"/>
          <w:color w:val="000000"/>
          <w:sz w:val="21"/>
          <w:szCs w:val="21"/>
        </w:rPr>
      </w:pPr>
    </w:p>
    <w:p>
      <w:pPr>
        <w:pStyle w:val="7"/>
        <w:spacing w:line="360" w:lineRule="auto"/>
        <w:ind w:left="420" w:leftChars="200"/>
        <w:rPr>
          <w:rFonts w:ascii="宋体" w:hAnsi="宋体"/>
          <w:color w:val="000000"/>
          <w:sz w:val="22"/>
          <w:szCs w:val="22"/>
        </w:rPr>
      </w:pPr>
      <w:r>
        <w:rPr>
          <w:rFonts w:hint="eastAsia" w:ascii="宋体" w:hAnsi="宋体"/>
          <w:color w:val="000000"/>
          <w:sz w:val="22"/>
          <w:szCs w:val="22"/>
        </w:rPr>
        <w:t>2</w:t>
      </w:r>
      <w:r>
        <w:rPr>
          <w:rFonts w:ascii="宋体" w:hAnsi="宋体"/>
          <w:color w:val="000000"/>
          <w:sz w:val="22"/>
          <w:szCs w:val="22"/>
        </w:rPr>
        <w:t>、</w:t>
      </w:r>
      <w:r>
        <w:rPr>
          <w:rFonts w:hint="eastAsia" w:ascii="宋体" w:hAnsi="宋体"/>
          <w:color w:val="000000"/>
          <w:sz w:val="22"/>
          <w:szCs w:val="22"/>
        </w:rPr>
        <w:t>目录</w:t>
      </w:r>
    </w:p>
    <w:p>
      <w:pPr>
        <w:pStyle w:val="7"/>
        <w:spacing w:line="360" w:lineRule="auto"/>
        <w:ind w:left="420" w:leftChars="200"/>
        <w:rPr>
          <w:rFonts w:ascii="宋体" w:hAnsi="宋体"/>
          <w:color w:val="000000"/>
          <w:sz w:val="21"/>
          <w:szCs w:val="21"/>
        </w:rPr>
      </w:pPr>
    </w:p>
    <w:p>
      <w:pPr>
        <w:pStyle w:val="7"/>
        <w:spacing w:line="360" w:lineRule="auto"/>
        <w:ind w:left="420" w:leftChars="200"/>
        <w:rPr>
          <w:rFonts w:ascii="宋体" w:hAnsi="宋体"/>
          <w:b w:val="0"/>
          <w:bCs w:val="0"/>
          <w:color w:val="000000"/>
          <w:sz w:val="22"/>
          <w:szCs w:val="22"/>
          <w:highlight w:val="none"/>
        </w:rPr>
      </w:pPr>
      <w:r>
        <w:rPr>
          <w:rFonts w:ascii="宋体" w:hAnsi="宋体"/>
          <w:b w:val="0"/>
          <w:bCs w:val="0"/>
          <w:color w:val="000000"/>
          <w:sz w:val="22"/>
          <w:szCs w:val="22"/>
          <w:highlight w:val="none"/>
        </w:rPr>
        <w:t>3</w:t>
      </w:r>
      <w:r>
        <w:rPr>
          <w:rFonts w:hint="eastAsia" w:ascii="宋体" w:hAnsi="宋体"/>
          <w:b w:val="0"/>
          <w:bCs w:val="0"/>
          <w:color w:val="000000"/>
          <w:sz w:val="22"/>
          <w:szCs w:val="22"/>
          <w:highlight w:val="none"/>
        </w:rPr>
        <w:t>、投标文件第一部分，主要包括以下内容：</w:t>
      </w:r>
    </w:p>
    <w:p>
      <w:pPr>
        <w:pStyle w:val="7"/>
        <w:spacing w:line="360" w:lineRule="auto"/>
        <w:ind w:left="420" w:leftChars="20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w:t>
      </w:r>
      <w:r>
        <w:rPr>
          <w:rFonts w:hint="eastAsia" w:ascii="宋体" w:hAnsi="宋体"/>
          <w:color w:val="000000"/>
          <w:sz w:val="21"/>
          <w:szCs w:val="21"/>
        </w:rPr>
        <w:t>投标</w:t>
      </w:r>
      <w:r>
        <w:rPr>
          <w:rFonts w:ascii="宋体" w:hAnsi="宋体"/>
          <w:color w:val="000000"/>
          <w:sz w:val="21"/>
          <w:szCs w:val="21"/>
        </w:rPr>
        <w:t>一览表</w:t>
      </w:r>
    </w:p>
    <w:p>
      <w:pPr>
        <w:pStyle w:val="7"/>
        <w:spacing w:line="360" w:lineRule="auto"/>
        <w:ind w:left="420" w:leftChars="200"/>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（2）投标明细报价表</w:t>
      </w:r>
    </w:p>
    <w:p>
      <w:pPr>
        <w:pStyle w:val="7"/>
        <w:spacing w:line="360" w:lineRule="auto"/>
        <w:ind w:left="420" w:leftChars="200"/>
        <w:rPr>
          <w:rFonts w:hint="eastAsia" w:ascii="宋体" w:hAnsi="宋体" w:eastAsia="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3</w:t>
      </w:r>
      <w:r>
        <w:rPr>
          <w:rFonts w:hint="eastAsia" w:ascii="宋体" w:hAnsi="宋体"/>
          <w:color w:val="000000"/>
          <w:sz w:val="21"/>
          <w:szCs w:val="21"/>
          <w:lang w:eastAsia="zh-CN"/>
        </w:rPr>
        <w:t>）自查表</w:t>
      </w:r>
    </w:p>
    <w:p>
      <w:pPr>
        <w:pStyle w:val="7"/>
        <w:spacing w:line="360" w:lineRule="auto"/>
        <w:ind w:left="420" w:left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）法定代表人资格证明书</w:t>
      </w:r>
    </w:p>
    <w:p>
      <w:pPr>
        <w:pStyle w:val="7"/>
        <w:spacing w:line="360" w:lineRule="auto"/>
        <w:ind w:left="420" w:left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）投标文件签署授权委托书</w:t>
      </w:r>
    </w:p>
    <w:p>
      <w:pPr>
        <w:pStyle w:val="7"/>
        <w:spacing w:line="360" w:lineRule="auto"/>
        <w:ind w:left="420" w:left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）投标函</w:t>
      </w:r>
    </w:p>
    <w:p>
      <w:pPr>
        <w:pStyle w:val="7"/>
        <w:spacing w:line="360" w:lineRule="auto"/>
        <w:ind w:left="420" w:left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）承诺函</w:t>
      </w:r>
    </w:p>
    <w:p>
      <w:pPr>
        <w:pStyle w:val="7"/>
        <w:spacing w:line="360" w:lineRule="auto"/>
        <w:ind w:left="420" w:left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8</w:t>
      </w:r>
      <w:r>
        <w:rPr>
          <w:rFonts w:ascii="宋体" w:hAnsi="宋体"/>
          <w:sz w:val="21"/>
          <w:szCs w:val="21"/>
        </w:rPr>
        <w:t>）</w:t>
      </w:r>
      <w:r>
        <w:rPr>
          <w:rFonts w:hint="eastAsia" w:ascii="宋体" w:hAnsi="宋体"/>
          <w:sz w:val="21"/>
          <w:szCs w:val="21"/>
        </w:rPr>
        <w:t>无违法</w:t>
      </w:r>
      <w:r>
        <w:rPr>
          <w:rFonts w:ascii="宋体" w:hAnsi="宋体"/>
          <w:sz w:val="21"/>
          <w:szCs w:val="21"/>
        </w:rPr>
        <w:t>违规行为承诺函</w:t>
      </w:r>
    </w:p>
    <w:p>
      <w:pPr>
        <w:pStyle w:val="7"/>
        <w:spacing w:line="360" w:lineRule="auto"/>
        <w:ind w:left="420" w:left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9</w:t>
      </w:r>
      <w:r>
        <w:rPr>
          <w:rFonts w:hint="eastAsia" w:ascii="宋体" w:hAnsi="宋体"/>
          <w:sz w:val="21"/>
          <w:szCs w:val="21"/>
        </w:rPr>
        <w:t>）投标人情况介绍及相关资质材料</w:t>
      </w:r>
    </w:p>
    <w:p>
      <w:pPr>
        <w:pStyle w:val="7"/>
        <w:spacing w:line="360" w:lineRule="auto"/>
        <w:ind w:left="420" w:leftChars="200"/>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10</w:t>
      </w:r>
      <w:r>
        <w:rPr>
          <w:rFonts w:hint="eastAsia" w:ascii="宋体" w:hAnsi="宋体"/>
          <w:sz w:val="21"/>
          <w:szCs w:val="21"/>
          <w:highlight w:val="none"/>
        </w:rPr>
        <w:t>）开票资料说明函</w:t>
      </w:r>
    </w:p>
    <w:p>
      <w:pPr>
        <w:pStyle w:val="7"/>
        <w:spacing w:line="360" w:lineRule="auto"/>
        <w:ind w:left="420" w:leftChars="200"/>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1</w:t>
      </w:r>
      <w:r>
        <w:rPr>
          <w:rFonts w:hint="eastAsia" w:ascii="宋体" w:hAnsi="宋体"/>
          <w:sz w:val="21"/>
          <w:szCs w:val="21"/>
          <w:highlight w:val="none"/>
        </w:rPr>
        <w:t>）招标文件要求的其它内容及投标人认为需要补充的其它内容（格式自定）</w:t>
      </w:r>
    </w:p>
    <w:p>
      <w:pPr>
        <w:pStyle w:val="7"/>
        <w:spacing w:line="360" w:lineRule="auto"/>
        <w:ind w:left="210" w:leftChars="100" w:firstLine="1619" w:firstLineChars="771"/>
        <w:rPr>
          <w:rFonts w:ascii="宋体" w:hAnsi="宋体"/>
          <w:color w:val="000000"/>
          <w:sz w:val="21"/>
          <w:szCs w:val="21"/>
        </w:rPr>
      </w:pPr>
    </w:p>
    <w:p>
      <w:pPr>
        <w:pStyle w:val="7"/>
        <w:spacing w:line="360" w:lineRule="auto"/>
        <w:ind w:left="420" w:leftChars="200"/>
        <w:rPr>
          <w:rFonts w:ascii="宋体" w:hAnsi="宋体"/>
          <w:color w:val="000000"/>
          <w:sz w:val="22"/>
          <w:szCs w:val="22"/>
        </w:rPr>
      </w:pPr>
      <w:r>
        <w:rPr>
          <w:rFonts w:ascii="宋体" w:hAnsi="宋体"/>
          <w:color w:val="000000"/>
          <w:sz w:val="22"/>
          <w:szCs w:val="22"/>
        </w:rPr>
        <w:t>4</w:t>
      </w:r>
      <w:r>
        <w:rPr>
          <w:rFonts w:hint="eastAsia" w:ascii="宋体" w:hAnsi="宋体"/>
          <w:color w:val="000000"/>
          <w:sz w:val="22"/>
          <w:szCs w:val="22"/>
        </w:rPr>
        <w:t>、投标文件第二</w:t>
      </w:r>
      <w:r>
        <w:rPr>
          <w:rFonts w:ascii="宋体" w:hAnsi="宋体"/>
          <w:color w:val="000000"/>
          <w:sz w:val="22"/>
          <w:szCs w:val="22"/>
        </w:rPr>
        <w:t>部分</w:t>
      </w:r>
      <w:r>
        <w:rPr>
          <w:rFonts w:hint="eastAsia" w:ascii="宋体" w:hAnsi="宋体"/>
          <w:color w:val="000000"/>
          <w:sz w:val="22"/>
          <w:szCs w:val="22"/>
        </w:rPr>
        <w:t>，主要包括下列内容：</w:t>
      </w:r>
    </w:p>
    <w:p>
      <w:pPr>
        <w:pStyle w:val="7"/>
        <w:spacing w:line="360" w:lineRule="auto"/>
        <w:ind w:left="420" w:leftChars="200"/>
        <w:rPr>
          <w:rFonts w:ascii="宋体" w:hAnsi="宋体"/>
          <w:sz w:val="21"/>
          <w:szCs w:val="21"/>
        </w:rPr>
      </w:pPr>
      <w:r>
        <w:rPr>
          <w:rFonts w:hint="eastAsia" w:ascii="宋体" w:hAnsi="宋体"/>
          <w:sz w:val="21"/>
          <w:szCs w:val="21"/>
        </w:rPr>
        <w:t>（1）授权委托代理人联系方式</w:t>
      </w:r>
    </w:p>
    <w:p>
      <w:pPr>
        <w:pStyle w:val="7"/>
        <w:spacing w:line="360" w:lineRule="auto"/>
        <w:ind w:left="420" w:leftChars="200"/>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）拟采用材料品牌型号表</w:t>
      </w:r>
    </w:p>
    <w:p>
      <w:pPr>
        <w:pStyle w:val="7"/>
        <w:spacing w:line="360" w:lineRule="auto"/>
        <w:ind w:left="420" w:leftChars="200"/>
        <w:rPr>
          <w:rFonts w:hint="eastAsia" w:ascii="宋体" w:hAnsi="宋体"/>
          <w:sz w:val="21"/>
          <w:szCs w:val="21"/>
          <w:lang w:val="en-US" w:eastAsia="zh-CN"/>
        </w:rPr>
      </w:pPr>
      <w:r>
        <w:rPr>
          <w:rFonts w:hint="eastAsia" w:ascii="宋体" w:hAnsi="宋体"/>
          <w:sz w:val="21"/>
          <w:szCs w:val="21"/>
          <w:lang w:val="en-US" w:eastAsia="zh-CN"/>
        </w:rPr>
        <w:t>（3）投标样品清单</w:t>
      </w:r>
    </w:p>
    <w:p>
      <w:pPr>
        <w:pStyle w:val="7"/>
        <w:spacing w:line="360" w:lineRule="auto"/>
        <w:ind w:left="420" w:leftChars="200"/>
        <w:rPr>
          <w:rFonts w:hint="default" w:ascii="宋体" w:hAnsi="宋体"/>
          <w:sz w:val="21"/>
          <w:szCs w:val="21"/>
          <w:lang w:val="en-US" w:eastAsia="zh-CN"/>
        </w:rPr>
      </w:pPr>
      <w:r>
        <w:rPr>
          <w:rFonts w:hint="eastAsia" w:ascii="宋体" w:hAnsi="宋体"/>
          <w:sz w:val="21"/>
          <w:szCs w:val="21"/>
          <w:lang w:val="en-US" w:eastAsia="zh-CN"/>
        </w:rPr>
        <w:t>（4）售后服务情况表</w:t>
      </w:r>
    </w:p>
    <w:p>
      <w:pPr>
        <w:pStyle w:val="2"/>
      </w:pPr>
    </w:p>
    <w:p/>
    <w:p>
      <w:pPr>
        <w:pStyle w:val="2"/>
      </w:pPr>
    </w:p>
    <w:p>
      <w:pPr>
        <w:spacing w:line="360" w:lineRule="auto"/>
        <w:rPr>
          <w:sz w:val="21"/>
          <w:szCs w:val="24"/>
        </w:rPr>
      </w:pPr>
    </w:p>
    <w:p>
      <w:pPr>
        <w:rPr>
          <w:rFonts w:hint="eastAsia"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r>
        <w:rPr>
          <w:rFonts w:hint="eastAsia" w:asciiTheme="minorEastAsia" w:hAnsiTheme="minorEastAsia" w:eastAsiaTheme="minorEastAsia"/>
          <w:b/>
          <w:color w:val="FF0000"/>
          <w:sz w:val="30"/>
          <w:szCs w:val="30"/>
        </w:rPr>
        <w:t>封面</w:t>
      </w:r>
    </w:p>
    <w:p>
      <w:pPr>
        <w:rPr>
          <w:rFonts w:asciiTheme="minorEastAsia" w:hAnsiTheme="minorEastAsia" w:eastAsiaTheme="minorEastAsia"/>
          <w:b/>
          <w:color w:val="FF0000"/>
          <w:sz w:val="30"/>
          <w:szCs w:val="30"/>
        </w:rPr>
      </w:pPr>
    </w:p>
    <w:p>
      <w:pPr>
        <w:jc w:val="right"/>
        <w:rPr>
          <w:rFonts w:asciiTheme="minorEastAsia" w:hAnsiTheme="minorEastAsia" w:eastAsiaTheme="minorEastAsia"/>
          <w:b/>
          <w:sz w:val="36"/>
          <w:szCs w:val="36"/>
        </w:rPr>
      </w:pPr>
      <w:r>
        <w:rPr>
          <w:rFonts w:hint="eastAsia" w:asciiTheme="minorEastAsia" w:hAnsiTheme="minorEastAsia" w:eastAsiaTheme="minorEastAsia"/>
          <w:b/>
          <w:sz w:val="36"/>
          <w:szCs w:val="36"/>
          <w:highlight w:val="yellow"/>
        </w:rPr>
        <w:t>正本</w:t>
      </w:r>
      <w:r>
        <w:rPr>
          <w:rFonts w:asciiTheme="minorEastAsia" w:hAnsiTheme="minorEastAsia" w:eastAsiaTheme="minorEastAsia"/>
          <w:b/>
          <w:sz w:val="36"/>
          <w:szCs w:val="36"/>
          <w:highlight w:val="yellow"/>
        </w:rPr>
        <w:t>/副本</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投 标 文 件</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w:t>
      </w:r>
      <w:r>
        <w:rPr>
          <w:rFonts w:asciiTheme="minorEastAsia" w:hAnsiTheme="minorEastAsia" w:eastAsiaTheme="minorEastAsia"/>
          <w:b/>
          <w:sz w:val="32"/>
          <w:szCs w:val="32"/>
        </w:rPr>
        <w:t>名称：</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w:t>
      </w:r>
      <w:r>
        <w:rPr>
          <w:rFonts w:asciiTheme="minorEastAsia" w:hAnsiTheme="minorEastAsia" w:eastAsiaTheme="minorEastAsia"/>
          <w:b/>
          <w:sz w:val="32"/>
          <w:szCs w:val="32"/>
        </w:rPr>
        <w:t>（供应商</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p>
    <w:p>
      <w:pPr>
        <w:rPr>
          <w:rFonts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p>
    <w:p>
      <w:pPr>
        <w:widowControl/>
        <w:jc w:val="left"/>
        <w:rPr>
          <w:rFonts w:asciiTheme="minorEastAsia" w:hAnsiTheme="minorEastAsia" w:eastAsiaTheme="minorEastAsia"/>
          <w:b/>
          <w:color w:val="FF0000"/>
          <w:sz w:val="30"/>
          <w:szCs w:val="30"/>
        </w:rPr>
      </w:pPr>
      <w:r>
        <w:rPr>
          <w:rFonts w:asciiTheme="minorEastAsia" w:hAnsiTheme="minorEastAsia" w:eastAsiaTheme="minorEastAsia"/>
          <w:b/>
          <w:color w:val="FF0000"/>
          <w:sz w:val="30"/>
          <w:szCs w:val="30"/>
        </w:rPr>
        <w:br w:type="page"/>
      </w:r>
    </w:p>
    <w:p>
      <w:pPr>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目录</w:t>
      </w:r>
    </w:p>
    <w:p>
      <w:pPr>
        <w:spacing w:line="360" w:lineRule="auto"/>
        <w:rPr>
          <w:rFonts w:hint="eastAsia" w:eastAsia="宋体"/>
          <w:sz w:val="28"/>
          <w:szCs w:val="21"/>
          <w:lang w:eastAsia="zh-CN"/>
        </w:rPr>
      </w:pPr>
      <w:r>
        <w:rPr>
          <w:rFonts w:hint="eastAsia" w:ascii="仿宋_GB2312" w:eastAsia="仿宋_GB2312"/>
          <w:b/>
          <w:color w:val="FF0000"/>
          <w:sz w:val="30"/>
          <w:szCs w:val="30"/>
        </w:rPr>
        <w:t>投标文件第一部分：</w:t>
      </w:r>
    </w:p>
    <w:p>
      <w:pPr>
        <w:numPr>
          <w:ilvl w:val="0"/>
          <w:numId w:val="11"/>
        </w:numPr>
        <w:spacing w:line="360" w:lineRule="auto"/>
        <w:ind w:left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投标一览表 </w:t>
      </w:r>
    </w:p>
    <w:p>
      <w:pPr>
        <w:pStyle w:val="2"/>
        <w:numPr>
          <w:ilvl w:val="0"/>
          <w:numId w:val="11"/>
        </w:numPr>
        <w:ind w:left="0" w:leftChars="0" w:firstLine="0" w:firstLineChars="0"/>
        <w:jc w:val="left"/>
        <w:rPr>
          <w:rFonts w:hint="eastAsia"/>
          <w:sz w:val="28"/>
          <w:szCs w:val="21"/>
          <w:lang w:eastAsia="zh-CN"/>
        </w:rPr>
      </w:pPr>
      <w:r>
        <w:rPr>
          <w:rFonts w:hint="eastAsia"/>
          <w:sz w:val="28"/>
          <w:szCs w:val="21"/>
          <w:lang w:eastAsia="zh-CN"/>
        </w:rPr>
        <w:t>投标明细报价表</w:t>
      </w:r>
    </w:p>
    <w:p>
      <w:pPr>
        <w:numPr>
          <w:ilvl w:val="0"/>
          <w:numId w:val="0"/>
        </w:numPr>
        <w:ind w:leftChars="0"/>
        <w:rPr>
          <w:rFonts w:hint="eastAsia"/>
          <w:lang w:eastAsia="zh-CN"/>
        </w:rPr>
      </w:pPr>
    </w:p>
    <w:p>
      <w:pPr>
        <w:numPr>
          <w:ilvl w:val="0"/>
          <w:numId w:val="0"/>
        </w:numPr>
        <w:spacing w:line="360" w:lineRule="auto"/>
        <w:ind w:leftChars="0"/>
        <w:rPr>
          <w:rFonts w:hint="eastAsia" w:ascii="宋体" w:hAnsi="宋体" w:eastAsia="宋体" w:cs="宋体"/>
          <w:sz w:val="28"/>
          <w:szCs w:val="28"/>
          <w:lang w:val="en-US" w:eastAsia="zh-CN"/>
        </w:rPr>
      </w:pPr>
      <w:r>
        <w:rPr>
          <w:rFonts w:hint="eastAsia" w:asciiTheme="minorEastAsia" w:hAnsiTheme="minorEastAsia" w:eastAsiaTheme="minorEastAsia"/>
          <w:sz w:val="28"/>
          <w:szCs w:val="28"/>
          <w:lang w:eastAsia="zh-CN"/>
        </w:rPr>
        <w:t>三、自查表</w:t>
      </w:r>
      <w:r>
        <w:rPr>
          <w:rFonts w:hint="eastAsia" w:asciiTheme="minorEastAsia" w:hAnsiTheme="minorEastAsia" w:eastAsiaTheme="minorEastAsia"/>
          <w:sz w:val="28"/>
          <w:szCs w:val="28"/>
        </w:rPr>
        <w:t xml:space="preserve">                               </w:t>
      </w:r>
    </w:p>
    <w:p>
      <w:pPr>
        <w:widowControl/>
        <w:spacing w:line="360" w:lineRule="auto"/>
        <w:jc w:val="left"/>
        <w:rPr>
          <w:rFonts w:hint="eastAsia" w:ascii="宋体" w:hAnsi="宋体" w:eastAsia="宋体" w:cs="宋体"/>
          <w:sz w:val="28"/>
          <w:szCs w:val="28"/>
          <w:lang w:val="en-US" w:eastAsia="zh-CN"/>
        </w:rPr>
      </w:pPr>
      <w:r>
        <w:rPr>
          <w:rFonts w:hint="eastAsia" w:ascii="宋体" w:hAnsi="宋体" w:cs="宋体"/>
          <w:sz w:val="28"/>
          <w:szCs w:val="28"/>
          <w:lang w:eastAsia="zh-CN"/>
        </w:rPr>
        <w:t>四</w:t>
      </w:r>
      <w:r>
        <w:rPr>
          <w:rFonts w:hint="eastAsia" w:ascii="宋体" w:hAnsi="宋体" w:eastAsia="宋体" w:cs="宋体"/>
          <w:sz w:val="28"/>
          <w:szCs w:val="28"/>
        </w:rPr>
        <w:t xml:space="preserve">、法定代表人资格证明书                      </w:t>
      </w:r>
    </w:p>
    <w:p>
      <w:pPr>
        <w:pStyle w:val="2"/>
        <w:spacing w:line="360" w:lineRule="auto"/>
        <w:jc w:val="both"/>
        <w:rPr>
          <w:rFonts w:hint="eastAsia" w:ascii="宋体" w:hAnsi="宋体" w:eastAsia="宋体" w:cs="宋体"/>
          <w:sz w:val="28"/>
          <w:szCs w:val="28"/>
          <w:lang w:val="en-US" w:eastAsia="zh-CN"/>
        </w:rPr>
      </w:pPr>
      <w:r>
        <w:rPr>
          <w:rFonts w:hint="eastAsia" w:ascii="宋体" w:hAnsi="宋体" w:cs="宋体"/>
          <w:sz w:val="28"/>
          <w:szCs w:val="28"/>
          <w:lang w:val="en-US" w:eastAsia="zh-CN"/>
        </w:rPr>
        <w:t>五</w:t>
      </w:r>
      <w:r>
        <w:rPr>
          <w:rFonts w:hint="eastAsia" w:ascii="宋体" w:hAnsi="宋体" w:eastAsia="宋体" w:cs="宋体"/>
          <w:sz w:val="28"/>
          <w:szCs w:val="28"/>
          <w:lang w:val="en-US" w:eastAsia="zh-CN"/>
        </w:rPr>
        <w:t xml:space="preserve">、投标文件签署授权委托书                    </w:t>
      </w:r>
    </w:p>
    <w:p>
      <w:pPr>
        <w:spacing w:line="360" w:lineRule="auto"/>
        <w:rPr>
          <w:rFonts w:hint="eastAsia" w:ascii="宋体" w:hAnsi="宋体" w:eastAsia="宋体" w:cs="宋体"/>
          <w:lang w:val="en-US" w:eastAsia="zh-CN"/>
        </w:rPr>
      </w:pPr>
      <w:r>
        <w:rPr>
          <w:rFonts w:hint="eastAsia" w:ascii="宋体" w:hAnsi="宋体" w:cs="宋体"/>
          <w:sz w:val="28"/>
          <w:szCs w:val="21"/>
          <w:lang w:eastAsia="zh-CN"/>
        </w:rPr>
        <w:t>六</w:t>
      </w:r>
      <w:r>
        <w:rPr>
          <w:rFonts w:hint="eastAsia" w:ascii="宋体" w:hAnsi="宋体" w:eastAsia="宋体" w:cs="宋体"/>
          <w:sz w:val="28"/>
          <w:szCs w:val="28"/>
          <w:lang w:val="en-US" w:eastAsia="zh-CN"/>
        </w:rPr>
        <w:t xml:space="preserve">、投标函                                    </w:t>
      </w:r>
    </w:p>
    <w:p>
      <w:pPr>
        <w:pStyle w:val="2"/>
        <w:spacing w:line="360" w:lineRule="auto"/>
        <w:jc w:val="both"/>
        <w:rPr>
          <w:rFonts w:hint="eastAsia" w:ascii="宋体" w:hAnsi="宋体" w:eastAsia="宋体" w:cs="宋体"/>
          <w:sz w:val="28"/>
          <w:szCs w:val="21"/>
          <w:lang w:val="en-US" w:eastAsia="zh-CN"/>
        </w:rPr>
      </w:pPr>
      <w:r>
        <w:rPr>
          <w:rFonts w:hint="eastAsia" w:ascii="宋体" w:hAnsi="宋体" w:cs="宋体"/>
          <w:sz w:val="28"/>
          <w:szCs w:val="36"/>
          <w:lang w:eastAsia="zh-CN"/>
        </w:rPr>
        <w:t>七</w:t>
      </w:r>
      <w:r>
        <w:rPr>
          <w:rFonts w:hint="eastAsia" w:ascii="宋体" w:hAnsi="宋体" w:eastAsia="宋体" w:cs="宋体"/>
          <w:sz w:val="28"/>
          <w:szCs w:val="21"/>
          <w:lang w:eastAsia="zh-CN"/>
        </w:rPr>
        <w:t>、承诺函</w:t>
      </w:r>
      <w:r>
        <w:rPr>
          <w:rFonts w:hint="eastAsia" w:ascii="宋体" w:hAnsi="宋体" w:eastAsia="宋体" w:cs="宋体"/>
          <w:sz w:val="28"/>
          <w:szCs w:val="21"/>
          <w:lang w:val="en-US" w:eastAsia="zh-CN"/>
        </w:rPr>
        <w:t xml:space="preserve">                                    </w:t>
      </w:r>
    </w:p>
    <w:p>
      <w:pPr>
        <w:spacing w:line="360" w:lineRule="auto"/>
        <w:rPr>
          <w:rFonts w:hint="default" w:ascii="宋体" w:hAnsi="宋体" w:eastAsia="宋体" w:cs="宋体"/>
          <w:sz w:val="28"/>
          <w:szCs w:val="36"/>
          <w:lang w:val="en-US" w:eastAsia="zh-CN"/>
        </w:rPr>
      </w:pPr>
      <w:r>
        <w:rPr>
          <w:rFonts w:hint="eastAsia" w:ascii="宋体" w:hAnsi="宋体" w:cs="宋体"/>
          <w:sz w:val="28"/>
          <w:szCs w:val="21"/>
          <w:lang w:eastAsia="zh-CN"/>
        </w:rPr>
        <w:t>八</w:t>
      </w:r>
      <w:r>
        <w:rPr>
          <w:rFonts w:hint="eastAsia" w:ascii="宋体" w:hAnsi="宋体" w:eastAsia="宋体" w:cs="宋体"/>
          <w:sz w:val="28"/>
          <w:szCs w:val="36"/>
          <w:lang w:eastAsia="zh-CN"/>
        </w:rPr>
        <w:t>、无违法违规行为承诺函</w:t>
      </w:r>
      <w:r>
        <w:rPr>
          <w:rFonts w:hint="eastAsia" w:ascii="宋体" w:hAnsi="宋体" w:cs="宋体"/>
          <w:sz w:val="28"/>
          <w:szCs w:val="36"/>
          <w:lang w:val="en-US" w:eastAsia="zh-CN"/>
        </w:rPr>
        <w:t xml:space="preserve">                      </w:t>
      </w:r>
    </w:p>
    <w:p>
      <w:pPr>
        <w:pStyle w:val="2"/>
        <w:spacing w:line="360" w:lineRule="auto"/>
        <w:jc w:val="both"/>
        <w:rPr>
          <w:rFonts w:hint="eastAsia" w:ascii="宋体" w:hAnsi="宋体" w:cs="宋体"/>
          <w:sz w:val="28"/>
          <w:szCs w:val="21"/>
          <w:lang w:val="en-US" w:eastAsia="zh-CN"/>
        </w:rPr>
      </w:pPr>
      <w:r>
        <w:rPr>
          <w:rFonts w:hint="eastAsia" w:ascii="宋体" w:hAnsi="宋体" w:cs="宋体"/>
          <w:sz w:val="28"/>
          <w:szCs w:val="21"/>
          <w:lang w:eastAsia="zh-CN"/>
        </w:rPr>
        <w:t>九</w:t>
      </w:r>
      <w:r>
        <w:rPr>
          <w:rFonts w:hint="eastAsia" w:ascii="宋体" w:hAnsi="宋体" w:eastAsia="宋体" w:cs="宋体"/>
          <w:sz w:val="28"/>
          <w:szCs w:val="21"/>
          <w:lang w:eastAsia="zh-CN"/>
        </w:rPr>
        <w:t>、投标人情况介绍及相关资质材料</w:t>
      </w:r>
      <w:r>
        <w:rPr>
          <w:rFonts w:hint="eastAsia" w:ascii="宋体" w:hAnsi="宋体" w:cs="宋体"/>
          <w:sz w:val="28"/>
          <w:szCs w:val="21"/>
          <w:lang w:val="en-US" w:eastAsia="zh-CN"/>
        </w:rPr>
        <w:t xml:space="preserve"> </w:t>
      </w:r>
    </w:p>
    <w:p>
      <w:pPr>
        <w:pStyle w:val="2"/>
        <w:spacing w:line="360" w:lineRule="auto"/>
        <w:jc w:val="both"/>
        <w:rPr>
          <w:rFonts w:hint="eastAsia" w:ascii="宋体" w:hAnsi="宋体" w:cs="宋体"/>
          <w:sz w:val="28"/>
          <w:szCs w:val="21"/>
          <w:lang w:val="en-US" w:eastAsia="zh-CN"/>
        </w:rPr>
      </w:pPr>
      <w:r>
        <w:rPr>
          <w:rFonts w:hint="eastAsia" w:ascii="宋体" w:hAnsi="宋体" w:cs="宋体"/>
          <w:sz w:val="28"/>
          <w:szCs w:val="21"/>
          <w:lang w:val="en-US" w:eastAsia="zh-CN"/>
        </w:rPr>
        <w:t xml:space="preserve">十、开票资料说明函 </w:t>
      </w:r>
    </w:p>
    <w:p>
      <w:pPr>
        <w:pStyle w:val="2"/>
        <w:spacing w:line="360" w:lineRule="auto"/>
        <w:jc w:val="both"/>
        <w:rPr>
          <w:rFonts w:hint="eastAsia" w:ascii="宋体" w:hAnsi="宋体" w:cs="宋体"/>
          <w:sz w:val="28"/>
          <w:szCs w:val="21"/>
          <w:lang w:val="en-US" w:eastAsia="zh-CN"/>
        </w:rPr>
      </w:pPr>
      <w:r>
        <w:rPr>
          <w:rFonts w:hint="eastAsia" w:ascii="宋体" w:hAnsi="宋体" w:cs="宋体"/>
          <w:sz w:val="28"/>
          <w:szCs w:val="21"/>
          <w:lang w:val="en-US" w:eastAsia="zh-CN"/>
        </w:rPr>
        <w:t xml:space="preserve">       </w:t>
      </w:r>
    </w:p>
    <w:p>
      <w:pPr>
        <w:spacing w:line="360" w:lineRule="auto"/>
        <w:rPr>
          <w:rFonts w:hint="eastAsia" w:ascii="仿宋_GB2312" w:eastAsia="仿宋_GB2312"/>
          <w:b/>
          <w:color w:val="FF0000"/>
          <w:sz w:val="30"/>
          <w:szCs w:val="30"/>
        </w:rPr>
      </w:pPr>
    </w:p>
    <w:p>
      <w:pPr>
        <w:spacing w:line="360" w:lineRule="auto"/>
        <w:rPr>
          <w:rFonts w:hint="eastAsia" w:ascii="仿宋_GB2312" w:eastAsia="仿宋_GB2312"/>
          <w:b/>
          <w:color w:val="FF0000"/>
          <w:sz w:val="30"/>
          <w:szCs w:val="30"/>
        </w:rPr>
      </w:pPr>
      <w:r>
        <w:rPr>
          <w:rFonts w:hint="eastAsia" w:ascii="仿宋_GB2312" w:eastAsia="仿宋_GB2312"/>
          <w:b/>
          <w:color w:val="FF0000"/>
          <w:sz w:val="30"/>
          <w:szCs w:val="30"/>
        </w:rPr>
        <w:t>投标文件第</w:t>
      </w:r>
      <w:r>
        <w:rPr>
          <w:rFonts w:hint="eastAsia" w:ascii="仿宋_GB2312" w:eastAsia="仿宋_GB2312"/>
          <w:b/>
          <w:color w:val="FF0000"/>
          <w:sz w:val="30"/>
          <w:szCs w:val="30"/>
          <w:lang w:eastAsia="zh-CN"/>
        </w:rPr>
        <w:t>二</w:t>
      </w:r>
      <w:r>
        <w:rPr>
          <w:rFonts w:hint="eastAsia" w:ascii="仿宋_GB2312" w:eastAsia="仿宋_GB2312"/>
          <w:b/>
          <w:color w:val="FF0000"/>
          <w:sz w:val="30"/>
          <w:szCs w:val="30"/>
        </w:rPr>
        <w:t>部分：</w:t>
      </w:r>
    </w:p>
    <w:p>
      <w:pPr>
        <w:spacing w:line="360" w:lineRule="auto"/>
        <w:rPr>
          <w:rFonts w:hint="eastAsia"/>
          <w:lang w:val="en-US" w:eastAsia="zh-CN"/>
        </w:rPr>
      </w:pPr>
    </w:p>
    <w:p>
      <w:pPr>
        <w:spacing w:line="360" w:lineRule="auto"/>
        <w:rPr>
          <w:rFonts w:hint="eastAsia" w:ascii="宋体" w:hAnsi="宋体" w:cs="宋体"/>
          <w:sz w:val="28"/>
          <w:szCs w:val="21"/>
          <w:lang w:val="en-US" w:eastAsia="zh-CN"/>
        </w:rPr>
      </w:pPr>
      <w:r>
        <w:rPr>
          <w:rFonts w:hint="eastAsia" w:ascii="宋体" w:hAnsi="宋体" w:cs="宋体"/>
          <w:sz w:val="28"/>
          <w:szCs w:val="21"/>
          <w:lang w:val="en-US" w:eastAsia="zh-CN"/>
        </w:rPr>
        <w:t xml:space="preserve">一、授权委托代理人联系方式                     </w:t>
      </w:r>
    </w:p>
    <w:p>
      <w:pPr>
        <w:spacing w:line="360" w:lineRule="auto"/>
        <w:rPr>
          <w:rFonts w:hint="default" w:ascii="宋体" w:hAnsi="宋体" w:eastAsia="宋体" w:cs="宋体"/>
          <w:b w:val="0"/>
          <w:kern w:val="0"/>
          <w:sz w:val="28"/>
          <w:szCs w:val="36"/>
          <w:lang w:val="en-US" w:eastAsia="zh-CN"/>
        </w:rPr>
      </w:pPr>
      <w:r>
        <w:rPr>
          <w:rFonts w:hint="eastAsia" w:cs="宋体"/>
          <w:b w:val="0"/>
          <w:kern w:val="0"/>
          <w:sz w:val="28"/>
          <w:szCs w:val="36"/>
          <w:lang w:eastAsia="zh-CN"/>
        </w:rPr>
        <w:t>二、拟采用材料品牌型号表</w:t>
      </w:r>
      <w:r>
        <w:rPr>
          <w:rFonts w:hint="eastAsia" w:ascii="宋体" w:hAnsi="宋体" w:cs="宋体"/>
          <w:b w:val="0"/>
          <w:kern w:val="0"/>
          <w:sz w:val="28"/>
          <w:szCs w:val="36"/>
          <w:lang w:val="en-US" w:eastAsia="zh-CN"/>
        </w:rPr>
        <w:t xml:space="preserve">                        </w:t>
      </w:r>
    </w:p>
    <w:p>
      <w:pPr>
        <w:pStyle w:val="2"/>
        <w:spacing w:line="360" w:lineRule="auto"/>
        <w:jc w:val="both"/>
        <w:rPr>
          <w:rFonts w:hint="eastAsia"/>
          <w:sz w:val="28"/>
          <w:szCs w:val="21"/>
          <w:lang w:val="en-US" w:eastAsia="zh-CN"/>
        </w:rPr>
      </w:pPr>
      <w:r>
        <w:rPr>
          <w:rFonts w:hint="eastAsia"/>
          <w:sz w:val="28"/>
          <w:szCs w:val="21"/>
          <w:lang w:val="en-US" w:eastAsia="zh-CN"/>
        </w:rPr>
        <w:t>三、投标样品清单</w:t>
      </w:r>
    </w:p>
    <w:p>
      <w:pPr>
        <w:rPr>
          <w:rFonts w:hint="eastAsia"/>
          <w:lang w:val="en-US" w:eastAsia="zh-CN"/>
        </w:rPr>
      </w:pPr>
      <w:r>
        <w:rPr>
          <w:rFonts w:hint="eastAsia"/>
          <w:sz w:val="28"/>
          <w:szCs w:val="21"/>
          <w:lang w:val="en-US" w:eastAsia="zh-CN"/>
        </w:rPr>
        <w:t>四、售后服务情况表</w:t>
      </w:r>
    </w:p>
    <w:p>
      <w:pPr>
        <w:rPr>
          <w:rFonts w:hint="eastAsia"/>
          <w:sz w:val="28"/>
          <w:szCs w:val="21"/>
          <w:lang w:val="en-US" w:eastAsia="zh-CN"/>
        </w:rPr>
      </w:pPr>
    </w:p>
    <w:p>
      <w:pPr>
        <w:pStyle w:val="2"/>
        <w:rPr>
          <w:rFonts w:hint="eastAsia"/>
          <w:sz w:val="28"/>
          <w:szCs w:val="21"/>
          <w:lang w:val="en-US" w:eastAsia="zh-CN"/>
        </w:rPr>
      </w:pPr>
    </w:p>
    <w:p>
      <w:pPr>
        <w:rPr>
          <w:rFonts w:hint="eastAsia"/>
          <w:lang w:val="en-US" w:eastAsia="zh-CN"/>
        </w:rPr>
      </w:pPr>
    </w:p>
    <w:p>
      <w:pPr>
        <w:pStyle w:val="2"/>
        <w:spacing w:line="360" w:lineRule="auto"/>
        <w:jc w:val="both"/>
        <w:rPr>
          <w:rFonts w:hint="eastAsia" w:ascii="宋体" w:hAnsi="宋体" w:eastAsia="宋体" w:cs="宋体"/>
          <w:color w:val="FF0000"/>
        </w:rPr>
      </w:pPr>
    </w:p>
    <w:p>
      <w:pPr>
        <w:spacing w:line="360" w:lineRule="auto"/>
        <w:jc w:val="center"/>
        <w:rPr>
          <w:rFonts w:hint="eastAsia" w:eastAsia="宋体"/>
          <w:color w:val="FF0000"/>
          <w:sz w:val="24"/>
          <w:lang w:eastAsia="zh-CN"/>
        </w:rPr>
      </w:pPr>
      <w:r>
        <w:rPr>
          <w:rFonts w:hint="eastAsia"/>
          <w:color w:val="FF0000"/>
        </w:rPr>
        <w:t>其余</w:t>
      </w:r>
      <w:r>
        <w:rPr>
          <w:rFonts w:hint="eastAsia"/>
          <w:color w:val="FF0000"/>
          <w:lang w:eastAsia="zh-CN"/>
        </w:rPr>
        <w:t>目录内容</w:t>
      </w:r>
      <w:r>
        <w:rPr>
          <w:rFonts w:hint="eastAsia"/>
          <w:color w:val="FF0000"/>
        </w:rPr>
        <w:t>由投标人</w:t>
      </w:r>
      <w:r>
        <w:rPr>
          <w:rFonts w:hint="eastAsia"/>
          <w:color w:val="FF0000"/>
          <w:lang w:eastAsia="zh-CN"/>
        </w:rPr>
        <w:t>根据投标文件拟定</w:t>
      </w:r>
    </w:p>
    <w:p>
      <w:pPr>
        <w:widowControl/>
        <w:numPr>
          <w:ilvl w:val="0"/>
          <w:numId w:val="12"/>
        </w:numPr>
        <w:spacing w:line="360" w:lineRule="auto"/>
        <w:jc w:val="left"/>
        <w:rPr>
          <w:rFonts w:hint="eastAsia" w:hAnsi="宋体"/>
          <w:b/>
          <w:spacing w:val="100"/>
          <w:w w:val="110"/>
          <w:kern w:val="0"/>
          <w:sz w:val="72"/>
          <w:szCs w:val="72"/>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p>
    <w:p>
      <w:pPr>
        <w:widowControl/>
        <w:numPr>
          <w:ilvl w:val="0"/>
          <w:numId w:val="12"/>
        </w:numPr>
        <w:spacing w:line="360" w:lineRule="auto"/>
        <w:jc w:val="left"/>
        <w:rPr>
          <w:rFonts w:hint="eastAsia" w:hAnsi="宋体"/>
          <w:b/>
          <w:spacing w:val="100"/>
          <w:w w:val="110"/>
          <w:kern w:val="0"/>
          <w:sz w:val="72"/>
          <w:szCs w:val="72"/>
        </w:rPr>
      </w:pPr>
      <w:r>
        <w:rPr>
          <w:rFonts w:hint="eastAsia" w:hAnsi="宋体"/>
          <w:b/>
          <w:spacing w:val="100"/>
          <w:w w:val="110"/>
          <w:kern w:val="0"/>
          <w:sz w:val="72"/>
          <w:szCs w:val="72"/>
        </w:rPr>
        <w:t>投标文件</w:t>
      </w:r>
    </w:p>
    <w:p>
      <w:pPr>
        <w:pStyle w:val="31"/>
        <w:tabs>
          <w:tab w:val="left" w:pos="1260"/>
        </w:tabs>
        <w:jc w:val="center"/>
        <w:rPr>
          <w:rFonts w:hint="eastAsia" w:hAnsi="宋体"/>
          <w:b/>
          <w:spacing w:val="100"/>
          <w:w w:val="110"/>
          <w:sz w:val="36"/>
          <w:szCs w:val="36"/>
        </w:rPr>
      </w:pPr>
    </w:p>
    <w:p>
      <w:pPr>
        <w:spacing w:line="720" w:lineRule="auto"/>
        <w:ind w:left="2879" w:leftChars="1371"/>
        <w:rPr>
          <w:rFonts w:hint="eastAsia"/>
          <w:b/>
          <w:sz w:val="48"/>
          <w:szCs w:val="48"/>
        </w:rPr>
      </w:pPr>
      <w:r>
        <w:rPr>
          <w:rFonts w:hint="eastAsia" w:ascii="宋体" w:hAnsi="宋体"/>
          <w:b/>
          <w:sz w:val="48"/>
          <w:szCs w:val="48"/>
        </w:rPr>
        <w:t>□</w:t>
      </w:r>
      <w:r>
        <w:rPr>
          <w:rFonts w:hint="eastAsia"/>
          <w:b/>
          <w:sz w:val="48"/>
          <w:szCs w:val="48"/>
        </w:rPr>
        <w:t>投标一览表</w:t>
      </w:r>
    </w:p>
    <w:p>
      <w:pPr>
        <w:spacing w:line="720" w:lineRule="auto"/>
        <w:ind w:left="2879" w:leftChars="1371"/>
        <w:rPr>
          <w:rFonts w:hint="eastAsia"/>
          <w:b/>
          <w:sz w:val="48"/>
          <w:szCs w:val="48"/>
        </w:rPr>
      </w:pPr>
      <w:r>
        <w:rPr>
          <w:rFonts w:hint="eastAsia" w:ascii="宋体" w:hAnsi="宋体"/>
          <w:b/>
          <w:sz w:val="48"/>
          <w:szCs w:val="48"/>
        </w:rPr>
        <w:t>□</w:t>
      </w:r>
      <w:r>
        <w:rPr>
          <w:rFonts w:hint="eastAsia"/>
          <w:b/>
          <w:sz w:val="48"/>
          <w:szCs w:val="48"/>
        </w:rPr>
        <w:t>正本</w:t>
      </w:r>
    </w:p>
    <w:p>
      <w:pPr>
        <w:spacing w:line="720" w:lineRule="auto"/>
        <w:ind w:left="2879" w:leftChars="1371"/>
        <w:rPr>
          <w:b/>
          <w:sz w:val="48"/>
          <w:szCs w:val="48"/>
        </w:rPr>
      </w:pPr>
      <w:r>
        <w:rPr>
          <w:rFonts w:hint="eastAsia" w:ascii="宋体" w:hAnsi="宋体"/>
          <w:b/>
          <w:sz w:val="48"/>
          <w:szCs w:val="48"/>
        </w:rPr>
        <w:t>□</w:t>
      </w:r>
      <w:r>
        <w:rPr>
          <w:rFonts w:hint="eastAsia"/>
          <w:b/>
          <w:sz w:val="48"/>
          <w:szCs w:val="48"/>
        </w:rPr>
        <w:t>副本</w:t>
      </w:r>
    </w:p>
    <w:p>
      <w:pPr>
        <w:spacing w:line="720" w:lineRule="auto"/>
        <w:ind w:left="2879" w:leftChars="1371"/>
        <w:rPr>
          <w:rFonts w:hint="eastAsia" w:hAnsi="宋体"/>
          <w:b/>
          <w:sz w:val="28"/>
          <w:szCs w:val="28"/>
        </w:rPr>
      </w:pPr>
      <w:r>
        <w:rPr>
          <w:rFonts w:hint="eastAsia" w:ascii="宋体" w:hAnsi="宋体"/>
          <w:b/>
          <w:sz w:val="48"/>
          <w:szCs w:val="48"/>
        </w:rPr>
        <w:t>□</w:t>
      </w:r>
      <w:r>
        <w:rPr>
          <w:rFonts w:hint="eastAsia"/>
          <w:b/>
          <w:sz w:val="48"/>
          <w:szCs w:val="48"/>
        </w:rPr>
        <w:t>电子文件</w:t>
      </w:r>
    </w:p>
    <w:p>
      <w:pPr>
        <w:pStyle w:val="31"/>
        <w:spacing w:line="360" w:lineRule="auto"/>
        <w:ind w:firstLine="967" w:firstLineChars="344"/>
        <w:rPr>
          <w:rFonts w:hint="eastAsia" w:hAnsi="宋体"/>
          <w:b/>
          <w:sz w:val="28"/>
          <w:szCs w:val="28"/>
        </w:rPr>
      </w:pPr>
    </w:p>
    <w:p>
      <w:pPr>
        <w:pStyle w:val="31"/>
        <w:spacing w:line="360" w:lineRule="auto"/>
        <w:ind w:firstLine="967" w:firstLineChars="344"/>
        <w:rPr>
          <w:rFonts w:hint="eastAsia" w:hAnsi="宋体"/>
          <w:b/>
          <w:sz w:val="28"/>
          <w:szCs w:val="28"/>
        </w:rPr>
      </w:pPr>
    </w:p>
    <w:p>
      <w:pPr>
        <w:pStyle w:val="31"/>
        <w:spacing w:line="360" w:lineRule="auto"/>
        <w:ind w:firstLine="1521" w:firstLineChars="541"/>
        <w:rPr>
          <w:rFonts w:hint="eastAsia" w:hAnsi="宋体"/>
          <w:b/>
          <w:sz w:val="28"/>
          <w:szCs w:val="28"/>
          <w:u w:val="single"/>
        </w:rPr>
      </w:pPr>
      <w:r>
        <w:rPr>
          <w:rFonts w:hint="eastAsia" w:hAnsi="宋体"/>
          <w:b/>
          <w:sz w:val="28"/>
          <w:szCs w:val="28"/>
        </w:rPr>
        <w:t>采 购 编 号：</w:t>
      </w:r>
      <w:r>
        <w:rPr>
          <w:rFonts w:hint="eastAsia" w:hAnsi="宋体"/>
          <w:b/>
          <w:sz w:val="28"/>
          <w:szCs w:val="28"/>
          <w:u w:val="thick"/>
        </w:rPr>
        <w:t xml:space="preserve">                              </w:t>
      </w:r>
    </w:p>
    <w:p>
      <w:pPr>
        <w:pStyle w:val="24"/>
        <w:ind w:firstLine="967" w:firstLineChars="344"/>
        <w:rPr>
          <w:rFonts w:hint="eastAsia" w:ascii="宋体" w:hAnsi="宋体"/>
          <w:b/>
          <w:sz w:val="28"/>
          <w:szCs w:val="28"/>
          <w:u w:val="single"/>
        </w:rPr>
      </w:pPr>
      <w:r>
        <w:rPr>
          <w:rFonts w:hint="eastAsia" w:ascii="宋体" w:hAnsi="宋体"/>
          <w:b/>
          <w:sz w:val="28"/>
          <w:szCs w:val="28"/>
        </w:rPr>
        <w:t>采购项目名称：</w:t>
      </w:r>
      <w:r>
        <w:rPr>
          <w:rFonts w:hint="eastAsia" w:ascii="宋体" w:hAnsi="宋体"/>
          <w:b/>
          <w:sz w:val="28"/>
          <w:szCs w:val="28"/>
          <w:u w:val="thick"/>
        </w:rPr>
        <w:t xml:space="preserve">                              </w:t>
      </w:r>
    </w:p>
    <w:p>
      <w:pPr>
        <w:pStyle w:val="31"/>
        <w:ind w:firstLine="1560" w:firstLineChars="555"/>
        <w:rPr>
          <w:rFonts w:hint="eastAsia" w:hAnsi="宋体" w:cs="Times New Roman"/>
          <w:b/>
          <w:sz w:val="30"/>
          <w:szCs w:val="30"/>
        </w:rPr>
      </w:pPr>
      <w:r>
        <w:rPr>
          <w:rFonts w:hint="eastAsia" w:hAnsi="宋体" w:cs="Times New Roman"/>
          <w:b/>
          <w:sz w:val="28"/>
          <w:szCs w:val="28"/>
        </w:rPr>
        <w:t>投标人名称：</w:t>
      </w:r>
      <w:r>
        <w:rPr>
          <w:rFonts w:hint="eastAsia" w:hAnsi="宋体"/>
          <w:b/>
          <w:sz w:val="30"/>
          <w:szCs w:val="30"/>
        </w:rPr>
        <w:t xml:space="preserve"> </w:t>
      </w:r>
      <w:r>
        <w:rPr>
          <w:rFonts w:hint="eastAsia" w:hAnsi="宋体"/>
          <w:b/>
          <w:sz w:val="30"/>
          <w:szCs w:val="30"/>
          <w:u w:val="thick"/>
        </w:rPr>
        <w:t xml:space="preserve">                             </w:t>
      </w:r>
    </w:p>
    <w:p>
      <w:pPr>
        <w:pStyle w:val="31"/>
        <w:ind w:firstLine="843" w:firstLineChars="300"/>
        <w:rPr>
          <w:rFonts w:hint="eastAsia" w:hAnsi="宋体"/>
          <w:b/>
          <w:sz w:val="28"/>
          <w:szCs w:val="28"/>
        </w:rPr>
      </w:pPr>
    </w:p>
    <w:p>
      <w:pPr>
        <w:pStyle w:val="31"/>
        <w:ind w:firstLine="843" w:firstLineChars="300"/>
        <w:rPr>
          <w:rFonts w:hint="eastAsia" w:hAnsi="宋体"/>
          <w:b/>
          <w:sz w:val="28"/>
          <w:szCs w:val="28"/>
        </w:rPr>
      </w:pPr>
    </w:p>
    <w:p>
      <w:pPr>
        <w:pStyle w:val="31"/>
        <w:spacing w:line="360" w:lineRule="auto"/>
        <w:ind w:firstLine="2923" w:firstLineChars="1040"/>
        <w:rPr>
          <w:rFonts w:hint="eastAsia" w:hAnsi="宋体"/>
          <w:b/>
          <w:sz w:val="28"/>
          <w:szCs w:val="28"/>
          <w:u w:val="single"/>
        </w:rPr>
      </w:pPr>
    </w:p>
    <w:p>
      <w:pPr>
        <w:adjustRightInd w:val="0"/>
        <w:snapToGrid w:val="0"/>
        <w:spacing w:line="360" w:lineRule="auto"/>
        <w:jc w:val="center"/>
        <w:rPr>
          <w:rFonts w:hint="eastAsia" w:ascii="宋体" w:hAnsi="宋体" w:cs="Tahoma"/>
          <w:b/>
          <w:sz w:val="30"/>
          <w:szCs w:val="30"/>
        </w:rPr>
      </w:pPr>
      <w:r>
        <w:rPr>
          <w:rFonts w:ascii="宋体" w:hAnsi="宋体" w:cs="Tahoma"/>
          <w:b/>
          <w:sz w:val="30"/>
          <w:szCs w:val="30"/>
        </w:rPr>
        <w:t>（</w:t>
      </w:r>
      <w:r>
        <w:rPr>
          <w:rFonts w:hint="eastAsia" w:ascii="宋体" w:hAnsi="宋体" w:cs="Tahoma"/>
          <w:b/>
          <w:sz w:val="30"/>
          <w:szCs w:val="30"/>
        </w:rPr>
        <w:t xml:space="preserve">     年     月     日      时     分</w:t>
      </w:r>
      <w:r>
        <w:rPr>
          <w:rFonts w:ascii="宋体" w:hAnsi="宋体" w:cs="Tahoma"/>
          <w:b/>
          <w:sz w:val="30"/>
          <w:szCs w:val="30"/>
        </w:rPr>
        <w:t>）之前不得启封</w:t>
      </w:r>
    </w:p>
    <w:p>
      <w:pPr>
        <w:rPr>
          <w:rFonts w:hint="eastAsia" w:ascii="仿宋_GB2312" w:eastAsia="仿宋_GB2312"/>
          <w:b/>
          <w:color w:val="FF0000"/>
          <w:sz w:val="30"/>
          <w:szCs w:val="30"/>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p>
    <w:p>
      <w:pPr>
        <w:rPr>
          <w:rFonts w:hint="eastAsia" w:ascii="华文新魏" w:hAnsi="华文新魏" w:eastAsia="华文新魏" w:cs="华文新魏"/>
          <w:bCs/>
          <w:kern w:val="0"/>
          <w:sz w:val="44"/>
          <w:szCs w:val="44"/>
        </w:rPr>
      </w:pPr>
      <w:r>
        <w:rPr>
          <w:rFonts w:hint="eastAsia" w:ascii="仿宋_GB2312" w:eastAsia="仿宋_GB2312"/>
          <w:b/>
          <w:color w:val="FF0000"/>
          <w:sz w:val="30"/>
          <w:szCs w:val="30"/>
        </w:rPr>
        <w:t>投标文件第一部分：</w:t>
      </w:r>
    </w:p>
    <w:p>
      <w:pPr>
        <w:pStyle w:val="4"/>
        <w:jc w:val="center"/>
        <w:rPr>
          <w:rFonts w:ascii="华文新魏" w:hAnsi="华文新魏" w:eastAsia="华文新魏" w:cs="华文新魏"/>
          <w:bCs/>
          <w:kern w:val="0"/>
          <w:sz w:val="44"/>
          <w:szCs w:val="44"/>
        </w:rPr>
      </w:pPr>
      <w:r>
        <w:rPr>
          <w:rFonts w:hint="eastAsia" w:ascii="华文新魏" w:hAnsi="华文新魏" w:eastAsia="华文新魏" w:cs="华文新魏"/>
          <w:bCs/>
          <w:kern w:val="0"/>
          <w:sz w:val="44"/>
          <w:szCs w:val="44"/>
        </w:rPr>
        <w:t>一、投标一览表</w:t>
      </w:r>
    </w:p>
    <w:p>
      <w:pPr>
        <w:rPr>
          <w:sz w:val="24"/>
        </w:rPr>
      </w:pPr>
    </w:p>
    <w:p>
      <w:pPr>
        <w:spacing w:line="360" w:lineRule="auto"/>
        <w:rPr>
          <w:szCs w:val="21"/>
        </w:rPr>
      </w:pPr>
      <w:r>
        <w:rPr>
          <w:rFonts w:hint="eastAsia"/>
          <w:szCs w:val="21"/>
        </w:rPr>
        <w:t>投标人名称：_________________ （公章）</w:t>
      </w:r>
    </w:p>
    <w:p>
      <w:pPr>
        <w:spacing w:line="360" w:lineRule="auto"/>
        <w:rPr>
          <w:szCs w:val="21"/>
          <w:u w:val="single"/>
        </w:rPr>
      </w:pPr>
      <w:r>
        <w:rPr>
          <w:rFonts w:hint="eastAsia"/>
          <w:szCs w:val="21"/>
        </w:rPr>
        <w:t>项</w:t>
      </w:r>
      <w:r>
        <w:rPr>
          <w:rFonts w:hint="eastAsia"/>
          <w:szCs w:val="21"/>
          <w:lang w:val="en-US" w:eastAsia="zh-CN"/>
        </w:rPr>
        <w:t xml:space="preserve"> </w:t>
      </w:r>
      <w:r>
        <w:rPr>
          <w:rFonts w:hint="eastAsia"/>
          <w:szCs w:val="21"/>
        </w:rPr>
        <w:t>目</w:t>
      </w:r>
      <w:r>
        <w:rPr>
          <w:rFonts w:hint="eastAsia"/>
          <w:szCs w:val="21"/>
          <w:lang w:val="en-US" w:eastAsia="zh-CN"/>
        </w:rPr>
        <w:t xml:space="preserve"> </w:t>
      </w:r>
      <w:r>
        <w:rPr>
          <w:rFonts w:hint="eastAsia"/>
          <w:szCs w:val="21"/>
        </w:rPr>
        <w:t xml:space="preserve">编号：_______________ </w:t>
      </w:r>
    </w:p>
    <w:p>
      <w:pPr>
        <w:spacing w:line="360" w:lineRule="auto"/>
        <w:rPr>
          <w:szCs w:val="21"/>
          <w:u w:val="single"/>
        </w:rPr>
      </w:pPr>
    </w:p>
    <w:tbl>
      <w:tblPr>
        <w:tblStyle w:val="54"/>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pPr>
              <w:spacing w:line="360" w:lineRule="auto"/>
              <w:rPr>
                <w:szCs w:val="21"/>
              </w:rPr>
            </w:pPr>
            <w:r>
              <w:rPr>
                <w:rFonts w:hint="eastAsia"/>
                <w:szCs w:val="21"/>
              </w:rPr>
              <w:t>项目名称</w:t>
            </w:r>
          </w:p>
        </w:tc>
        <w:tc>
          <w:tcPr>
            <w:tcW w:w="1980" w:type="dxa"/>
            <w:tcBorders>
              <w:top w:val="double" w:color="auto" w:sz="4" w:space="0"/>
              <w:bottom w:val="single" w:color="auto" w:sz="4" w:space="0"/>
            </w:tcBorders>
            <w:vAlign w:val="center"/>
          </w:tcPr>
          <w:p>
            <w:pPr>
              <w:spacing w:line="360" w:lineRule="auto"/>
              <w:rPr>
                <w:szCs w:val="21"/>
              </w:rPr>
            </w:pPr>
            <w:r>
              <w:rPr>
                <w:rFonts w:hint="eastAsia"/>
                <w:szCs w:val="21"/>
              </w:rPr>
              <w:t>投标总价（元/人民币）</w:t>
            </w:r>
          </w:p>
        </w:tc>
        <w:tc>
          <w:tcPr>
            <w:tcW w:w="1440" w:type="dxa"/>
            <w:tcBorders>
              <w:top w:val="double" w:color="auto" w:sz="4" w:space="0"/>
              <w:bottom w:val="single" w:color="auto" w:sz="4" w:space="0"/>
            </w:tcBorders>
            <w:vAlign w:val="center"/>
          </w:tcPr>
          <w:p>
            <w:pPr>
              <w:spacing w:line="360" w:lineRule="auto"/>
              <w:rPr>
                <w:szCs w:val="21"/>
              </w:rPr>
            </w:pPr>
            <w:r>
              <w:rPr>
                <w:rFonts w:hint="eastAsia"/>
                <w:szCs w:val="21"/>
              </w:rPr>
              <w:t>服务期限（天）</w:t>
            </w:r>
          </w:p>
        </w:tc>
        <w:tc>
          <w:tcPr>
            <w:tcW w:w="1620" w:type="dxa"/>
            <w:tcBorders>
              <w:top w:val="double" w:color="auto" w:sz="4" w:space="0"/>
              <w:bottom w:val="single" w:color="auto" w:sz="4" w:space="0"/>
            </w:tcBorders>
            <w:vAlign w:val="center"/>
          </w:tcPr>
          <w:p>
            <w:pPr>
              <w:spacing w:line="360" w:lineRule="auto"/>
              <w:rPr>
                <w:szCs w:val="21"/>
              </w:rPr>
            </w:pPr>
            <w:r>
              <w:rPr>
                <w:rFonts w:hint="eastAsia"/>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pPr>
              <w:spacing w:line="360" w:lineRule="auto"/>
              <w:rPr>
                <w:szCs w:val="21"/>
                <w:u w:val="single"/>
              </w:rPr>
            </w:pPr>
            <w:r>
              <w:rPr>
                <w:rFonts w:hint="eastAsia"/>
                <w:szCs w:val="21"/>
              </w:rPr>
              <w:t>项目</w:t>
            </w:r>
          </w:p>
        </w:tc>
        <w:tc>
          <w:tcPr>
            <w:tcW w:w="1980" w:type="dxa"/>
            <w:tcBorders>
              <w:top w:val="single" w:color="auto" w:sz="4" w:space="0"/>
            </w:tcBorders>
            <w:vAlign w:val="center"/>
          </w:tcPr>
          <w:p>
            <w:pPr>
              <w:spacing w:line="360" w:lineRule="auto"/>
              <w:rPr>
                <w:szCs w:val="21"/>
              </w:rPr>
            </w:pPr>
            <w:r>
              <w:rPr>
                <w:rFonts w:hint="eastAsia"/>
                <w:szCs w:val="21"/>
              </w:rPr>
              <w:t>大写：</w:t>
            </w:r>
          </w:p>
          <w:p>
            <w:pPr>
              <w:spacing w:line="360" w:lineRule="auto"/>
              <w:rPr>
                <w:szCs w:val="21"/>
              </w:rPr>
            </w:pPr>
            <w:r>
              <w:rPr>
                <w:rFonts w:hint="eastAsia"/>
                <w:szCs w:val="21"/>
              </w:rPr>
              <w:t>小写：</w:t>
            </w:r>
          </w:p>
        </w:tc>
        <w:tc>
          <w:tcPr>
            <w:tcW w:w="1440" w:type="dxa"/>
            <w:tcBorders>
              <w:top w:val="single" w:color="auto" w:sz="4" w:space="0"/>
            </w:tcBorders>
            <w:vAlign w:val="center"/>
          </w:tcPr>
          <w:p>
            <w:pPr>
              <w:spacing w:line="360" w:lineRule="auto"/>
              <w:rPr>
                <w:szCs w:val="21"/>
              </w:rPr>
            </w:pPr>
          </w:p>
        </w:tc>
        <w:tc>
          <w:tcPr>
            <w:tcW w:w="1620" w:type="dxa"/>
            <w:tcBorders>
              <w:top w:val="single" w:color="auto" w:sz="4" w:space="0"/>
            </w:tcBorders>
            <w:vAlign w:val="center"/>
          </w:tcPr>
          <w:p>
            <w:pPr>
              <w:spacing w:line="360" w:lineRule="auto"/>
              <w:rPr>
                <w:szCs w:val="21"/>
              </w:rPr>
            </w:pPr>
          </w:p>
        </w:tc>
      </w:tr>
    </w:tbl>
    <w:p>
      <w:pPr>
        <w:spacing w:line="360" w:lineRule="auto"/>
        <w:rPr>
          <w:szCs w:val="21"/>
        </w:rPr>
      </w:pPr>
    </w:p>
    <w:p>
      <w:pPr>
        <w:spacing w:line="360" w:lineRule="auto"/>
        <w:rPr>
          <w:szCs w:val="21"/>
        </w:rPr>
      </w:pPr>
      <w:r>
        <w:rPr>
          <w:rFonts w:hint="eastAsia"/>
          <w:szCs w:val="21"/>
        </w:rPr>
        <w:t>注：1、价格应按“招标文件”中规定的货币单位填写。</w:t>
      </w:r>
    </w:p>
    <w:p>
      <w:pPr>
        <w:spacing w:line="360" w:lineRule="auto"/>
        <w:rPr>
          <w:szCs w:val="21"/>
        </w:rPr>
      </w:pPr>
      <w:r>
        <w:rPr>
          <w:rFonts w:hint="eastAsia"/>
          <w:szCs w:val="21"/>
        </w:rPr>
        <w:t>2、本项目服务期限要求为x年，即xxx个日历日。</w:t>
      </w:r>
    </w:p>
    <w:p>
      <w:pPr>
        <w:spacing w:line="360" w:lineRule="auto"/>
        <w:rPr>
          <w:szCs w:val="21"/>
        </w:rPr>
      </w:pPr>
      <w:r>
        <w:rPr>
          <w:rFonts w:hint="eastAsia"/>
          <w:szCs w:val="21"/>
        </w:rPr>
        <w:t>3、投标人如果需要对报价或其它内容加以说明，可在备注栏填写。</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r>
        <w:rPr>
          <w:rFonts w:hint="eastAsia"/>
          <w:szCs w:val="21"/>
        </w:rPr>
        <w:t>投标人代表签字：____________________    日期：   年   月   日</w:t>
      </w:r>
    </w:p>
    <w:p>
      <w:pPr>
        <w:rPr>
          <w:rFonts w:hint="eastAsia" w:ascii="宋体" w:hAnsi="宋体"/>
          <w:b/>
          <w:sz w:val="30"/>
          <w:szCs w:val="30"/>
        </w:rPr>
      </w:pPr>
      <w:r>
        <w:rPr>
          <w:szCs w:val="21"/>
        </w:rPr>
        <w:br w:type="page"/>
      </w:r>
    </w:p>
    <w:p>
      <w:pPr>
        <w:pStyle w:val="4"/>
        <w:jc w:val="center"/>
        <w:rPr>
          <w:rFonts w:hint="eastAsia" w:ascii="华文新魏" w:hAnsi="华文新魏" w:eastAsia="华文新魏" w:cs="华文新魏"/>
          <w:b/>
          <w:bCs/>
          <w:kern w:val="0"/>
          <w:sz w:val="44"/>
          <w:szCs w:val="44"/>
        </w:rPr>
      </w:pPr>
      <w:r>
        <w:rPr>
          <w:rFonts w:hint="eastAsia" w:ascii="华文新魏" w:hAnsi="华文新魏" w:eastAsia="华文新魏" w:cs="华文新魏"/>
          <w:b/>
          <w:bCs/>
          <w:kern w:val="0"/>
          <w:sz w:val="44"/>
          <w:szCs w:val="44"/>
          <w:lang w:eastAsia="zh-CN"/>
        </w:rPr>
        <w:t>二、</w:t>
      </w:r>
      <w:r>
        <w:rPr>
          <w:rFonts w:hint="eastAsia" w:ascii="华文新魏" w:hAnsi="华文新魏" w:eastAsia="华文新魏" w:cs="华文新魏"/>
          <w:b/>
          <w:bCs/>
          <w:kern w:val="0"/>
          <w:sz w:val="44"/>
          <w:szCs w:val="44"/>
        </w:rPr>
        <w:t>投标明细报价表（参考格式）</w:t>
      </w:r>
    </w:p>
    <w:p>
      <w:pPr>
        <w:adjustRightInd w:val="0"/>
        <w:snapToGrid w:val="0"/>
        <w:spacing w:line="360" w:lineRule="auto"/>
        <w:ind w:left="-2" w:leftChars="-1"/>
        <w:rPr>
          <w:rFonts w:ascii="宋体" w:hAnsi="宋体"/>
          <w:szCs w:val="21"/>
        </w:rPr>
      </w:pPr>
    </w:p>
    <w:p>
      <w:pPr>
        <w:adjustRightInd w:val="0"/>
        <w:snapToGrid w:val="0"/>
        <w:spacing w:line="360" w:lineRule="auto"/>
        <w:ind w:left="-2" w:leftChars="-1"/>
        <w:rPr>
          <w:rFonts w:hint="eastAsia" w:ascii="宋体" w:hAnsi="宋体"/>
          <w:szCs w:val="21"/>
          <w:u w:val="single"/>
        </w:rPr>
      </w:pPr>
      <w:r>
        <w:rPr>
          <w:rFonts w:ascii="宋体" w:hAnsi="宋体"/>
          <w:szCs w:val="21"/>
        </w:rPr>
        <w:t>采购项目名称:</w:t>
      </w: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360" w:lineRule="auto"/>
        <w:ind w:left="-2" w:leftChars="-1"/>
        <w:rPr>
          <w:rFonts w:hint="eastAsia" w:ascii="宋体" w:hAnsi="宋体"/>
          <w:szCs w:val="21"/>
          <w:u w:val="single"/>
        </w:rPr>
      </w:pPr>
      <w:r>
        <w:rPr>
          <w:rFonts w:ascii="宋体" w:hAnsi="宋体"/>
          <w:szCs w:val="21"/>
        </w:rPr>
        <w:t>采购项目编号：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98"/>
        <w:gridCol w:w="1327"/>
        <w:gridCol w:w="973"/>
        <w:gridCol w:w="888"/>
        <w:gridCol w:w="650"/>
        <w:gridCol w:w="818"/>
        <w:gridCol w:w="98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306" w:type="dxa"/>
            <w:gridSpan w:val="9"/>
            <w:noWrap w:val="0"/>
            <w:vAlign w:val="center"/>
          </w:tcPr>
          <w:p>
            <w:pPr>
              <w:tabs>
                <w:tab w:val="left" w:pos="9585"/>
                <w:tab w:val="left" w:pos="11205"/>
              </w:tabs>
              <w:rPr>
                <w:rFonts w:ascii="宋体" w:hAnsi="宋体"/>
                <w:b/>
                <w:szCs w:val="21"/>
              </w:rPr>
            </w:pPr>
            <w:r>
              <w:fldChar w:fldCharType="begin"/>
            </w:r>
            <w:r>
              <w:instrText xml:space="preserve"> DOCVARIABLE  项目名称  \* MERGEFORMAT </w:instrText>
            </w:r>
            <w:r>
              <w:fldChar w:fldCharType="separate"/>
            </w:r>
            <w:r>
              <w:fldChar w:fldCharType="end"/>
            </w:r>
            <w:r>
              <w:rPr>
                <w:rFonts w:hint="eastAsia" w:ascii="宋体" w:hAnsi="宋体"/>
                <w:szCs w:val="21"/>
              </w:rPr>
              <w:t xml:space="preserve"> </w:t>
            </w:r>
            <w:r>
              <w:rPr>
                <w:rFonts w:hint="eastAsia" w:ascii="宋体" w:hAnsi="宋体"/>
                <w:b/>
                <w:szCs w:val="21"/>
              </w:rPr>
              <w:t>一、货物、设备及材料类详列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56" w:type="dxa"/>
            <w:noWrap w:val="0"/>
            <w:vAlign w:val="center"/>
          </w:tcPr>
          <w:p>
            <w:pPr>
              <w:jc w:val="center"/>
              <w:rPr>
                <w:rFonts w:ascii="宋体" w:hAnsi="宋体"/>
                <w:szCs w:val="21"/>
              </w:rPr>
            </w:pPr>
            <w:r>
              <w:rPr>
                <w:rFonts w:hint="eastAsia" w:ascii="宋体" w:hAnsi="宋体"/>
                <w:szCs w:val="21"/>
              </w:rPr>
              <w:t>序号</w:t>
            </w:r>
          </w:p>
        </w:tc>
        <w:tc>
          <w:tcPr>
            <w:tcW w:w="1498" w:type="dxa"/>
            <w:noWrap w:val="0"/>
            <w:vAlign w:val="center"/>
          </w:tcPr>
          <w:p>
            <w:pPr>
              <w:jc w:val="center"/>
              <w:rPr>
                <w:rFonts w:ascii="宋体" w:hAnsi="宋体"/>
                <w:szCs w:val="21"/>
              </w:rPr>
            </w:pPr>
            <w:r>
              <w:rPr>
                <w:rFonts w:hint="eastAsia" w:ascii="宋体" w:hAnsi="宋体"/>
                <w:szCs w:val="21"/>
              </w:rPr>
              <w:t>分项名称</w:t>
            </w:r>
          </w:p>
        </w:tc>
        <w:tc>
          <w:tcPr>
            <w:tcW w:w="2300" w:type="dxa"/>
            <w:gridSpan w:val="2"/>
            <w:noWrap w:val="0"/>
            <w:vAlign w:val="center"/>
          </w:tcPr>
          <w:p>
            <w:pPr>
              <w:jc w:val="center"/>
              <w:rPr>
                <w:rFonts w:ascii="宋体" w:hAnsi="宋体"/>
                <w:szCs w:val="21"/>
              </w:rPr>
            </w:pPr>
            <w:r>
              <w:rPr>
                <w:rFonts w:hint="eastAsia" w:ascii="宋体" w:hAnsi="宋体"/>
                <w:szCs w:val="21"/>
              </w:rPr>
              <w:t>品牌、规格型号、主要技术参数</w:t>
            </w:r>
          </w:p>
        </w:tc>
        <w:tc>
          <w:tcPr>
            <w:tcW w:w="888" w:type="dxa"/>
            <w:noWrap w:val="0"/>
            <w:vAlign w:val="center"/>
          </w:tcPr>
          <w:p>
            <w:pPr>
              <w:rPr>
                <w:rFonts w:ascii="宋体" w:hAnsi="宋体"/>
                <w:szCs w:val="21"/>
              </w:rPr>
            </w:pPr>
            <w:r>
              <w:rPr>
                <w:rFonts w:hint="eastAsia" w:ascii="宋体" w:hAnsi="宋体"/>
                <w:szCs w:val="21"/>
              </w:rPr>
              <w:t>制造商</w:t>
            </w:r>
          </w:p>
        </w:tc>
        <w:tc>
          <w:tcPr>
            <w:tcW w:w="650" w:type="dxa"/>
            <w:noWrap w:val="0"/>
            <w:vAlign w:val="center"/>
          </w:tcPr>
          <w:p>
            <w:pPr>
              <w:rPr>
                <w:rFonts w:ascii="宋体" w:hAnsi="宋体"/>
                <w:szCs w:val="21"/>
              </w:rPr>
            </w:pPr>
            <w:r>
              <w:rPr>
                <w:rFonts w:hint="eastAsia" w:ascii="宋体" w:hAnsi="宋体"/>
                <w:szCs w:val="21"/>
              </w:rPr>
              <w:t>数量</w:t>
            </w:r>
          </w:p>
        </w:tc>
        <w:tc>
          <w:tcPr>
            <w:tcW w:w="818" w:type="dxa"/>
            <w:noWrap w:val="0"/>
            <w:vAlign w:val="center"/>
          </w:tcPr>
          <w:p>
            <w:pPr>
              <w:jc w:val="center"/>
              <w:rPr>
                <w:rFonts w:ascii="宋体" w:hAnsi="宋体"/>
                <w:szCs w:val="21"/>
              </w:rPr>
            </w:pPr>
            <w:r>
              <w:rPr>
                <w:rFonts w:hint="eastAsia" w:ascii="宋体" w:hAnsi="宋体"/>
                <w:szCs w:val="21"/>
              </w:rPr>
              <w:t>单价</w:t>
            </w:r>
          </w:p>
        </w:tc>
        <w:tc>
          <w:tcPr>
            <w:tcW w:w="983" w:type="dxa"/>
            <w:noWrap w:val="0"/>
            <w:vAlign w:val="center"/>
          </w:tcPr>
          <w:p>
            <w:pPr>
              <w:ind w:left="-92" w:leftChars="-44"/>
              <w:jc w:val="center"/>
              <w:rPr>
                <w:rFonts w:ascii="宋体" w:hAnsi="宋体"/>
                <w:szCs w:val="21"/>
              </w:rPr>
            </w:pPr>
            <w:r>
              <w:rPr>
                <w:rFonts w:hint="eastAsia" w:ascii="宋体" w:hAnsi="宋体"/>
                <w:szCs w:val="21"/>
              </w:rPr>
              <w:t>合计（元）</w:t>
            </w:r>
          </w:p>
        </w:tc>
        <w:tc>
          <w:tcPr>
            <w:tcW w:w="1413"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56" w:type="dxa"/>
            <w:noWrap w:val="0"/>
            <w:vAlign w:val="center"/>
          </w:tcPr>
          <w:p>
            <w:pPr>
              <w:numPr>
                <w:ilvl w:val="0"/>
                <w:numId w:val="9"/>
              </w:numPr>
              <w:ind w:left="2100" w:leftChars="800" w:hanging="420" w:hangingChars="200"/>
              <w:rPr>
                <w:rFonts w:ascii="宋体" w:hAnsi="宋体"/>
                <w:szCs w:val="21"/>
              </w:rPr>
            </w:pPr>
          </w:p>
        </w:tc>
        <w:tc>
          <w:tcPr>
            <w:tcW w:w="1498" w:type="dxa"/>
            <w:noWrap w:val="0"/>
            <w:vAlign w:val="center"/>
          </w:tcPr>
          <w:p>
            <w:pPr>
              <w:rPr>
                <w:rFonts w:ascii="宋体" w:hAnsi="宋体"/>
                <w:bCs/>
                <w:szCs w:val="21"/>
              </w:rPr>
            </w:pPr>
          </w:p>
        </w:tc>
        <w:tc>
          <w:tcPr>
            <w:tcW w:w="2300" w:type="dxa"/>
            <w:gridSpan w:val="2"/>
            <w:noWrap w:val="0"/>
            <w:vAlign w:val="center"/>
          </w:tcPr>
          <w:p>
            <w:pPr>
              <w:rPr>
                <w:rFonts w:ascii="宋体" w:hAnsi="宋体"/>
                <w:bCs/>
                <w:szCs w:val="21"/>
              </w:rPr>
            </w:pPr>
          </w:p>
        </w:tc>
        <w:tc>
          <w:tcPr>
            <w:tcW w:w="888" w:type="dxa"/>
            <w:noWrap w:val="0"/>
            <w:vAlign w:val="center"/>
          </w:tcPr>
          <w:p>
            <w:pPr>
              <w:jc w:val="center"/>
              <w:rPr>
                <w:rFonts w:ascii="宋体" w:hAnsi="宋体"/>
                <w:szCs w:val="21"/>
              </w:rPr>
            </w:pPr>
          </w:p>
        </w:tc>
        <w:tc>
          <w:tcPr>
            <w:tcW w:w="650" w:type="dxa"/>
            <w:noWrap w:val="0"/>
            <w:vAlign w:val="center"/>
          </w:tcPr>
          <w:p>
            <w:pPr>
              <w:jc w:val="center"/>
              <w:rPr>
                <w:rFonts w:ascii="宋体" w:hAnsi="宋体"/>
                <w:bCs/>
                <w:szCs w:val="21"/>
              </w:rPr>
            </w:pPr>
          </w:p>
        </w:tc>
        <w:tc>
          <w:tcPr>
            <w:tcW w:w="818" w:type="dxa"/>
            <w:noWrap w:val="0"/>
            <w:vAlign w:val="center"/>
          </w:tcPr>
          <w:p>
            <w:pPr>
              <w:rPr>
                <w:rFonts w:ascii="宋体" w:hAnsi="宋体"/>
                <w:bCs/>
                <w:szCs w:val="21"/>
              </w:rPr>
            </w:pPr>
          </w:p>
        </w:tc>
        <w:tc>
          <w:tcPr>
            <w:tcW w:w="983" w:type="dxa"/>
            <w:noWrap w:val="0"/>
            <w:vAlign w:val="center"/>
          </w:tcPr>
          <w:p>
            <w:pPr>
              <w:rPr>
                <w:rFonts w:ascii="宋体" w:hAnsi="宋体"/>
                <w:bCs/>
                <w:szCs w:val="21"/>
              </w:rPr>
            </w:pPr>
          </w:p>
        </w:tc>
        <w:tc>
          <w:tcPr>
            <w:tcW w:w="1413" w:type="dxa"/>
            <w:noWrap w:val="0"/>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56" w:type="dxa"/>
            <w:noWrap w:val="0"/>
            <w:vAlign w:val="center"/>
          </w:tcPr>
          <w:p>
            <w:pPr>
              <w:numPr>
                <w:ilvl w:val="0"/>
                <w:numId w:val="9"/>
              </w:numPr>
              <w:ind w:left="2100" w:leftChars="800" w:hanging="420" w:hangingChars="200"/>
              <w:rPr>
                <w:rFonts w:ascii="宋体" w:hAnsi="宋体"/>
                <w:szCs w:val="21"/>
              </w:rPr>
            </w:pPr>
          </w:p>
        </w:tc>
        <w:tc>
          <w:tcPr>
            <w:tcW w:w="1498" w:type="dxa"/>
            <w:noWrap w:val="0"/>
            <w:vAlign w:val="center"/>
          </w:tcPr>
          <w:p>
            <w:pPr>
              <w:rPr>
                <w:rFonts w:ascii="宋体" w:hAnsi="宋体"/>
                <w:bCs/>
                <w:szCs w:val="21"/>
              </w:rPr>
            </w:pPr>
          </w:p>
        </w:tc>
        <w:tc>
          <w:tcPr>
            <w:tcW w:w="2300" w:type="dxa"/>
            <w:gridSpan w:val="2"/>
            <w:noWrap w:val="0"/>
            <w:vAlign w:val="center"/>
          </w:tcPr>
          <w:p>
            <w:pPr>
              <w:rPr>
                <w:rFonts w:ascii="宋体" w:hAnsi="宋体"/>
                <w:bCs/>
                <w:szCs w:val="21"/>
              </w:rPr>
            </w:pPr>
          </w:p>
        </w:tc>
        <w:tc>
          <w:tcPr>
            <w:tcW w:w="888" w:type="dxa"/>
            <w:noWrap w:val="0"/>
            <w:vAlign w:val="center"/>
          </w:tcPr>
          <w:p>
            <w:pPr>
              <w:jc w:val="center"/>
              <w:rPr>
                <w:rFonts w:ascii="宋体" w:hAnsi="宋体"/>
                <w:bCs/>
                <w:szCs w:val="21"/>
              </w:rPr>
            </w:pPr>
          </w:p>
        </w:tc>
        <w:tc>
          <w:tcPr>
            <w:tcW w:w="650" w:type="dxa"/>
            <w:noWrap w:val="0"/>
            <w:vAlign w:val="center"/>
          </w:tcPr>
          <w:p>
            <w:pPr>
              <w:jc w:val="center"/>
              <w:rPr>
                <w:rFonts w:ascii="宋体" w:hAnsi="宋体"/>
                <w:bCs/>
                <w:szCs w:val="21"/>
              </w:rPr>
            </w:pPr>
          </w:p>
        </w:tc>
        <w:tc>
          <w:tcPr>
            <w:tcW w:w="818" w:type="dxa"/>
            <w:noWrap w:val="0"/>
            <w:vAlign w:val="center"/>
          </w:tcPr>
          <w:p>
            <w:pPr>
              <w:rPr>
                <w:rFonts w:ascii="宋体" w:hAnsi="宋体"/>
                <w:bCs/>
                <w:szCs w:val="21"/>
              </w:rPr>
            </w:pPr>
          </w:p>
        </w:tc>
        <w:tc>
          <w:tcPr>
            <w:tcW w:w="983" w:type="dxa"/>
            <w:noWrap w:val="0"/>
            <w:vAlign w:val="center"/>
          </w:tcPr>
          <w:p>
            <w:pPr>
              <w:rPr>
                <w:rFonts w:ascii="宋体" w:hAnsi="宋体"/>
                <w:bCs/>
                <w:szCs w:val="21"/>
              </w:rPr>
            </w:pPr>
          </w:p>
        </w:tc>
        <w:tc>
          <w:tcPr>
            <w:tcW w:w="1413" w:type="dxa"/>
            <w:noWrap w:val="0"/>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56" w:type="dxa"/>
            <w:noWrap w:val="0"/>
            <w:vAlign w:val="center"/>
          </w:tcPr>
          <w:p>
            <w:pPr>
              <w:numPr>
                <w:ilvl w:val="0"/>
                <w:numId w:val="9"/>
              </w:numPr>
              <w:ind w:left="2100" w:leftChars="800" w:hanging="420" w:hangingChars="200"/>
              <w:rPr>
                <w:rFonts w:ascii="宋体" w:hAnsi="宋体"/>
                <w:szCs w:val="21"/>
              </w:rPr>
            </w:pPr>
          </w:p>
        </w:tc>
        <w:tc>
          <w:tcPr>
            <w:tcW w:w="1498" w:type="dxa"/>
            <w:noWrap w:val="0"/>
            <w:vAlign w:val="center"/>
          </w:tcPr>
          <w:p>
            <w:pPr>
              <w:rPr>
                <w:rFonts w:ascii="宋体" w:hAnsi="宋体"/>
                <w:bCs/>
                <w:szCs w:val="21"/>
              </w:rPr>
            </w:pPr>
          </w:p>
        </w:tc>
        <w:tc>
          <w:tcPr>
            <w:tcW w:w="2300" w:type="dxa"/>
            <w:gridSpan w:val="2"/>
            <w:noWrap w:val="0"/>
            <w:vAlign w:val="center"/>
          </w:tcPr>
          <w:p>
            <w:pPr>
              <w:rPr>
                <w:rFonts w:ascii="宋体" w:hAnsi="宋体"/>
                <w:bCs/>
                <w:szCs w:val="21"/>
              </w:rPr>
            </w:pPr>
          </w:p>
        </w:tc>
        <w:tc>
          <w:tcPr>
            <w:tcW w:w="888" w:type="dxa"/>
            <w:noWrap w:val="0"/>
            <w:vAlign w:val="center"/>
          </w:tcPr>
          <w:p>
            <w:pPr>
              <w:jc w:val="center"/>
              <w:rPr>
                <w:rFonts w:ascii="宋体" w:hAnsi="宋体"/>
                <w:bCs/>
                <w:szCs w:val="21"/>
              </w:rPr>
            </w:pPr>
          </w:p>
        </w:tc>
        <w:tc>
          <w:tcPr>
            <w:tcW w:w="650" w:type="dxa"/>
            <w:noWrap w:val="0"/>
            <w:vAlign w:val="center"/>
          </w:tcPr>
          <w:p>
            <w:pPr>
              <w:jc w:val="center"/>
              <w:rPr>
                <w:rFonts w:ascii="宋体" w:hAnsi="宋体"/>
                <w:bCs/>
                <w:szCs w:val="21"/>
              </w:rPr>
            </w:pPr>
          </w:p>
        </w:tc>
        <w:tc>
          <w:tcPr>
            <w:tcW w:w="818" w:type="dxa"/>
            <w:noWrap w:val="0"/>
            <w:vAlign w:val="center"/>
          </w:tcPr>
          <w:p>
            <w:pPr>
              <w:rPr>
                <w:rFonts w:ascii="宋体" w:hAnsi="宋体"/>
                <w:bCs/>
                <w:szCs w:val="21"/>
              </w:rPr>
            </w:pPr>
          </w:p>
        </w:tc>
        <w:tc>
          <w:tcPr>
            <w:tcW w:w="983" w:type="dxa"/>
            <w:noWrap w:val="0"/>
            <w:vAlign w:val="center"/>
          </w:tcPr>
          <w:p>
            <w:pPr>
              <w:rPr>
                <w:rFonts w:ascii="宋体" w:hAnsi="宋体"/>
                <w:bCs/>
                <w:szCs w:val="21"/>
              </w:rPr>
            </w:pPr>
          </w:p>
        </w:tc>
        <w:tc>
          <w:tcPr>
            <w:tcW w:w="1413" w:type="dxa"/>
            <w:noWrap w:val="0"/>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4554" w:type="dxa"/>
            <w:gridSpan w:val="4"/>
            <w:noWrap w:val="0"/>
            <w:vAlign w:val="center"/>
          </w:tcPr>
          <w:p>
            <w:pPr>
              <w:jc w:val="center"/>
              <w:rPr>
                <w:rFonts w:ascii="宋体" w:hAnsi="宋体"/>
                <w:bCs/>
                <w:iCs/>
                <w:szCs w:val="21"/>
              </w:rPr>
            </w:pPr>
            <w:r>
              <w:rPr>
                <w:rFonts w:hint="eastAsia" w:ascii="宋体" w:hAnsi="宋体"/>
                <w:bCs/>
                <w:iCs/>
                <w:szCs w:val="21"/>
              </w:rPr>
              <w:t>合     计</w:t>
            </w:r>
          </w:p>
        </w:tc>
        <w:tc>
          <w:tcPr>
            <w:tcW w:w="2356" w:type="dxa"/>
            <w:gridSpan w:val="3"/>
            <w:noWrap w:val="0"/>
            <w:vAlign w:val="center"/>
          </w:tcPr>
          <w:p>
            <w:pPr>
              <w:rPr>
                <w:rFonts w:ascii="宋体" w:hAnsi="宋体"/>
                <w:bCs/>
                <w:szCs w:val="21"/>
              </w:rPr>
            </w:pPr>
            <w:r>
              <w:rPr>
                <w:rFonts w:hint="eastAsia" w:ascii="宋体" w:hAnsi="宋体"/>
                <w:bCs/>
                <w:szCs w:val="21"/>
              </w:rPr>
              <w:t>数量合计：</w:t>
            </w:r>
          </w:p>
        </w:tc>
        <w:tc>
          <w:tcPr>
            <w:tcW w:w="2396" w:type="dxa"/>
            <w:gridSpan w:val="2"/>
            <w:noWrap w:val="0"/>
            <w:vAlign w:val="center"/>
          </w:tcPr>
          <w:p>
            <w:pPr>
              <w:rPr>
                <w:rFonts w:ascii="宋体" w:hAnsi="宋体"/>
                <w:bCs/>
                <w:szCs w:val="21"/>
              </w:rPr>
            </w:pPr>
            <w:r>
              <w:rPr>
                <w:rFonts w:hint="eastAsia" w:ascii="宋体" w:hAnsi="宋体"/>
                <w:bCs/>
                <w:szCs w:val="21"/>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306" w:type="dxa"/>
            <w:gridSpan w:val="9"/>
            <w:noWrap w:val="0"/>
            <w:vAlign w:val="center"/>
          </w:tcPr>
          <w:p>
            <w:pPr>
              <w:tabs>
                <w:tab w:val="left" w:pos="9585"/>
                <w:tab w:val="left" w:pos="11205"/>
              </w:tabs>
              <w:rPr>
                <w:rFonts w:ascii="宋体" w:hAnsi="宋体"/>
                <w:b/>
                <w:szCs w:val="21"/>
              </w:rPr>
            </w:pPr>
            <w:r>
              <w:rPr>
                <w:rFonts w:hint="eastAsia" w:ascii="宋体" w:hAnsi="宋体"/>
                <w:b/>
                <w:szCs w:val="21"/>
              </w:rPr>
              <w:t>二、施工安装工程与服务类详列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56" w:type="dxa"/>
            <w:noWrap w:val="0"/>
            <w:vAlign w:val="center"/>
          </w:tcPr>
          <w:p>
            <w:pPr>
              <w:jc w:val="center"/>
              <w:rPr>
                <w:rFonts w:ascii="宋体" w:hAnsi="宋体"/>
                <w:szCs w:val="21"/>
              </w:rPr>
            </w:pPr>
            <w:r>
              <w:rPr>
                <w:rFonts w:hint="eastAsia" w:ascii="宋体" w:hAnsi="宋体"/>
                <w:szCs w:val="21"/>
              </w:rPr>
              <w:t>序号</w:t>
            </w:r>
          </w:p>
        </w:tc>
        <w:tc>
          <w:tcPr>
            <w:tcW w:w="1498" w:type="dxa"/>
            <w:noWrap w:val="0"/>
            <w:vAlign w:val="center"/>
          </w:tcPr>
          <w:p>
            <w:pPr>
              <w:jc w:val="center"/>
              <w:rPr>
                <w:rFonts w:ascii="宋体" w:hAnsi="宋体"/>
                <w:szCs w:val="21"/>
              </w:rPr>
            </w:pPr>
            <w:r>
              <w:rPr>
                <w:rFonts w:hint="eastAsia" w:ascii="宋体" w:hAnsi="宋体"/>
                <w:szCs w:val="21"/>
              </w:rPr>
              <w:t>分项名称</w:t>
            </w:r>
          </w:p>
        </w:tc>
        <w:tc>
          <w:tcPr>
            <w:tcW w:w="2300" w:type="dxa"/>
            <w:gridSpan w:val="2"/>
            <w:noWrap w:val="0"/>
            <w:vAlign w:val="center"/>
          </w:tcPr>
          <w:p>
            <w:pPr>
              <w:jc w:val="center"/>
              <w:rPr>
                <w:rFonts w:ascii="宋体" w:hAnsi="宋体"/>
                <w:szCs w:val="21"/>
              </w:rPr>
            </w:pPr>
            <w:r>
              <w:rPr>
                <w:rFonts w:hint="eastAsia" w:ascii="宋体" w:hAnsi="宋体"/>
                <w:szCs w:val="21"/>
              </w:rPr>
              <w:t>具体施工工程与服务内容</w:t>
            </w:r>
          </w:p>
        </w:tc>
        <w:tc>
          <w:tcPr>
            <w:tcW w:w="888" w:type="dxa"/>
            <w:noWrap w:val="0"/>
            <w:vAlign w:val="center"/>
          </w:tcPr>
          <w:p>
            <w:pPr>
              <w:rPr>
                <w:rFonts w:ascii="宋体" w:hAnsi="宋体"/>
                <w:bCs/>
                <w:szCs w:val="21"/>
              </w:rPr>
            </w:pPr>
            <w:r>
              <w:rPr>
                <w:rFonts w:hint="eastAsia" w:ascii="宋体" w:hAnsi="宋体"/>
                <w:bCs/>
                <w:szCs w:val="21"/>
              </w:rPr>
              <w:t>单位</w:t>
            </w:r>
          </w:p>
        </w:tc>
        <w:tc>
          <w:tcPr>
            <w:tcW w:w="650" w:type="dxa"/>
            <w:noWrap w:val="0"/>
            <w:vAlign w:val="center"/>
          </w:tcPr>
          <w:p>
            <w:pPr>
              <w:rPr>
                <w:rFonts w:ascii="宋体" w:hAnsi="宋体"/>
                <w:bCs/>
                <w:szCs w:val="21"/>
              </w:rPr>
            </w:pPr>
            <w:r>
              <w:rPr>
                <w:rFonts w:hint="eastAsia" w:ascii="宋体" w:hAnsi="宋体"/>
                <w:bCs/>
                <w:szCs w:val="21"/>
              </w:rPr>
              <w:t>数量</w:t>
            </w:r>
          </w:p>
        </w:tc>
        <w:tc>
          <w:tcPr>
            <w:tcW w:w="818" w:type="dxa"/>
            <w:noWrap w:val="0"/>
            <w:vAlign w:val="center"/>
          </w:tcPr>
          <w:p>
            <w:pPr>
              <w:jc w:val="center"/>
              <w:rPr>
                <w:rFonts w:ascii="宋体" w:hAnsi="宋体"/>
                <w:szCs w:val="21"/>
              </w:rPr>
            </w:pPr>
            <w:r>
              <w:rPr>
                <w:rFonts w:hint="eastAsia" w:ascii="宋体" w:hAnsi="宋体"/>
                <w:szCs w:val="21"/>
              </w:rPr>
              <w:t>单价</w:t>
            </w:r>
          </w:p>
        </w:tc>
        <w:tc>
          <w:tcPr>
            <w:tcW w:w="983" w:type="dxa"/>
            <w:noWrap w:val="0"/>
            <w:vAlign w:val="center"/>
          </w:tcPr>
          <w:p>
            <w:pPr>
              <w:ind w:left="-92" w:leftChars="-44"/>
              <w:jc w:val="center"/>
              <w:rPr>
                <w:rFonts w:ascii="宋体" w:hAnsi="宋体"/>
                <w:szCs w:val="21"/>
              </w:rPr>
            </w:pPr>
            <w:r>
              <w:rPr>
                <w:rFonts w:hint="eastAsia" w:ascii="宋体" w:hAnsi="宋体"/>
                <w:szCs w:val="21"/>
              </w:rPr>
              <w:t>合计（元）</w:t>
            </w:r>
          </w:p>
        </w:tc>
        <w:tc>
          <w:tcPr>
            <w:tcW w:w="1413" w:type="dxa"/>
            <w:noWrap w:val="0"/>
            <w:vAlign w:val="center"/>
          </w:tcPr>
          <w:p>
            <w:pPr>
              <w:jc w:val="center"/>
              <w:rPr>
                <w:rFonts w:ascii="宋体" w:hAnsi="宋体"/>
                <w:szCs w:val="21"/>
              </w:rPr>
            </w:pPr>
            <w:r>
              <w:rPr>
                <w:rFonts w:hint="eastAsia" w:ascii="宋体" w:hAnsi="宋体"/>
                <w:szCs w:val="21"/>
              </w:rPr>
              <w:t>广东省现市场零售价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56" w:type="dxa"/>
            <w:noWrap w:val="0"/>
            <w:vAlign w:val="center"/>
          </w:tcPr>
          <w:p>
            <w:pPr>
              <w:numPr>
                <w:ilvl w:val="0"/>
                <w:numId w:val="9"/>
              </w:numPr>
              <w:ind w:left="2100" w:leftChars="800" w:hanging="420" w:hangingChars="200"/>
              <w:rPr>
                <w:rFonts w:ascii="宋体" w:hAnsi="宋体"/>
                <w:szCs w:val="21"/>
              </w:rPr>
            </w:pPr>
          </w:p>
        </w:tc>
        <w:tc>
          <w:tcPr>
            <w:tcW w:w="1498" w:type="dxa"/>
            <w:noWrap w:val="0"/>
            <w:vAlign w:val="center"/>
          </w:tcPr>
          <w:p>
            <w:pPr>
              <w:rPr>
                <w:rFonts w:ascii="宋体" w:hAnsi="宋体"/>
                <w:szCs w:val="21"/>
              </w:rPr>
            </w:pPr>
          </w:p>
        </w:tc>
        <w:tc>
          <w:tcPr>
            <w:tcW w:w="2300" w:type="dxa"/>
            <w:gridSpan w:val="2"/>
            <w:noWrap w:val="0"/>
            <w:vAlign w:val="center"/>
          </w:tcPr>
          <w:p>
            <w:pPr>
              <w:rPr>
                <w:rFonts w:ascii="宋体" w:hAnsi="宋体"/>
                <w:bCs/>
                <w:szCs w:val="21"/>
              </w:rPr>
            </w:pPr>
          </w:p>
        </w:tc>
        <w:tc>
          <w:tcPr>
            <w:tcW w:w="888" w:type="dxa"/>
            <w:noWrap w:val="0"/>
            <w:vAlign w:val="center"/>
          </w:tcPr>
          <w:p>
            <w:pPr>
              <w:jc w:val="center"/>
              <w:rPr>
                <w:rFonts w:ascii="宋体" w:hAnsi="宋体"/>
                <w:bCs/>
                <w:szCs w:val="21"/>
              </w:rPr>
            </w:pPr>
          </w:p>
        </w:tc>
        <w:tc>
          <w:tcPr>
            <w:tcW w:w="650" w:type="dxa"/>
            <w:noWrap w:val="0"/>
            <w:vAlign w:val="center"/>
          </w:tcPr>
          <w:p>
            <w:pPr>
              <w:jc w:val="center"/>
              <w:rPr>
                <w:rFonts w:ascii="宋体" w:hAnsi="宋体"/>
                <w:bCs/>
                <w:szCs w:val="21"/>
              </w:rPr>
            </w:pPr>
          </w:p>
        </w:tc>
        <w:tc>
          <w:tcPr>
            <w:tcW w:w="818" w:type="dxa"/>
            <w:noWrap w:val="0"/>
            <w:vAlign w:val="center"/>
          </w:tcPr>
          <w:p>
            <w:pPr>
              <w:rPr>
                <w:rFonts w:ascii="宋体" w:hAnsi="宋体"/>
                <w:bCs/>
                <w:szCs w:val="21"/>
              </w:rPr>
            </w:pPr>
          </w:p>
        </w:tc>
        <w:tc>
          <w:tcPr>
            <w:tcW w:w="983" w:type="dxa"/>
            <w:noWrap w:val="0"/>
            <w:vAlign w:val="center"/>
          </w:tcPr>
          <w:p>
            <w:pPr>
              <w:rPr>
                <w:rFonts w:ascii="宋体" w:hAnsi="宋体"/>
                <w:szCs w:val="21"/>
              </w:rPr>
            </w:pPr>
          </w:p>
        </w:tc>
        <w:tc>
          <w:tcPr>
            <w:tcW w:w="1413" w:type="dxa"/>
            <w:noWrap w:val="0"/>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56" w:type="dxa"/>
            <w:noWrap w:val="0"/>
            <w:vAlign w:val="center"/>
          </w:tcPr>
          <w:p>
            <w:pPr>
              <w:numPr>
                <w:ilvl w:val="0"/>
                <w:numId w:val="9"/>
              </w:numPr>
              <w:ind w:left="2100" w:leftChars="800" w:hanging="420" w:hangingChars="200"/>
              <w:rPr>
                <w:rFonts w:ascii="宋体" w:hAnsi="宋体"/>
                <w:szCs w:val="21"/>
              </w:rPr>
            </w:pPr>
          </w:p>
        </w:tc>
        <w:tc>
          <w:tcPr>
            <w:tcW w:w="1498" w:type="dxa"/>
            <w:noWrap w:val="0"/>
            <w:vAlign w:val="center"/>
          </w:tcPr>
          <w:p>
            <w:pPr>
              <w:rPr>
                <w:rFonts w:ascii="宋体" w:hAnsi="宋体"/>
                <w:szCs w:val="21"/>
              </w:rPr>
            </w:pPr>
          </w:p>
        </w:tc>
        <w:tc>
          <w:tcPr>
            <w:tcW w:w="2300" w:type="dxa"/>
            <w:gridSpan w:val="2"/>
            <w:noWrap w:val="0"/>
            <w:vAlign w:val="center"/>
          </w:tcPr>
          <w:p>
            <w:pPr>
              <w:rPr>
                <w:rFonts w:ascii="宋体" w:hAnsi="宋体"/>
                <w:bCs/>
                <w:szCs w:val="21"/>
              </w:rPr>
            </w:pPr>
          </w:p>
        </w:tc>
        <w:tc>
          <w:tcPr>
            <w:tcW w:w="888" w:type="dxa"/>
            <w:noWrap w:val="0"/>
            <w:vAlign w:val="center"/>
          </w:tcPr>
          <w:p>
            <w:pPr>
              <w:jc w:val="center"/>
              <w:rPr>
                <w:rFonts w:ascii="宋体" w:hAnsi="宋体"/>
                <w:bCs/>
                <w:szCs w:val="21"/>
              </w:rPr>
            </w:pPr>
          </w:p>
        </w:tc>
        <w:tc>
          <w:tcPr>
            <w:tcW w:w="650" w:type="dxa"/>
            <w:noWrap w:val="0"/>
            <w:vAlign w:val="center"/>
          </w:tcPr>
          <w:p>
            <w:pPr>
              <w:jc w:val="center"/>
              <w:rPr>
                <w:rFonts w:ascii="宋体" w:hAnsi="宋体"/>
                <w:bCs/>
                <w:szCs w:val="21"/>
              </w:rPr>
            </w:pPr>
          </w:p>
        </w:tc>
        <w:tc>
          <w:tcPr>
            <w:tcW w:w="818" w:type="dxa"/>
            <w:noWrap w:val="0"/>
            <w:vAlign w:val="center"/>
          </w:tcPr>
          <w:p>
            <w:pPr>
              <w:rPr>
                <w:rFonts w:ascii="宋体" w:hAnsi="宋体"/>
                <w:bCs/>
                <w:szCs w:val="21"/>
              </w:rPr>
            </w:pPr>
          </w:p>
        </w:tc>
        <w:tc>
          <w:tcPr>
            <w:tcW w:w="983" w:type="dxa"/>
            <w:noWrap w:val="0"/>
            <w:vAlign w:val="center"/>
          </w:tcPr>
          <w:p>
            <w:pPr>
              <w:rPr>
                <w:rFonts w:ascii="宋体" w:hAnsi="宋体"/>
                <w:szCs w:val="21"/>
              </w:rPr>
            </w:pPr>
          </w:p>
        </w:tc>
        <w:tc>
          <w:tcPr>
            <w:tcW w:w="1413" w:type="dxa"/>
            <w:noWrap w:val="0"/>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756" w:type="dxa"/>
            <w:noWrap w:val="0"/>
            <w:vAlign w:val="center"/>
          </w:tcPr>
          <w:p>
            <w:pPr>
              <w:numPr>
                <w:ilvl w:val="0"/>
                <w:numId w:val="9"/>
              </w:numPr>
              <w:ind w:left="2100" w:leftChars="800" w:hanging="420" w:hangingChars="200"/>
              <w:rPr>
                <w:rFonts w:ascii="宋体" w:hAnsi="宋体"/>
                <w:szCs w:val="21"/>
              </w:rPr>
            </w:pPr>
          </w:p>
        </w:tc>
        <w:tc>
          <w:tcPr>
            <w:tcW w:w="1498" w:type="dxa"/>
            <w:noWrap w:val="0"/>
            <w:vAlign w:val="center"/>
          </w:tcPr>
          <w:p>
            <w:pPr>
              <w:rPr>
                <w:rFonts w:ascii="宋体" w:hAnsi="宋体"/>
                <w:szCs w:val="21"/>
              </w:rPr>
            </w:pPr>
          </w:p>
        </w:tc>
        <w:tc>
          <w:tcPr>
            <w:tcW w:w="2300" w:type="dxa"/>
            <w:gridSpan w:val="2"/>
            <w:noWrap w:val="0"/>
            <w:vAlign w:val="center"/>
          </w:tcPr>
          <w:p>
            <w:pPr>
              <w:rPr>
                <w:rFonts w:ascii="宋体" w:hAnsi="宋体"/>
                <w:bCs/>
                <w:szCs w:val="21"/>
              </w:rPr>
            </w:pPr>
          </w:p>
        </w:tc>
        <w:tc>
          <w:tcPr>
            <w:tcW w:w="888" w:type="dxa"/>
            <w:noWrap w:val="0"/>
            <w:vAlign w:val="center"/>
          </w:tcPr>
          <w:p>
            <w:pPr>
              <w:jc w:val="center"/>
              <w:rPr>
                <w:rFonts w:ascii="宋体" w:hAnsi="宋体"/>
                <w:bCs/>
                <w:szCs w:val="21"/>
              </w:rPr>
            </w:pPr>
          </w:p>
        </w:tc>
        <w:tc>
          <w:tcPr>
            <w:tcW w:w="650" w:type="dxa"/>
            <w:noWrap w:val="0"/>
            <w:vAlign w:val="center"/>
          </w:tcPr>
          <w:p>
            <w:pPr>
              <w:jc w:val="center"/>
              <w:rPr>
                <w:rFonts w:ascii="宋体" w:hAnsi="宋体"/>
                <w:bCs/>
                <w:szCs w:val="21"/>
              </w:rPr>
            </w:pPr>
          </w:p>
        </w:tc>
        <w:tc>
          <w:tcPr>
            <w:tcW w:w="818" w:type="dxa"/>
            <w:noWrap w:val="0"/>
            <w:vAlign w:val="center"/>
          </w:tcPr>
          <w:p>
            <w:pPr>
              <w:rPr>
                <w:rFonts w:ascii="宋体" w:hAnsi="宋体"/>
                <w:bCs/>
                <w:szCs w:val="21"/>
              </w:rPr>
            </w:pPr>
          </w:p>
        </w:tc>
        <w:tc>
          <w:tcPr>
            <w:tcW w:w="983" w:type="dxa"/>
            <w:noWrap w:val="0"/>
            <w:vAlign w:val="center"/>
          </w:tcPr>
          <w:p>
            <w:pPr>
              <w:rPr>
                <w:rFonts w:ascii="宋体" w:hAnsi="宋体"/>
                <w:szCs w:val="21"/>
              </w:rPr>
            </w:pPr>
          </w:p>
        </w:tc>
        <w:tc>
          <w:tcPr>
            <w:tcW w:w="1413" w:type="dxa"/>
            <w:noWrap w:val="0"/>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554" w:type="dxa"/>
            <w:gridSpan w:val="4"/>
            <w:noWrap w:val="0"/>
            <w:vAlign w:val="center"/>
          </w:tcPr>
          <w:p>
            <w:pPr>
              <w:jc w:val="center"/>
              <w:rPr>
                <w:rFonts w:ascii="宋体" w:hAnsi="宋体"/>
                <w:bCs/>
                <w:szCs w:val="21"/>
              </w:rPr>
            </w:pPr>
            <w:r>
              <w:rPr>
                <w:rFonts w:hint="eastAsia" w:ascii="宋体" w:hAnsi="宋体"/>
                <w:bCs/>
                <w:iCs/>
                <w:szCs w:val="21"/>
              </w:rPr>
              <w:t>合     计</w:t>
            </w:r>
          </w:p>
        </w:tc>
        <w:tc>
          <w:tcPr>
            <w:tcW w:w="2356" w:type="dxa"/>
            <w:gridSpan w:val="3"/>
            <w:noWrap w:val="0"/>
            <w:vAlign w:val="center"/>
          </w:tcPr>
          <w:p>
            <w:pPr>
              <w:rPr>
                <w:rFonts w:ascii="宋体" w:hAnsi="宋体"/>
                <w:bCs/>
                <w:szCs w:val="21"/>
              </w:rPr>
            </w:pPr>
            <w:r>
              <w:rPr>
                <w:rFonts w:hint="eastAsia" w:ascii="宋体" w:hAnsi="宋体"/>
                <w:bCs/>
                <w:szCs w:val="21"/>
              </w:rPr>
              <w:t>数量合计：</w:t>
            </w:r>
          </w:p>
        </w:tc>
        <w:tc>
          <w:tcPr>
            <w:tcW w:w="2396" w:type="dxa"/>
            <w:gridSpan w:val="2"/>
            <w:noWrap w:val="0"/>
            <w:vAlign w:val="center"/>
          </w:tcPr>
          <w:p>
            <w:pPr>
              <w:rPr>
                <w:rFonts w:ascii="宋体" w:hAnsi="宋体"/>
                <w:bCs/>
                <w:szCs w:val="21"/>
              </w:rPr>
            </w:pPr>
            <w:r>
              <w:rPr>
                <w:rFonts w:hint="eastAsia" w:ascii="宋体" w:hAnsi="宋体"/>
                <w:bCs/>
                <w:szCs w:val="21"/>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306" w:type="dxa"/>
            <w:gridSpan w:val="9"/>
            <w:noWrap w:val="0"/>
            <w:vAlign w:val="center"/>
          </w:tcPr>
          <w:p>
            <w:pPr>
              <w:tabs>
                <w:tab w:val="left" w:pos="9585"/>
                <w:tab w:val="left" w:pos="11205"/>
              </w:tabs>
              <w:rPr>
                <w:rFonts w:ascii="宋体" w:hAnsi="宋体"/>
                <w:b/>
                <w:szCs w:val="21"/>
              </w:rPr>
            </w:pPr>
            <w:r>
              <w:rPr>
                <w:rFonts w:hint="eastAsia" w:ascii="宋体" w:hAnsi="宋体"/>
                <w:b/>
                <w:szCs w:val="21"/>
              </w:rPr>
              <w:t>三、其他费用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756" w:type="dxa"/>
            <w:noWrap w:val="0"/>
            <w:vAlign w:val="center"/>
          </w:tcPr>
          <w:p>
            <w:pPr>
              <w:jc w:val="center"/>
              <w:rPr>
                <w:rFonts w:ascii="宋体" w:hAnsi="宋体"/>
                <w:szCs w:val="21"/>
              </w:rPr>
            </w:pPr>
            <w:r>
              <w:rPr>
                <w:rFonts w:hint="eastAsia" w:ascii="宋体" w:hAnsi="宋体"/>
                <w:szCs w:val="21"/>
              </w:rPr>
              <w:t>序号</w:t>
            </w:r>
          </w:p>
        </w:tc>
        <w:tc>
          <w:tcPr>
            <w:tcW w:w="1498" w:type="dxa"/>
            <w:noWrap w:val="0"/>
            <w:vAlign w:val="center"/>
          </w:tcPr>
          <w:p>
            <w:pPr>
              <w:jc w:val="center"/>
              <w:rPr>
                <w:rFonts w:ascii="宋体" w:hAnsi="宋体"/>
                <w:szCs w:val="21"/>
              </w:rPr>
            </w:pPr>
            <w:r>
              <w:rPr>
                <w:rFonts w:hint="eastAsia" w:ascii="宋体" w:hAnsi="宋体"/>
                <w:szCs w:val="21"/>
              </w:rPr>
              <w:t>分项名称</w:t>
            </w:r>
          </w:p>
        </w:tc>
        <w:tc>
          <w:tcPr>
            <w:tcW w:w="2300" w:type="dxa"/>
            <w:gridSpan w:val="2"/>
            <w:noWrap w:val="0"/>
            <w:vAlign w:val="center"/>
          </w:tcPr>
          <w:p>
            <w:pPr>
              <w:jc w:val="center"/>
              <w:rPr>
                <w:rFonts w:ascii="宋体" w:hAnsi="宋体"/>
                <w:szCs w:val="21"/>
              </w:rPr>
            </w:pPr>
            <w:r>
              <w:rPr>
                <w:rFonts w:hint="eastAsia" w:ascii="宋体" w:hAnsi="宋体"/>
                <w:szCs w:val="21"/>
              </w:rPr>
              <w:t>具体内容</w:t>
            </w:r>
          </w:p>
        </w:tc>
        <w:tc>
          <w:tcPr>
            <w:tcW w:w="888" w:type="dxa"/>
            <w:noWrap w:val="0"/>
            <w:vAlign w:val="center"/>
          </w:tcPr>
          <w:p>
            <w:pPr>
              <w:rPr>
                <w:rFonts w:ascii="宋体" w:hAnsi="宋体"/>
                <w:bCs/>
                <w:szCs w:val="21"/>
              </w:rPr>
            </w:pPr>
            <w:r>
              <w:rPr>
                <w:rFonts w:hint="eastAsia" w:ascii="宋体" w:hAnsi="宋体"/>
                <w:bCs/>
                <w:szCs w:val="21"/>
              </w:rPr>
              <w:t>单位</w:t>
            </w:r>
          </w:p>
        </w:tc>
        <w:tc>
          <w:tcPr>
            <w:tcW w:w="650" w:type="dxa"/>
            <w:noWrap w:val="0"/>
            <w:vAlign w:val="center"/>
          </w:tcPr>
          <w:p>
            <w:pPr>
              <w:rPr>
                <w:rFonts w:ascii="宋体" w:hAnsi="宋体"/>
                <w:bCs/>
                <w:szCs w:val="21"/>
              </w:rPr>
            </w:pPr>
            <w:r>
              <w:rPr>
                <w:rFonts w:hint="eastAsia" w:ascii="宋体" w:hAnsi="宋体"/>
                <w:bCs/>
                <w:szCs w:val="21"/>
              </w:rPr>
              <w:t>数量</w:t>
            </w:r>
          </w:p>
        </w:tc>
        <w:tc>
          <w:tcPr>
            <w:tcW w:w="818" w:type="dxa"/>
            <w:noWrap w:val="0"/>
            <w:vAlign w:val="center"/>
          </w:tcPr>
          <w:p>
            <w:pPr>
              <w:jc w:val="center"/>
              <w:rPr>
                <w:rFonts w:ascii="宋体" w:hAnsi="宋体"/>
                <w:szCs w:val="21"/>
              </w:rPr>
            </w:pPr>
            <w:r>
              <w:rPr>
                <w:rFonts w:hint="eastAsia" w:ascii="宋体" w:hAnsi="宋体"/>
                <w:szCs w:val="21"/>
              </w:rPr>
              <w:t>单价</w:t>
            </w:r>
          </w:p>
        </w:tc>
        <w:tc>
          <w:tcPr>
            <w:tcW w:w="983" w:type="dxa"/>
            <w:noWrap w:val="0"/>
            <w:vAlign w:val="center"/>
          </w:tcPr>
          <w:p>
            <w:pPr>
              <w:ind w:left="-92" w:leftChars="-44"/>
              <w:jc w:val="center"/>
              <w:rPr>
                <w:rFonts w:ascii="宋体" w:hAnsi="宋体"/>
                <w:szCs w:val="21"/>
              </w:rPr>
            </w:pPr>
            <w:r>
              <w:rPr>
                <w:rFonts w:hint="eastAsia" w:ascii="宋体" w:hAnsi="宋体"/>
                <w:szCs w:val="21"/>
              </w:rPr>
              <w:t>合计（元）</w:t>
            </w:r>
          </w:p>
        </w:tc>
        <w:tc>
          <w:tcPr>
            <w:tcW w:w="1413" w:type="dxa"/>
            <w:noWrap w:val="0"/>
            <w:vAlign w:val="center"/>
          </w:tcPr>
          <w:p>
            <w:pPr>
              <w:jc w:val="center"/>
              <w:rPr>
                <w:rFonts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56" w:type="dxa"/>
            <w:noWrap w:val="0"/>
            <w:vAlign w:val="center"/>
          </w:tcPr>
          <w:p>
            <w:pPr>
              <w:numPr>
                <w:ilvl w:val="0"/>
                <w:numId w:val="9"/>
              </w:numPr>
              <w:ind w:left="2100" w:leftChars="800" w:hanging="420" w:hangingChars="200"/>
              <w:rPr>
                <w:rFonts w:ascii="宋体" w:hAnsi="宋体"/>
                <w:szCs w:val="21"/>
              </w:rPr>
            </w:pPr>
          </w:p>
        </w:tc>
        <w:tc>
          <w:tcPr>
            <w:tcW w:w="1498" w:type="dxa"/>
            <w:noWrap w:val="0"/>
            <w:vAlign w:val="center"/>
          </w:tcPr>
          <w:p>
            <w:pPr>
              <w:rPr>
                <w:rFonts w:ascii="宋体" w:hAnsi="宋体"/>
                <w:szCs w:val="21"/>
              </w:rPr>
            </w:pPr>
          </w:p>
        </w:tc>
        <w:tc>
          <w:tcPr>
            <w:tcW w:w="2300" w:type="dxa"/>
            <w:gridSpan w:val="2"/>
            <w:noWrap w:val="0"/>
            <w:vAlign w:val="center"/>
          </w:tcPr>
          <w:p>
            <w:pPr>
              <w:rPr>
                <w:rFonts w:ascii="宋体" w:hAnsi="宋体"/>
                <w:bCs/>
                <w:szCs w:val="21"/>
              </w:rPr>
            </w:pPr>
          </w:p>
        </w:tc>
        <w:tc>
          <w:tcPr>
            <w:tcW w:w="888" w:type="dxa"/>
            <w:noWrap w:val="0"/>
            <w:vAlign w:val="center"/>
          </w:tcPr>
          <w:p>
            <w:pPr>
              <w:jc w:val="center"/>
              <w:rPr>
                <w:rFonts w:ascii="宋体" w:hAnsi="宋体"/>
                <w:bCs/>
                <w:szCs w:val="21"/>
              </w:rPr>
            </w:pPr>
          </w:p>
        </w:tc>
        <w:tc>
          <w:tcPr>
            <w:tcW w:w="650" w:type="dxa"/>
            <w:noWrap w:val="0"/>
            <w:vAlign w:val="center"/>
          </w:tcPr>
          <w:p>
            <w:pPr>
              <w:jc w:val="center"/>
              <w:rPr>
                <w:rFonts w:ascii="宋体" w:hAnsi="宋体"/>
                <w:bCs/>
                <w:szCs w:val="21"/>
              </w:rPr>
            </w:pPr>
          </w:p>
        </w:tc>
        <w:tc>
          <w:tcPr>
            <w:tcW w:w="818" w:type="dxa"/>
            <w:noWrap w:val="0"/>
            <w:vAlign w:val="center"/>
          </w:tcPr>
          <w:p>
            <w:pPr>
              <w:rPr>
                <w:rFonts w:ascii="宋体" w:hAnsi="宋体"/>
                <w:bCs/>
                <w:szCs w:val="21"/>
              </w:rPr>
            </w:pPr>
          </w:p>
        </w:tc>
        <w:tc>
          <w:tcPr>
            <w:tcW w:w="983" w:type="dxa"/>
            <w:noWrap w:val="0"/>
            <w:vAlign w:val="center"/>
          </w:tcPr>
          <w:p>
            <w:pPr>
              <w:rPr>
                <w:rFonts w:ascii="宋体" w:hAnsi="宋体"/>
                <w:szCs w:val="21"/>
              </w:rPr>
            </w:pPr>
          </w:p>
        </w:tc>
        <w:tc>
          <w:tcPr>
            <w:tcW w:w="1413" w:type="dxa"/>
            <w:noWrap w:val="0"/>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756" w:type="dxa"/>
            <w:noWrap w:val="0"/>
            <w:vAlign w:val="center"/>
          </w:tcPr>
          <w:p>
            <w:pPr>
              <w:numPr>
                <w:ilvl w:val="0"/>
                <w:numId w:val="9"/>
              </w:numPr>
              <w:ind w:left="2100" w:leftChars="800" w:hanging="420" w:hangingChars="200"/>
              <w:rPr>
                <w:rFonts w:ascii="宋体" w:hAnsi="宋体"/>
                <w:szCs w:val="21"/>
              </w:rPr>
            </w:pPr>
          </w:p>
        </w:tc>
        <w:tc>
          <w:tcPr>
            <w:tcW w:w="1498" w:type="dxa"/>
            <w:noWrap w:val="0"/>
            <w:vAlign w:val="center"/>
          </w:tcPr>
          <w:p>
            <w:pPr>
              <w:rPr>
                <w:rFonts w:ascii="宋体" w:hAnsi="宋体"/>
                <w:szCs w:val="21"/>
              </w:rPr>
            </w:pPr>
          </w:p>
        </w:tc>
        <w:tc>
          <w:tcPr>
            <w:tcW w:w="2300" w:type="dxa"/>
            <w:gridSpan w:val="2"/>
            <w:noWrap w:val="0"/>
            <w:vAlign w:val="center"/>
          </w:tcPr>
          <w:p>
            <w:pPr>
              <w:rPr>
                <w:rFonts w:ascii="宋体" w:hAnsi="宋体"/>
                <w:bCs/>
                <w:szCs w:val="21"/>
              </w:rPr>
            </w:pPr>
          </w:p>
        </w:tc>
        <w:tc>
          <w:tcPr>
            <w:tcW w:w="888" w:type="dxa"/>
            <w:noWrap w:val="0"/>
            <w:vAlign w:val="center"/>
          </w:tcPr>
          <w:p>
            <w:pPr>
              <w:jc w:val="center"/>
              <w:rPr>
                <w:rFonts w:ascii="宋体" w:hAnsi="宋体"/>
                <w:bCs/>
                <w:szCs w:val="21"/>
              </w:rPr>
            </w:pPr>
          </w:p>
        </w:tc>
        <w:tc>
          <w:tcPr>
            <w:tcW w:w="650" w:type="dxa"/>
            <w:noWrap w:val="0"/>
            <w:vAlign w:val="center"/>
          </w:tcPr>
          <w:p>
            <w:pPr>
              <w:jc w:val="center"/>
              <w:rPr>
                <w:rFonts w:ascii="宋体" w:hAnsi="宋体"/>
                <w:bCs/>
                <w:szCs w:val="21"/>
              </w:rPr>
            </w:pPr>
          </w:p>
        </w:tc>
        <w:tc>
          <w:tcPr>
            <w:tcW w:w="818" w:type="dxa"/>
            <w:noWrap w:val="0"/>
            <w:vAlign w:val="center"/>
          </w:tcPr>
          <w:p>
            <w:pPr>
              <w:rPr>
                <w:rFonts w:ascii="宋体" w:hAnsi="宋体"/>
                <w:bCs/>
                <w:szCs w:val="21"/>
              </w:rPr>
            </w:pPr>
          </w:p>
        </w:tc>
        <w:tc>
          <w:tcPr>
            <w:tcW w:w="983" w:type="dxa"/>
            <w:noWrap w:val="0"/>
            <w:vAlign w:val="center"/>
          </w:tcPr>
          <w:p>
            <w:pPr>
              <w:rPr>
                <w:rFonts w:ascii="宋体" w:hAnsi="宋体"/>
                <w:szCs w:val="21"/>
              </w:rPr>
            </w:pPr>
          </w:p>
        </w:tc>
        <w:tc>
          <w:tcPr>
            <w:tcW w:w="1413" w:type="dxa"/>
            <w:noWrap w:val="0"/>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56" w:type="dxa"/>
            <w:noWrap w:val="0"/>
            <w:vAlign w:val="center"/>
          </w:tcPr>
          <w:p>
            <w:pPr>
              <w:numPr>
                <w:ilvl w:val="0"/>
                <w:numId w:val="9"/>
              </w:numPr>
              <w:ind w:left="2100" w:leftChars="800" w:hanging="420" w:hangingChars="200"/>
              <w:rPr>
                <w:rFonts w:ascii="宋体" w:hAnsi="宋体"/>
                <w:szCs w:val="21"/>
              </w:rPr>
            </w:pPr>
          </w:p>
        </w:tc>
        <w:tc>
          <w:tcPr>
            <w:tcW w:w="1498" w:type="dxa"/>
            <w:noWrap w:val="0"/>
            <w:vAlign w:val="center"/>
          </w:tcPr>
          <w:p>
            <w:pPr>
              <w:rPr>
                <w:rFonts w:ascii="宋体" w:hAnsi="宋体"/>
                <w:szCs w:val="21"/>
              </w:rPr>
            </w:pPr>
          </w:p>
        </w:tc>
        <w:tc>
          <w:tcPr>
            <w:tcW w:w="2300" w:type="dxa"/>
            <w:gridSpan w:val="2"/>
            <w:noWrap w:val="0"/>
            <w:vAlign w:val="center"/>
          </w:tcPr>
          <w:p>
            <w:pPr>
              <w:rPr>
                <w:rFonts w:ascii="宋体" w:hAnsi="宋体"/>
                <w:bCs/>
                <w:szCs w:val="21"/>
              </w:rPr>
            </w:pPr>
          </w:p>
        </w:tc>
        <w:tc>
          <w:tcPr>
            <w:tcW w:w="888" w:type="dxa"/>
            <w:noWrap w:val="0"/>
            <w:vAlign w:val="center"/>
          </w:tcPr>
          <w:p>
            <w:pPr>
              <w:jc w:val="center"/>
              <w:rPr>
                <w:rFonts w:ascii="宋体" w:hAnsi="宋体"/>
                <w:bCs/>
                <w:szCs w:val="21"/>
              </w:rPr>
            </w:pPr>
          </w:p>
        </w:tc>
        <w:tc>
          <w:tcPr>
            <w:tcW w:w="650" w:type="dxa"/>
            <w:noWrap w:val="0"/>
            <w:vAlign w:val="center"/>
          </w:tcPr>
          <w:p>
            <w:pPr>
              <w:jc w:val="center"/>
              <w:rPr>
                <w:rFonts w:ascii="宋体" w:hAnsi="宋体"/>
                <w:bCs/>
                <w:szCs w:val="21"/>
              </w:rPr>
            </w:pPr>
          </w:p>
        </w:tc>
        <w:tc>
          <w:tcPr>
            <w:tcW w:w="818" w:type="dxa"/>
            <w:noWrap w:val="0"/>
            <w:vAlign w:val="center"/>
          </w:tcPr>
          <w:p>
            <w:pPr>
              <w:rPr>
                <w:rFonts w:ascii="宋体" w:hAnsi="宋体"/>
                <w:bCs/>
                <w:szCs w:val="21"/>
              </w:rPr>
            </w:pPr>
          </w:p>
        </w:tc>
        <w:tc>
          <w:tcPr>
            <w:tcW w:w="983" w:type="dxa"/>
            <w:noWrap w:val="0"/>
            <w:vAlign w:val="center"/>
          </w:tcPr>
          <w:p>
            <w:pPr>
              <w:rPr>
                <w:rFonts w:ascii="宋体" w:hAnsi="宋体"/>
                <w:szCs w:val="21"/>
              </w:rPr>
            </w:pPr>
          </w:p>
        </w:tc>
        <w:tc>
          <w:tcPr>
            <w:tcW w:w="1413" w:type="dxa"/>
            <w:noWrap w:val="0"/>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4" w:type="dxa"/>
            <w:gridSpan w:val="4"/>
            <w:noWrap w:val="0"/>
            <w:vAlign w:val="center"/>
          </w:tcPr>
          <w:p>
            <w:pPr>
              <w:jc w:val="center"/>
              <w:rPr>
                <w:rFonts w:ascii="宋体" w:hAnsi="宋体"/>
                <w:bCs/>
                <w:iCs/>
                <w:szCs w:val="21"/>
              </w:rPr>
            </w:pPr>
            <w:r>
              <w:rPr>
                <w:rFonts w:hint="eastAsia" w:ascii="宋体" w:hAnsi="宋体"/>
                <w:bCs/>
                <w:iCs/>
                <w:szCs w:val="21"/>
              </w:rPr>
              <w:t>合     计</w:t>
            </w:r>
          </w:p>
        </w:tc>
        <w:tc>
          <w:tcPr>
            <w:tcW w:w="2356" w:type="dxa"/>
            <w:gridSpan w:val="3"/>
            <w:noWrap w:val="0"/>
            <w:vAlign w:val="center"/>
          </w:tcPr>
          <w:p>
            <w:pPr>
              <w:rPr>
                <w:rFonts w:ascii="宋体" w:hAnsi="宋体"/>
                <w:bCs/>
                <w:szCs w:val="21"/>
              </w:rPr>
            </w:pPr>
            <w:r>
              <w:rPr>
                <w:rFonts w:hint="eastAsia" w:ascii="宋体" w:hAnsi="宋体"/>
                <w:bCs/>
                <w:szCs w:val="21"/>
              </w:rPr>
              <w:t>数量合计：</w:t>
            </w:r>
          </w:p>
        </w:tc>
        <w:tc>
          <w:tcPr>
            <w:tcW w:w="2396" w:type="dxa"/>
            <w:gridSpan w:val="2"/>
            <w:noWrap w:val="0"/>
            <w:vAlign w:val="center"/>
          </w:tcPr>
          <w:p>
            <w:pPr>
              <w:rPr>
                <w:rFonts w:ascii="宋体" w:hAnsi="宋体"/>
                <w:bCs/>
                <w:szCs w:val="21"/>
              </w:rPr>
            </w:pPr>
            <w:r>
              <w:rPr>
                <w:rFonts w:hint="eastAsia" w:ascii="宋体" w:hAnsi="宋体"/>
                <w:bCs/>
                <w:szCs w:val="21"/>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306" w:type="dxa"/>
            <w:gridSpan w:val="9"/>
            <w:tcBorders>
              <w:bottom w:val="single" w:color="auto" w:sz="4" w:space="0"/>
            </w:tcBorders>
            <w:noWrap w:val="0"/>
            <w:vAlign w:val="center"/>
          </w:tcPr>
          <w:p>
            <w:pPr>
              <w:rPr>
                <w:rFonts w:ascii="宋体" w:hAnsi="宋体"/>
                <w:szCs w:val="21"/>
              </w:rPr>
            </w:pPr>
            <w:r>
              <w:rPr>
                <w:rFonts w:hint="eastAsia" w:ascii="宋体" w:hAnsi="宋体"/>
                <w:b/>
                <w:bCs/>
                <w:szCs w:val="21"/>
              </w:rPr>
              <w:t xml:space="preserve"> 四、报价汇总：人民币  </w:t>
            </w:r>
            <w:r>
              <w:rPr>
                <w:rFonts w:hint="eastAsia" w:ascii="宋体" w:hAnsi="宋体"/>
                <w:b/>
                <w:bCs/>
                <w:szCs w:val="21"/>
                <w:lang w:val="en-US" w:eastAsia="zh-CN"/>
              </w:rPr>
              <w:t xml:space="preserve"> </w:t>
            </w:r>
            <w:r>
              <w:rPr>
                <w:rFonts w:hint="eastAsia" w:ascii="宋体" w:hAnsi="宋体"/>
                <w:b/>
                <w:bCs/>
                <w:szCs w:val="21"/>
              </w:rPr>
              <w:t xml:space="preserve">  元</w:t>
            </w:r>
            <w:r>
              <w:rPr>
                <w:rFonts w:hint="eastAsia" w:ascii="宋体" w:hAnsi="宋体"/>
                <w:szCs w:val="21"/>
              </w:rPr>
              <w:t xml:space="preserve"> 。</w:t>
            </w:r>
          </w:p>
          <w:p>
            <w:pPr>
              <w:rPr>
                <w:rFonts w:ascii="宋体" w:hAnsi="宋体"/>
                <w:b/>
                <w:bCs/>
                <w:szCs w:val="21"/>
              </w:rPr>
            </w:pPr>
            <w:r>
              <w:rPr>
                <w:rFonts w:hint="eastAsia" w:ascii="宋体" w:hAnsi="宋体"/>
                <w:szCs w:val="21"/>
              </w:rPr>
              <w:t>（以上各合计项与开标一览表中的对应项均一致相符，如不一致以投标一览表为准）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9306" w:type="dxa"/>
            <w:gridSpan w:val="9"/>
            <w:noWrap w:val="0"/>
            <w:vAlign w:val="center"/>
          </w:tcPr>
          <w:p>
            <w:pPr>
              <w:rPr>
                <w:rFonts w:ascii="宋体" w:hAnsi="宋体"/>
                <w:b/>
                <w:szCs w:val="21"/>
              </w:rPr>
            </w:pPr>
            <w:r>
              <w:rPr>
                <w:rFonts w:hint="eastAsia" w:ascii="宋体" w:hAnsi="宋体"/>
                <w:b/>
                <w:szCs w:val="21"/>
              </w:rPr>
              <w:t>五、其他参考费用  （下列报价不列入投标总价内）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254" w:type="dxa"/>
            <w:gridSpan w:val="2"/>
            <w:noWrap w:val="0"/>
            <w:vAlign w:val="center"/>
          </w:tcPr>
          <w:p>
            <w:pPr>
              <w:jc w:val="center"/>
              <w:rPr>
                <w:rFonts w:ascii="宋体" w:hAnsi="宋体"/>
                <w:szCs w:val="21"/>
              </w:rPr>
            </w:pPr>
            <w:r>
              <w:rPr>
                <w:rFonts w:hint="eastAsia" w:ascii="宋体" w:hAnsi="宋体"/>
                <w:szCs w:val="21"/>
              </w:rPr>
              <w:t>分     项</w:t>
            </w:r>
          </w:p>
        </w:tc>
        <w:tc>
          <w:tcPr>
            <w:tcW w:w="1327" w:type="dxa"/>
            <w:noWrap w:val="0"/>
            <w:vAlign w:val="center"/>
          </w:tcPr>
          <w:p>
            <w:pPr>
              <w:ind w:left="-92" w:leftChars="-44" w:right="-99" w:rightChars="-47"/>
              <w:jc w:val="center"/>
              <w:rPr>
                <w:rFonts w:ascii="宋体" w:hAnsi="宋体"/>
                <w:szCs w:val="21"/>
              </w:rPr>
            </w:pPr>
            <w:r>
              <w:rPr>
                <w:rFonts w:hint="eastAsia" w:ascii="宋体" w:hAnsi="宋体"/>
                <w:szCs w:val="21"/>
              </w:rPr>
              <w:t>名      称</w:t>
            </w:r>
          </w:p>
        </w:tc>
        <w:tc>
          <w:tcPr>
            <w:tcW w:w="2511" w:type="dxa"/>
            <w:gridSpan w:val="3"/>
            <w:noWrap w:val="0"/>
            <w:vAlign w:val="center"/>
          </w:tcPr>
          <w:p>
            <w:pPr>
              <w:ind w:left="-88" w:leftChars="-42" w:right="-109" w:rightChars="-52"/>
              <w:jc w:val="center"/>
              <w:rPr>
                <w:rFonts w:ascii="宋体" w:hAnsi="宋体"/>
                <w:bCs/>
                <w:szCs w:val="21"/>
              </w:rPr>
            </w:pPr>
            <w:r>
              <w:rPr>
                <w:rFonts w:hint="eastAsia" w:ascii="宋体" w:hAnsi="宋体"/>
                <w:szCs w:val="21"/>
              </w:rPr>
              <w:t>规格型号</w:t>
            </w:r>
          </w:p>
        </w:tc>
        <w:tc>
          <w:tcPr>
            <w:tcW w:w="818" w:type="dxa"/>
            <w:noWrap w:val="0"/>
            <w:vAlign w:val="center"/>
          </w:tcPr>
          <w:p>
            <w:pPr>
              <w:rPr>
                <w:rFonts w:ascii="宋体" w:hAnsi="宋体"/>
                <w:bCs/>
                <w:szCs w:val="21"/>
              </w:rPr>
            </w:pPr>
            <w:r>
              <w:rPr>
                <w:rFonts w:hint="eastAsia" w:ascii="宋体" w:hAnsi="宋体"/>
                <w:szCs w:val="21"/>
              </w:rPr>
              <w:t>制造商</w:t>
            </w:r>
          </w:p>
        </w:tc>
        <w:tc>
          <w:tcPr>
            <w:tcW w:w="983" w:type="dxa"/>
            <w:noWrap w:val="0"/>
            <w:vAlign w:val="center"/>
          </w:tcPr>
          <w:p>
            <w:pPr>
              <w:ind w:left="-92" w:leftChars="-44" w:right="-82" w:rightChars="-39"/>
              <w:jc w:val="center"/>
              <w:rPr>
                <w:rFonts w:ascii="宋体" w:hAnsi="宋体"/>
                <w:bCs/>
                <w:szCs w:val="21"/>
              </w:rPr>
            </w:pPr>
            <w:r>
              <w:rPr>
                <w:rFonts w:hint="eastAsia" w:ascii="宋体" w:hAnsi="宋体"/>
                <w:bCs/>
                <w:szCs w:val="21"/>
              </w:rPr>
              <w:t>单价</w:t>
            </w:r>
          </w:p>
        </w:tc>
        <w:tc>
          <w:tcPr>
            <w:tcW w:w="1413" w:type="dxa"/>
            <w:noWrap w:val="0"/>
            <w:vAlign w:val="center"/>
          </w:tcPr>
          <w:p>
            <w:pPr>
              <w:ind w:left="-92" w:leftChars="-44" w:right="-82" w:rightChars="-39"/>
              <w:jc w:val="center"/>
              <w:rPr>
                <w:rFonts w:ascii="宋体" w:hAnsi="宋体"/>
                <w:bCs/>
                <w:szCs w:val="21"/>
              </w:rPr>
            </w:pPr>
            <w:r>
              <w:rPr>
                <w:rFonts w:hint="eastAsia" w:ascii="宋体" w:hAnsi="宋体"/>
                <w:bCs/>
                <w:szCs w:val="21"/>
              </w:rPr>
              <w:t>使用周期 /寿命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254" w:type="dxa"/>
            <w:gridSpan w:val="2"/>
            <w:noWrap w:val="0"/>
            <w:vAlign w:val="center"/>
          </w:tcPr>
          <w:p>
            <w:pPr>
              <w:jc w:val="center"/>
              <w:rPr>
                <w:rFonts w:ascii="宋体" w:hAnsi="宋体"/>
                <w:szCs w:val="21"/>
              </w:rPr>
            </w:pPr>
            <w:r>
              <w:rPr>
                <w:rFonts w:hint="eastAsia" w:ascii="宋体" w:hAnsi="宋体"/>
                <w:szCs w:val="21"/>
              </w:rPr>
              <w:t>常用易损件及配件</w:t>
            </w:r>
          </w:p>
        </w:tc>
        <w:tc>
          <w:tcPr>
            <w:tcW w:w="1327" w:type="dxa"/>
            <w:noWrap w:val="0"/>
            <w:vAlign w:val="center"/>
          </w:tcPr>
          <w:p>
            <w:pPr>
              <w:ind w:left="-92" w:leftChars="-44" w:right="-99" w:rightChars="-47"/>
              <w:jc w:val="center"/>
              <w:rPr>
                <w:rFonts w:ascii="宋体" w:hAnsi="宋体"/>
                <w:szCs w:val="21"/>
              </w:rPr>
            </w:pPr>
          </w:p>
        </w:tc>
        <w:tc>
          <w:tcPr>
            <w:tcW w:w="2511" w:type="dxa"/>
            <w:gridSpan w:val="3"/>
            <w:noWrap w:val="0"/>
            <w:vAlign w:val="center"/>
          </w:tcPr>
          <w:p>
            <w:pPr>
              <w:ind w:left="-88" w:leftChars="-42" w:right="-109" w:rightChars="-52"/>
              <w:jc w:val="center"/>
              <w:rPr>
                <w:rFonts w:ascii="宋体" w:hAnsi="宋体"/>
                <w:szCs w:val="21"/>
              </w:rPr>
            </w:pPr>
          </w:p>
        </w:tc>
        <w:tc>
          <w:tcPr>
            <w:tcW w:w="818" w:type="dxa"/>
            <w:noWrap w:val="0"/>
            <w:vAlign w:val="center"/>
          </w:tcPr>
          <w:p>
            <w:pPr>
              <w:jc w:val="center"/>
              <w:rPr>
                <w:rFonts w:ascii="宋体" w:hAnsi="宋体"/>
                <w:szCs w:val="21"/>
              </w:rPr>
            </w:pPr>
          </w:p>
        </w:tc>
        <w:tc>
          <w:tcPr>
            <w:tcW w:w="983" w:type="dxa"/>
            <w:noWrap w:val="0"/>
            <w:vAlign w:val="center"/>
          </w:tcPr>
          <w:p>
            <w:pPr>
              <w:jc w:val="center"/>
              <w:rPr>
                <w:rFonts w:ascii="宋体" w:hAnsi="宋体"/>
                <w:szCs w:val="21"/>
              </w:rPr>
            </w:pPr>
          </w:p>
        </w:tc>
        <w:tc>
          <w:tcPr>
            <w:tcW w:w="141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306" w:type="dxa"/>
            <w:gridSpan w:val="9"/>
            <w:noWrap w:val="0"/>
            <w:vAlign w:val="center"/>
          </w:tcPr>
          <w:p>
            <w:pPr>
              <w:pStyle w:val="41"/>
              <w:rPr>
                <w:rFonts w:ascii="宋体" w:hAnsi="宋体"/>
                <w:szCs w:val="21"/>
              </w:rPr>
            </w:pPr>
            <w:r>
              <w:rPr>
                <w:rFonts w:hint="eastAsia" w:ascii="宋体" w:hAnsi="宋体"/>
                <w:szCs w:val="21"/>
              </w:rPr>
              <w:t>质保期满后将要发生的必要服务项收费标准：</w:t>
            </w:r>
          </w:p>
        </w:tc>
      </w:tr>
    </w:tbl>
    <w:p>
      <w:pPr>
        <w:spacing w:line="360" w:lineRule="auto"/>
        <w:rPr>
          <w:rFonts w:hint="eastAsia" w:ascii="宋体" w:hAnsi="宋体"/>
          <w:color w:val="FF0000"/>
        </w:rPr>
      </w:pPr>
      <w:r>
        <w:rPr>
          <w:rFonts w:hint="eastAsia" w:ascii="宋体" w:hAnsi="宋体" w:cs="仿宋_GB2312"/>
          <w:b/>
          <w:color w:val="000000"/>
          <w:szCs w:val="21"/>
        </w:rPr>
        <w:t>注：以上内容必须与技术方案中所介绍的内容、《开标一览表》一致相符。</w:t>
      </w:r>
    </w:p>
    <w:p>
      <w:pPr>
        <w:pStyle w:val="196"/>
        <w:ind w:firstLine="0"/>
        <w:rPr>
          <w:rFonts w:hint="eastAsia" w:hAnsi="宋体"/>
          <w:color w:val="FF0000"/>
        </w:rPr>
      </w:pPr>
    </w:p>
    <w:p>
      <w:pPr>
        <w:spacing w:line="500" w:lineRule="exact"/>
        <w:ind w:firstLine="359" w:firstLineChars="171"/>
        <w:rPr>
          <w:rFonts w:hint="eastAsia" w:ascii="宋体" w:hAnsi="宋体"/>
        </w:rPr>
      </w:pPr>
      <w:r>
        <w:rPr>
          <w:rFonts w:hint="eastAsia" w:ascii="宋体" w:hAnsi="宋体"/>
        </w:rPr>
        <w:t>投 标 人（盖章）：</w:t>
      </w:r>
    </w:p>
    <w:p>
      <w:pPr>
        <w:spacing w:line="500" w:lineRule="exact"/>
        <w:ind w:firstLine="359" w:firstLineChars="171"/>
        <w:rPr>
          <w:rFonts w:hint="eastAsia" w:ascii="宋体" w:hAnsi="宋体"/>
        </w:rPr>
      </w:pPr>
      <w:r>
        <w:rPr>
          <w:rFonts w:hint="eastAsia" w:ascii="宋体" w:hAnsi="宋体"/>
        </w:rPr>
        <w:t>授权代表（签字）：</w:t>
      </w:r>
    </w:p>
    <w:p>
      <w:pPr>
        <w:spacing w:line="500" w:lineRule="exact"/>
        <w:ind w:firstLine="359" w:firstLineChars="171"/>
        <w:rPr>
          <w:rFonts w:ascii="宋体" w:hAnsi="宋体"/>
        </w:rPr>
      </w:pPr>
      <w:r>
        <w:rPr>
          <w:rFonts w:hint="eastAsia" w:ascii="宋体" w:hAnsi="宋体"/>
        </w:rPr>
        <w:t xml:space="preserve">日    期：    年  </w:t>
      </w:r>
      <w:r>
        <w:rPr>
          <w:rFonts w:hint="eastAsia" w:ascii="宋体" w:hAnsi="宋体"/>
          <w:lang w:val="en-US" w:eastAsia="zh-CN"/>
        </w:rPr>
        <w:t xml:space="preserve"> </w:t>
      </w:r>
      <w:r>
        <w:rPr>
          <w:rFonts w:hint="eastAsia" w:ascii="宋体" w:hAnsi="宋体"/>
        </w:rPr>
        <w:t xml:space="preserve"> 月</w:t>
      </w:r>
      <w:r>
        <w:rPr>
          <w:rFonts w:hint="eastAsia" w:ascii="宋体" w:hAnsi="宋体"/>
          <w:lang w:val="en-US" w:eastAsia="zh-CN"/>
        </w:rPr>
        <w:t xml:space="preserve"> </w:t>
      </w:r>
      <w:r>
        <w:rPr>
          <w:rFonts w:hint="eastAsia" w:ascii="宋体" w:hAnsi="宋体"/>
        </w:rPr>
        <w:t xml:space="preserve">  日</w:t>
      </w:r>
    </w:p>
    <w:p>
      <w:pPr>
        <w:numPr>
          <w:ilvl w:val="0"/>
          <w:numId w:val="0"/>
        </w:numPr>
        <w:jc w:val="center"/>
        <w:rPr>
          <w:rFonts w:hint="eastAsia" w:ascii="宋体" w:hAnsi="宋体"/>
          <w:b/>
          <w:sz w:val="40"/>
          <w:szCs w:val="40"/>
          <w:lang w:eastAsia="zh-CN"/>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p>
    <w:p>
      <w:pPr>
        <w:pStyle w:val="4"/>
        <w:ind w:firstLine="0" w:firstLineChars="0"/>
        <w:jc w:val="center"/>
        <w:rPr>
          <w:rFonts w:hint="eastAsia" w:ascii="华文新魏" w:hAnsi="华文新魏" w:eastAsia="华文新魏" w:cs="华文新魏"/>
          <w:b/>
          <w:bCs/>
          <w:kern w:val="0"/>
          <w:sz w:val="44"/>
          <w:szCs w:val="44"/>
        </w:rPr>
      </w:pPr>
      <w:r>
        <w:rPr>
          <w:rFonts w:hint="eastAsia" w:ascii="华文新魏" w:hAnsi="华文新魏" w:eastAsia="华文新魏" w:cs="华文新魏"/>
          <w:b/>
          <w:bCs/>
          <w:kern w:val="0"/>
          <w:sz w:val="44"/>
          <w:szCs w:val="44"/>
          <w:lang w:eastAsia="zh-CN"/>
        </w:rPr>
        <w:t>三、</w:t>
      </w:r>
      <w:r>
        <w:rPr>
          <w:rFonts w:hint="eastAsia" w:ascii="华文新魏" w:hAnsi="华文新魏" w:eastAsia="华文新魏" w:cs="华文新魏"/>
          <w:b/>
          <w:bCs/>
          <w:kern w:val="0"/>
          <w:sz w:val="44"/>
          <w:szCs w:val="44"/>
        </w:rPr>
        <w:t>自查表</w:t>
      </w:r>
    </w:p>
    <w:p>
      <w:pPr>
        <w:pStyle w:val="2"/>
        <w:numPr>
          <w:ilvl w:val="0"/>
          <w:numId w:val="0"/>
        </w:numPr>
        <w:jc w:val="both"/>
        <w:rPr>
          <w:rFonts w:hint="eastAsia"/>
        </w:rPr>
      </w:pPr>
    </w:p>
    <w:p>
      <w:pPr>
        <w:spacing w:line="360" w:lineRule="auto"/>
        <w:rPr>
          <w:rFonts w:hint="eastAsia" w:ascii="宋体" w:hAnsi="宋体"/>
          <w:b/>
          <w:sz w:val="28"/>
          <w:szCs w:val="28"/>
        </w:rPr>
      </w:pPr>
      <w:r>
        <w:rPr>
          <w:rFonts w:hint="eastAsia" w:ascii="宋体" w:hAnsi="宋体"/>
          <w:b/>
          <w:bCs/>
          <w:sz w:val="28"/>
          <w:szCs w:val="28"/>
          <w:lang w:val="en-US" w:eastAsia="zh-CN"/>
        </w:rPr>
        <w:t>3</w:t>
      </w:r>
      <w:r>
        <w:rPr>
          <w:rFonts w:hint="eastAsia" w:ascii="宋体" w:hAnsi="宋体"/>
          <w:b/>
          <w:bCs/>
          <w:sz w:val="28"/>
          <w:szCs w:val="28"/>
        </w:rPr>
        <w:t>.1资格性</w:t>
      </w:r>
      <w:r>
        <w:rPr>
          <w:rFonts w:ascii="宋体" w:hAnsi="宋体"/>
          <w:b/>
          <w:bCs/>
          <w:sz w:val="28"/>
          <w:szCs w:val="28"/>
        </w:rPr>
        <w:t>/</w:t>
      </w:r>
      <w:r>
        <w:rPr>
          <w:rFonts w:hint="eastAsia" w:ascii="宋体" w:hAnsi="宋体"/>
          <w:b/>
          <w:bCs/>
          <w:sz w:val="28"/>
          <w:szCs w:val="28"/>
        </w:rPr>
        <w:t>符合性自查自评表</w:t>
      </w:r>
    </w:p>
    <w:tbl>
      <w:tblPr>
        <w:tblStyle w:val="54"/>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050"/>
        <w:gridCol w:w="4770"/>
        <w:gridCol w:w="1843"/>
        <w:gridCol w:w="149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161" w:type="dxa"/>
            <w:gridSpan w:val="4"/>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hint="eastAsia" w:ascii="宋体" w:hAnsi="宋体" w:cs="宋体"/>
                <w:sz w:val="24"/>
              </w:rPr>
            </w:pPr>
            <w:r>
              <w:rPr>
                <w:rFonts w:hint="eastAsia"/>
              </w:rPr>
              <w:t>项目名称：深大乒乓项目综合服务中心</w:t>
            </w:r>
            <w:r>
              <w:rPr>
                <w:rFonts w:hint="eastAsia"/>
                <w:lang w:eastAsia="zh-CN"/>
              </w:rPr>
              <w:t>地胶采购项目</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trHeight w:val="928" w:hRule="atLeast"/>
        </w:trPr>
        <w:tc>
          <w:tcPr>
            <w:tcW w:w="105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jc w:val="center"/>
              <w:rPr>
                <w:rFonts w:ascii="宋体" w:hAnsi="宋体" w:cs="宋体"/>
                <w:sz w:val="24"/>
              </w:rPr>
            </w:pPr>
            <w:r>
              <w:rPr>
                <w:rStyle w:val="59"/>
              </w:rPr>
              <w:t>评审内容</w:t>
            </w: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jc w:val="center"/>
              <w:rPr>
                <w:rFonts w:ascii="宋体" w:hAnsi="宋体" w:cs="宋体"/>
                <w:sz w:val="24"/>
              </w:rPr>
            </w:pPr>
            <w:r>
              <w:rPr>
                <w:rStyle w:val="59"/>
              </w:rPr>
              <w:t>采购文件要求</w:t>
            </w:r>
            <w:r>
              <w:br w:type="textWrapping"/>
            </w:r>
            <w:r>
              <w:t>（详见《资格性和符合性审查表》各项）</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jc w:val="center"/>
              <w:rPr>
                <w:rFonts w:ascii="宋体" w:hAnsi="宋体" w:cs="宋体"/>
                <w:sz w:val="24"/>
              </w:rPr>
            </w:pPr>
            <w:r>
              <w:rPr>
                <w:rStyle w:val="59"/>
              </w:rPr>
              <w:t>自查结论</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jc w:val="center"/>
              <w:rPr>
                <w:rFonts w:ascii="宋体" w:hAnsi="宋体" w:cs="宋体"/>
                <w:sz w:val="24"/>
              </w:rPr>
            </w:pPr>
            <w:r>
              <w:rPr>
                <w:rStyle w:val="59"/>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25" w:hRule="atLeast"/>
        </w:trPr>
        <w:tc>
          <w:tcPr>
            <w:tcW w:w="1050" w:type="dxa"/>
            <w:vMerge w:val="restart"/>
            <w:tcBorders>
              <w:top w:val="outset" w:color="111111" w:sz="6" w:space="0"/>
              <w:left w:val="outset" w:color="111111" w:sz="6" w:space="0"/>
              <w:right w:val="outset" w:color="111111" w:sz="6" w:space="0"/>
            </w:tcBorders>
            <w:noWrap w:val="0"/>
            <w:vAlign w:val="center"/>
          </w:tcPr>
          <w:p>
            <w:pPr>
              <w:pStyle w:val="49"/>
              <w:spacing w:line="276" w:lineRule="auto"/>
              <w:jc w:val="center"/>
            </w:pPr>
            <w:r>
              <w:t>资格性审查</w:t>
            </w: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宋体" w:hAnsi="宋体"/>
                <w:szCs w:val="21"/>
              </w:rPr>
            </w:pPr>
            <w:r>
              <w:rPr>
                <w:rFonts w:hint="eastAsia" w:ascii="宋体" w:hAnsi="宋体"/>
                <w:szCs w:val="21"/>
              </w:rPr>
              <w:t>1、供应商必须具备《政府采购法》第二十二条规定的条件：</w:t>
            </w:r>
          </w:p>
          <w:p>
            <w:pPr>
              <w:spacing w:line="360" w:lineRule="auto"/>
              <w:rPr>
                <w:rFonts w:hint="eastAsia" w:ascii="宋体" w:hAnsi="宋体"/>
                <w:szCs w:val="21"/>
              </w:rPr>
            </w:pPr>
            <w:r>
              <w:rPr>
                <w:rFonts w:hint="eastAsia" w:ascii="宋体" w:hAnsi="宋体"/>
                <w:szCs w:val="21"/>
              </w:rPr>
              <w:t>1）具有独立承担民事责任的能力；（提供法人或者其他组织的营业执照等证明文件）</w:t>
            </w:r>
          </w:p>
          <w:p>
            <w:pPr>
              <w:spacing w:line="360" w:lineRule="auto"/>
              <w:rPr>
                <w:rFonts w:hint="eastAsia" w:ascii="宋体" w:hAnsi="宋体"/>
                <w:szCs w:val="21"/>
              </w:rPr>
            </w:pPr>
            <w:r>
              <w:rPr>
                <w:rFonts w:hint="eastAsia" w:ascii="宋体" w:hAnsi="宋体"/>
                <w:szCs w:val="21"/>
              </w:rPr>
              <w:t>2）具有良好的商业信誉和健全的财务会计制度；（</w:t>
            </w:r>
            <w:r>
              <w:rPr>
                <w:rFonts w:hint="eastAsia" w:ascii="宋体" w:hAnsi="宋体" w:cs="仿宋_GB2312"/>
                <w:lang w:val="hr-HR"/>
              </w:rPr>
              <w:t>提供20</w:t>
            </w:r>
            <w:r>
              <w:rPr>
                <w:rFonts w:hint="eastAsia" w:ascii="宋体" w:hAnsi="宋体" w:cs="仿宋_GB2312"/>
                <w:lang w:val="en-US" w:eastAsia="zh-CN"/>
              </w:rPr>
              <w:t>20</w:t>
            </w:r>
            <w:r>
              <w:rPr>
                <w:rFonts w:hint="eastAsia" w:ascii="宋体" w:hAnsi="宋体" w:cs="仿宋_GB2312"/>
                <w:lang w:val="hr-HR"/>
              </w:rPr>
              <w:t>年度财务状况报告或基本开户行出具的资信证明</w:t>
            </w:r>
            <w:r>
              <w:rPr>
                <w:rFonts w:hint="eastAsia" w:ascii="宋体" w:hAnsi="宋体"/>
                <w:szCs w:val="21"/>
              </w:rPr>
              <w:t>）</w:t>
            </w:r>
          </w:p>
          <w:p>
            <w:pPr>
              <w:spacing w:line="360" w:lineRule="auto"/>
              <w:rPr>
                <w:rFonts w:hint="eastAsia" w:ascii="宋体" w:hAnsi="宋体"/>
                <w:szCs w:val="21"/>
              </w:rPr>
            </w:pPr>
            <w:r>
              <w:rPr>
                <w:rFonts w:hint="eastAsia" w:ascii="宋体" w:hAnsi="宋体"/>
                <w:szCs w:val="21"/>
                <w:lang w:val="en-US" w:eastAsia="zh-CN"/>
              </w:rPr>
              <w:t>3</w:t>
            </w:r>
            <w:r>
              <w:rPr>
                <w:rFonts w:hint="eastAsia" w:ascii="宋体" w:hAnsi="宋体"/>
                <w:szCs w:val="21"/>
              </w:rPr>
              <w:t>）有依法缴纳税收和社会保障资金的良好记录；（提供投标截止日前6个月内任意1个月依法缴纳税收和社会保障资金的相关材料；如依法免税或不需要缴纳社会保障资金的，提供相应证明材料）</w:t>
            </w:r>
          </w:p>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）参加政府采购活动前三年内，在经营活动中没有重大违法记录；（提供书面声明）</w:t>
            </w:r>
          </w:p>
          <w:p>
            <w:pPr>
              <w:spacing w:line="276" w:lineRule="auto"/>
              <w:rPr>
                <w:rFonts w:ascii="宋体" w:hAnsi="宋体"/>
                <w:szCs w:val="21"/>
                <w:lang w:val="hr-HR"/>
              </w:rPr>
            </w:pPr>
            <w:r>
              <w:rPr>
                <w:rFonts w:hint="eastAsia" w:ascii="宋体" w:hAnsi="宋体"/>
                <w:szCs w:val="21"/>
                <w:lang w:val="en-US" w:eastAsia="zh-CN"/>
              </w:rPr>
              <w:t>5</w:t>
            </w:r>
            <w:r>
              <w:rPr>
                <w:rFonts w:hint="eastAsia" w:ascii="宋体" w:hAnsi="宋体"/>
                <w:szCs w:val="21"/>
              </w:rPr>
              <w:t>）法律、行政法规规定的其他条件。</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5" w:hRule="atLeast"/>
        </w:trPr>
        <w:tc>
          <w:tcPr>
            <w:tcW w:w="1050" w:type="dxa"/>
            <w:vMerge w:val="continue"/>
            <w:tcBorders>
              <w:left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hint="eastAsia" w:ascii="宋体" w:hAnsi="宋体"/>
                <w:szCs w:val="21"/>
                <w:lang w:val="hr-HR"/>
              </w:rPr>
            </w:pPr>
            <w:r>
              <w:rPr>
                <w:rFonts w:hint="eastAsia" w:ascii="宋体" w:hAnsi="宋体"/>
                <w:szCs w:val="21"/>
              </w:rPr>
              <w:t>2、单位负责人为同一人或者存在直接控股、管理关系的不同供应商，不得参加同一合同项下的政府采购活动。（提供书面声明）；</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trPr>
        <w:tc>
          <w:tcPr>
            <w:tcW w:w="1050" w:type="dxa"/>
            <w:vMerge w:val="continue"/>
            <w:tcBorders>
              <w:left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hint="eastAsia" w:ascii="宋体" w:hAnsi="宋体"/>
                <w:szCs w:val="21"/>
                <w:lang w:val="hr-HR"/>
              </w:rPr>
            </w:pPr>
            <w:r>
              <w:rPr>
                <w:rFonts w:hint="eastAsia" w:ascii="宋体" w:hAnsi="宋体"/>
                <w:szCs w:val="21"/>
              </w:rPr>
              <w:t>3、为采购项目提供整体设计、规范编制或者项目管理、监理、检测等服务的供应商，不得再参加该采购项目的其他采购活动。（提供书面声明）；</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trPr>
        <w:tc>
          <w:tcPr>
            <w:tcW w:w="1050" w:type="dxa"/>
            <w:vMerge w:val="continue"/>
            <w:tcBorders>
              <w:left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hint="eastAsia" w:ascii="宋体" w:hAnsi="宋体"/>
                <w:szCs w:val="21"/>
                <w:lang w:val="hr-HR"/>
              </w:rPr>
            </w:pPr>
            <w:r>
              <w:rPr>
                <w:rFonts w:hint="eastAsia" w:ascii="宋体" w:hAnsi="宋体"/>
                <w:szCs w:val="21"/>
              </w:rPr>
              <w:t>4、供应商未被列入“信用中国”网站(www.creditchina.gov.cn)以下任意记录名单之一：①记录失信被执行人；②重大税收违法案件当事人名单；③政府采购严重违法失信行为。同时，不处于中国政府采购网(www.ccgp.gov.cn)“政府采购严重违法失信行为信息记录”中的禁止参加政府采购活动期间。如相关失信记录已失效，供应商需提供相关证明资料如“信用中国”网站查询结果显示“没有找到您搜索的企业”或“没有找到您搜索数据”，视为没有上述三类不良信用记录。</w:t>
            </w:r>
            <w:bookmarkStart w:id="39" w:name="_GoBack"/>
            <w:bookmarkEnd w:id="39"/>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5" w:hRule="atLeast"/>
        </w:trPr>
        <w:tc>
          <w:tcPr>
            <w:tcW w:w="1050" w:type="dxa"/>
            <w:vMerge w:val="continue"/>
            <w:tcBorders>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hint="eastAsia" w:ascii="宋体" w:hAnsi="宋体"/>
                <w:szCs w:val="21"/>
                <w:lang w:val="hr-HR"/>
              </w:rPr>
            </w:pPr>
            <w:r>
              <w:rPr>
                <w:rFonts w:hint="eastAsia" w:ascii="宋体" w:hAnsi="宋体"/>
                <w:szCs w:val="21"/>
              </w:rPr>
              <w:t>5</w:t>
            </w:r>
            <w:r>
              <w:rPr>
                <w:rFonts w:hint="eastAsia" w:ascii="宋体" w:hAnsi="宋体"/>
                <w:szCs w:val="21"/>
                <w:lang w:val="hr-HR"/>
              </w:rPr>
              <w:t>、本项目不接受联合体投标。</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46" w:hRule="atLeast"/>
        </w:trPr>
        <w:tc>
          <w:tcPr>
            <w:tcW w:w="1050" w:type="dxa"/>
            <w:vMerge w:val="restart"/>
            <w:tcBorders>
              <w:top w:val="outset" w:color="111111" w:sz="6" w:space="0"/>
              <w:left w:val="outset" w:color="111111" w:sz="6" w:space="0"/>
              <w:bottom w:val="outset" w:color="111111" w:sz="6" w:space="0"/>
              <w:right w:val="outset" w:color="111111" w:sz="6" w:space="0"/>
            </w:tcBorders>
            <w:noWrap w:val="0"/>
            <w:vAlign w:val="center"/>
          </w:tcPr>
          <w:p>
            <w:pPr>
              <w:pStyle w:val="49"/>
              <w:spacing w:line="276" w:lineRule="auto"/>
              <w:jc w:val="center"/>
            </w:pPr>
            <w:r>
              <w:t>符合性审查</w:t>
            </w: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rPr>
                <w:rFonts w:hint="eastAsia" w:ascii="宋体" w:hAnsi="宋体"/>
              </w:rPr>
              <w:t>1.在经营范围内报价，投标总金额是固定价且是唯一的，</w:t>
            </w:r>
            <w:r>
              <w:rPr>
                <w:rFonts w:hint="eastAsia" w:ascii="宋体" w:hAnsi="宋体"/>
                <w:color w:val="000000"/>
              </w:rPr>
              <w:t>未超过分项预算和采购预算，如果评标委员会认为投标人的报价明显低于其他通</w:t>
            </w:r>
            <w:r>
              <w:rPr>
                <w:rFonts w:hint="eastAsia" w:ascii="宋体" w:hAnsi="宋体"/>
              </w:rPr>
              <w:t>过符合性审查投标人的报价，有可能影响产品质量或者不能诚信履约的，将要求其在评标现场合理的时间内提供书面说明，必要时提交相关证明材料；投标人应能证明其报价合理性。</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50" w:type="dxa"/>
            <w:vMerge w:val="continue"/>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rPr>
            </w:pPr>
            <w:r>
              <w:rPr>
                <w:rFonts w:ascii="宋体" w:hAnsi="宋体"/>
              </w:rPr>
              <w:t>2.对投标</w:t>
            </w:r>
            <w:r>
              <w:rPr>
                <w:rFonts w:hint="eastAsia" w:ascii="宋体" w:hAnsi="宋体"/>
              </w:rPr>
              <w:t>服务</w:t>
            </w:r>
            <w:r>
              <w:rPr>
                <w:rFonts w:ascii="宋体" w:hAnsi="宋体"/>
              </w:rPr>
              <w:t>的关键、主要设备，投标供应商没有报价漏项。</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50" w:type="dxa"/>
            <w:vMerge w:val="continue"/>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rPr>
            </w:pPr>
            <w:r>
              <w:rPr>
                <w:rFonts w:hint="eastAsia" w:ascii="宋体" w:hAnsi="宋体"/>
                <w:lang w:val="en-US" w:eastAsia="zh-CN"/>
              </w:rPr>
              <w:t>3</w:t>
            </w:r>
            <w:r>
              <w:rPr>
                <w:rFonts w:ascii="宋体" w:hAnsi="宋体"/>
              </w:rPr>
              <w:t>.投标方案是唯一确定的。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15" w:hRule="atLeast"/>
        </w:trPr>
        <w:tc>
          <w:tcPr>
            <w:tcW w:w="1050" w:type="dxa"/>
            <w:vMerge w:val="continue"/>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rPr>
            </w:pPr>
            <w:r>
              <w:rPr>
                <w:rFonts w:hint="eastAsia" w:ascii="宋体" w:hAnsi="宋体"/>
                <w:lang w:val="en-US" w:eastAsia="zh-CN"/>
              </w:rPr>
              <w:t>4</w:t>
            </w:r>
            <w:r>
              <w:rPr>
                <w:rFonts w:ascii="宋体" w:hAnsi="宋体"/>
              </w:rPr>
              <w:t>.按招标文件要求提交投标函。</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050" w:type="dxa"/>
            <w:vMerge w:val="continue"/>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rPr>
                <w:rFonts w:hint="eastAsia" w:ascii="宋体" w:hAnsi="宋体"/>
                <w:lang w:val="en-US" w:eastAsia="zh-CN"/>
              </w:rPr>
              <w:t>5</w:t>
            </w:r>
            <w:r>
              <w:rPr>
                <w:rFonts w:ascii="宋体" w:hAnsi="宋体"/>
              </w:rPr>
              <w:t>.法定代表人/负责人资格证明书及授权委托书，按对应格式文件签署、盖章(原件)。</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62" w:hRule="atLeast"/>
        </w:trPr>
        <w:tc>
          <w:tcPr>
            <w:tcW w:w="1050" w:type="dxa"/>
            <w:vMerge w:val="continue"/>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rPr>
                <w:rFonts w:hint="eastAsia" w:ascii="宋体" w:hAnsi="宋体"/>
                <w:lang w:val="en-US" w:eastAsia="zh-CN"/>
              </w:rPr>
              <w:t>6</w:t>
            </w:r>
            <w:r>
              <w:rPr>
                <w:rFonts w:ascii="宋体" w:hAnsi="宋体"/>
              </w:rPr>
              <w:t>.有效期为递交投标文件之日起90天。</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62" w:hRule="atLeast"/>
        </w:trPr>
        <w:tc>
          <w:tcPr>
            <w:tcW w:w="1050" w:type="dxa"/>
            <w:vMerge w:val="continue"/>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rPr>
            </w:pPr>
            <w:r>
              <w:rPr>
                <w:rFonts w:hint="eastAsia" w:ascii="宋体" w:hAnsi="宋体"/>
                <w:lang w:val="en-US" w:eastAsia="zh-CN"/>
              </w:rPr>
              <w:t>7</w:t>
            </w:r>
            <w:r>
              <w:rPr>
                <w:rFonts w:hint="eastAsia" w:ascii="宋体" w:hAnsi="宋体"/>
              </w:rPr>
              <w:t>.</w:t>
            </w:r>
            <w:r>
              <w:rPr>
                <w:rFonts w:hint="eastAsia" w:ascii="宋体" w:hAnsi="宋体"/>
                <w:szCs w:val="21"/>
              </w:rPr>
              <w:t xml:space="preserve"> 投标文件符合</w:t>
            </w:r>
            <w:r>
              <w:rPr>
                <w:rFonts w:ascii="宋体" w:hAnsi="宋体"/>
                <w:szCs w:val="21"/>
              </w:rPr>
              <w:t>招标文件规定要求签署、盖章</w:t>
            </w:r>
            <w:r>
              <w:rPr>
                <w:rFonts w:hint="eastAsia" w:ascii="宋体" w:hAnsi="宋体"/>
                <w:szCs w:val="21"/>
              </w:rPr>
              <w:t>。</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2" w:hRule="atLeast"/>
        </w:trPr>
        <w:tc>
          <w:tcPr>
            <w:tcW w:w="1050" w:type="dxa"/>
            <w:vMerge w:val="continue"/>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p>
        </w:tc>
        <w:tc>
          <w:tcPr>
            <w:tcW w:w="4770"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hint="eastAsia" w:ascii="宋体" w:hAnsi="宋体"/>
              </w:rPr>
            </w:pPr>
            <w:r>
              <w:rPr>
                <w:rFonts w:hint="eastAsia" w:ascii="宋体" w:hAnsi="宋体"/>
                <w:lang w:val="en-US" w:eastAsia="zh-CN"/>
              </w:rPr>
              <w:t>8</w:t>
            </w:r>
            <w:r>
              <w:rPr>
                <w:rFonts w:ascii="宋体" w:hAnsi="宋体"/>
              </w:rPr>
              <w:t>.</w:t>
            </w:r>
            <w:r>
              <w:rPr>
                <w:rFonts w:hint="eastAsia" w:ascii="宋体" w:hAnsi="宋体"/>
              </w:rPr>
              <w:t>主要参数（带★</w:t>
            </w:r>
            <w:r>
              <w:rPr>
                <w:rFonts w:ascii="宋体" w:hAnsi="宋体"/>
              </w:rPr>
              <w:t>号</w:t>
            </w:r>
            <w:r>
              <w:rPr>
                <w:rFonts w:hint="eastAsia" w:ascii="宋体" w:hAnsi="宋体"/>
              </w:rPr>
              <w:t>条款）满足招标文件的要求。</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□通过 □不通过</w:t>
            </w:r>
          </w:p>
        </w:tc>
        <w:tc>
          <w:tcPr>
            <w:tcW w:w="1498" w:type="dxa"/>
            <w:tcBorders>
              <w:top w:val="outset" w:color="111111" w:sz="6" w:space="0"/>
              <w:left w:val="outset" w:color="111111" w:sz="6" w:space="0"/>
              <w:bottom w:val="outset" w:color="111111" w:sz="6" w:space="0"/>
              <w:right w:val="outset" w:color="111111" w:sz="6" w:space="0"/>
            </w:tcBorders>
            <w:noWrap w:val="0"/>
            <w:vAlign w:val="center"/>
          </w:tcPr>
          <w:p>
            <w:pPr>
              <w:spacing w:line="276" w:lineRule="auto"/>
              <w:rPr>
                <w:rFonts w:ascii="宋体" w:hAnsi="宋体" w:cs="宋体"/>
                <w:sz w:val="24"/>
              </w:rPr>
            </w:pPr>
            <w:r>
              <w:t>见投标文件第（ ）页</w:t>
            </w:r>
          </w:p>
        </w:tc>
      </w:tr>
    </w:tbl>
    <w:p>
      <w:pPr>
        <w:pStyle w:val="20"/>
        <w:spacing w:after="0" w:line="480" w:lineRule="auto"/>
        <w:ind w:left="424" w:hanging="424" w:hangingChars="202"/>
        <w:rPr>
          <w:rFonts w:hint="eastAsia" w:ascii="宋体" w:hAnsi="宋体"/>
          <w:sz w:val="21"/>
          <w:szCs w:val="21"/>
        </w:rPr>
      </w:pPr>
      <w:r>
        <w:rPr>
          <w:rFonts w:hint="eastAsia" w:ascii="宋体" w:hAnsi="宋体"/>
          <w:sz w:val="21"/>
          <w:szCs w:val="21"/>
        </w:rPr>
        <w:t>注：以上材料将作为投标供应商有效性审核的重要内容之一，投标供应商必须严格按照其内容及序列要求在投标文件中对应如实提供，对资格性和符合性证明文件的任何缺漏和不符合项将会直接导致无效投标！投标供应商根据自查结论在对应的□打“√”。</w:t>
      </w:r>
    </w:p>
    <w:p>
      <w:pPr>
        <w:pStyle w:val="20"/>
        <w:spacing w:after="0" w:line="480" w:lineRule="auto"/>
        <w:ind w:left="424" w:hanging="424" w:hangingChars="202"/>
        <w:rPr>
          <w:rFonts w:hint="eastAsia" w:ascii="宋体" w:hAnsi="宋体"/>
          <w:sz w:val="21"/>
          <w:szCs w:val="21"/>
        </w:rPr>
      </w:pPr>
    </w:p>
    <w:p>
      <w:pPr>
        <w:spacing w:line="480" w:lineRule="auto"/>
        <w:ind w:leftChars="-85" w:hanging="178" w:hangingChars="85"/>
        <w:rPr>
          <w:rFonts w:hint="eastAsia" w:ascii="宋体" w:hAnsi="宋体"/>
        </w:rPr>
      </w:pPr>
      <w:r>
        <w:rPr>
          <w:rFonts w:hint="eastAsia" w:ascii="宋体" w:hAnsi="宋体"/>
        </w:rPr>
        <w:t>投 标 人（盖章）：</w:t>
      </w:r>
    </w:p>
    <w:p>
      <w:pPr>
        <w:spacing w:line="480" w:lineRule="auto"/>
        <w:ind w:leftChars="-85" w:hanging="178" w:hangingChars="85"/>
        <w:rPr>
          <w:rFonts w:hint="eastAsia" w:ascii="宋体" w:hAnsi="宋体"/>
        </w:rPr>
      </w:pPr>
      <w:r>
        <w:rPr>
          <w:rFonts w:hint="eastAsia" w:ascii="宋体" w:hAnsi="宋体"/>
        </w:rPr>
        <w:t>授权代表（签字）：</w:t>
      </w:r>
    </w:p>
    <w:p>
      <w:pPr>
        <w:spacing w:line="480" w:lineRule="auto"/>
        <w:ind w:leftChars="-85" w:hanging="178" w:hangingChars="85"/>
        <w:rPr>
          <w:rFonts w:ascii="宋体" w:hAnsi="宋体"/>
        </w:rPr>
      </w:pPr>
      <w:r>
        <w:rPr>
          <w:rFonts w:hint="eastAsia" w:ascii="宋体" w:hAnsi="宋体"/>
        </w:rPr>
        <w:t>日    期：    年   月   日</w:t>
      </w:r>
    </w:p>
    <w:p>
      <w:pPr>
        <w:spacing w:line="360" w:lineRule="auto"/>
        <w:rPr>
          <w:rFonts w:hint="eastAsia" w:ascii="宋体" w:hAnsi="宋体"/>
          <w:b/>
          <w:bCs/>
          <w:color w:val="000000"/>
          <w:sz w:val="28"/>
          <w:szCs w:val="28"/>
        </w:rPr>
      </w:pPr>
      <w:r>
        <w:rPr>
          <w:rFonts w:ascii="宋体" w:hAnsi="宋体"/>
        </w:rPr>
        <w:br w:type="page"/>
      </w:r>
      <w:r>
        <w:rPr>
          <w:rFonts w:hint="eastAsia" w:ascii="宋体" w:hAnsi="宋体"/>
          <w:b/>
          <w:bCs/>
          <w:color w:val="000000"/>
          <w:sz w:val="28"/>
          <w:szCs w:val="28"/>
          <w:lang w:val="en-US" w:eastAsia="zh-CN"/>
        </w:rPr>
        <w:t>3</w:t>
      </w:r>
      <w:r>
        <w:rPr>
          <w:rFonts w:hint="eastAsia" w:ascii="宋体" w:hAnsi="宋体"/>
          <w:b/>
          <w:bCs/>
          <w:color w:val="000000"/>
          <w:sz w:val="28"/>
          <w:szCs w:val="28"/>
        </w:rPr>
        <w:t>.2技术评审自查表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44"/>
        <w:gridCol w:w="415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b/>
                <w:szCs w:val="21"/>
              </w:rPr>
            </w:pPr>
            <w:r>
              <w:rPr>
                <w:rFonts w:hint="eastAsia" w:ascii="宋体" w:hAnsi="宋体"/>
                <w:b/>
                <w:szCs w:val="21"/>
              </w:rPr>
              <w:t>序号</w:t>
            </w:r>
          </w:p>
        </w:tc>
        <w:tc>
          <w:tcPr>
            <w:tcW w:w="1944" w:type="dxa"/>
            <w:noWrap w:val="0"/>
            <w:vAlign w:val="center"/>
          </w:tcPr>
          <w:p>
            <w:pPr>
              <w:jc w:val="center"/>
              <w:rPr>
                <w:rFonts w:hint="eastAsia" w:ascii="宋体" w:hAnsi="宋体"/>
                <w:b/>
                <w:szCs w:val="21"/>
              </w:rPr>
            </w:pPr>
            <w:r>
              <w:rPr>
                <w:rFonts w:hint="eastAsia" w:ascii="宋体" w:hAnsi="宋体"/>
                <w:b/>
                <w:szCs w:val="21"/>
              </w:rPr>
              <w:t>评审分项</w:t>
            </w:r>
          </w:p>
        </w:tc>
        <w:tc>
          <w:tcPr>
            <w:tcW w:w="4155" w:type="dxa"/>
            <w:noWrap w:val="0"/>
            <w:vAlign w:val="center"/>
          </w:tcPr>
          <w:p>
            <w:pPr>
              <w:jc w:val="center"/>
              <w:rPr>
                <w:rFonts w:hint="eastAsia" w:ascii="宋体" w:hAnsi="宋体"/>
                <w:b/>
                <w:szCs w:val="21"/>
              </w:rPr>
            </w:pPr>
            <w:r>
              <w:rPr>
                <w:rFonts w:hint="eastAsia" w:ascii="宋体" w:hAnsi="宋体"/>
                <w:b/>
                <w:szCs w:val="21"/>
              </w:rPr>
              <w:t>内容</w:t>
            </w:r>
          </w:p>
        </w:tc>
        <w:tc>
          <w:tcPr>
            <w:tcW w:w="2250" w:type="dxa"/>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1</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2</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3</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4</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5</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6</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7</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8</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9</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w:t>
            </w:r>
          </w:p>
        </w:tc>
        <w:tc>
          <w:tcPr>
            <w:tcW w:w="1944" w:type="dxa"/>
            <w:noWrap w:val="0"/>
            <w:vAlign w:val="center"/>
          </w:tcPr>
          <w:p>
            <w:pPr>
              <w:jc w:val="center"/>
              <w:rPr>
                <w:rFonts w:hint="eastAsia" w:ascii="宋体" w:hAnsi="宋体"/>
                <w:szCs w:val="21"/>
              </w:rPr>
            </w:pPr>
          </w:p>
        </w:tc>
        <w:tc>
          <w:tcPr>
            <w:tcW w:w="4155" w:type="dxa"/>
            <w:noWrap w:val="0"/>
            <w:vAlign w:val="center"/>
          </w:tcPr>
          <w:p>
            <w:pPr>
              <w:jc w:val="center"/>
              <w:rPr>
                <w:rFonts w:hint="eastAsia" w:ascii="宋体" w:hAnsi="宋体"/>
                <w:szCs w:val="21"/>
              </w:rPr>
            </w:pPr>
          </w:p>
        </w:tc>
        <w:tc>
          <w:tcPr>
            <w:tcW w:w="2250" w:type="dxa"/>
            <w:noWrap w:val="0"/>
            <w:vAlign w:val="center"/>
          </w:tcPr>
          <w:p>
            <w:pPr>
              <w:rPr>
                <w:rFonts w:hint="eastAsia" w:ascii="宋体" w:hAnsi="宋体"/>
                <w:szCs w:val="21"/>
              </w:rPr>
            </w:pPr>
          </w:p>
        </w:tc>
      </w:tr>
    </w:tbl>
    <w:p>
      <w:pPr>
        <w:pStyle w:val="20"/>
        <w:spacing w:after="0" w:line="48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投标人应根据《技术评审表》的各项内容填写此表</w:t>
      </w:r>
      <w:r>
        <w:rPr>
          <w:rFonts w:hint="eastAsia" w:ascii="宋体" w:hAnsi="宋体"/>
          <w:sz w:val="21"/>
          <w:szCs w:val="21"/>
          <w:lang w:val="en-GB"/>
        </w:rPr>
        <w:t>。</w:t>
      </w:r>
    </w:p>
    <w:p>
      <w:pPr>
        <w:spacing w:line="480" w:lineRule="auto"/>
        <w:ind w:leftChars="-85" w:hanging="178" w:hangingChars="85"/>
        <w:rPr>
          <w:rFonts w:hint="eastAsia" w:ascii="宋体" w:hAnsi="宋体"/>
        </w:rPr>
      </w:pPr>
    </w:p>
    <w:p>
      <w:pPr>
        <w:spacing w:line="480" w:lineRule="auto"/>
        <w:ind w:leftChars="-85" w:hanging="178" w:hangingChars="85"/>
        <w:rPr>
          <w:rFonts w:hint="eastAsia" w:ascii="宋体" w:hAnsi="宋体"/>
        </w:rPr>
      </w:pPr>
    </w:p>
    <w:p>
      <w:pPr>
        <w:spacing w:line="480" w:lineRule="auto"/>
        <w:ind w:leftChars="-85" w:hanging="178" w:hangingChars="85"/>
        <w:rPr>
          <w:rFonts w:hint="eastAsia" w:ascii="宋体" w:hAnsi="宋体"/>
        </w:rPr>
      </w:pPr>
      <w:r>
        <w:rPr>
          <w:rFonts w:hint="eastAsia" w:ascii="宋体" w:hAnsi="宋体"/>
        </w:rPr>
        <w:t>投 标 人（盖章）：</w:t>
      </w:r>
    </w:p>
    <w:p>
      <w:pPr>
        <w:spacing w:line="480" w:lineRule="auto"/>
        <w:ind w:leftChars="-85" w:hanging="178" w:hangingChars="85"/>
        <w:rPr>
          <w:rFonts w:hint="eastAsia" w:ascii="宋体" w:hAnsi="宋体"/>
        </w:rPr>
      </w:pPr>
      <w:r>
        <w:rPr>
          <w:rFonts w:hint="eastAsia" w:ascii="宋体" w:hAnsi="宋体"/>
        </w:rPr>
        <w:t>授权代表（签字）：</w:t>
      </w:r>
    </w:p>
    <w:p>
      <w:pPr>
        <w:spacing w:line="480" w:lineRule="auto"/>
        <w:ind w:leftChars="-85" w:hanging="178" w:hangingChars="85"/>
        <w:rPr>
          <w:rFonts w:ascii="宋体" w:hAnsi="宋体"/>
        </w:rPr>
      </w:pPr>
      <w:r>
        <w:rPr>
          <w:rFonts w:hint="eastAsia" w:ascii="宋体" w:hAnsi="宋体"/>
        </w:rPr>
        <w:t>日    期：    年   月   日</w:t>
      </w:r>
    </w:p>
    <w:p>
      <w:pPr>
        <w:spacing w:line="480" w:lineRule="auto"/>
        <w:rPr>
          <w:rFonts w:hint="eastAsia" w:ascii="仿宋_GB2312" w:eastAsia="仿宋_GB2312"/>
          <w:b/>
          <w:color w:val="FF0000"/>
          <w:sz w:val="30"/>
          <w:szCs w:val="30"/>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p>
    <w:p>
      <w:pPr>
        <w:spacing w:line="360" w:lineRule="auto"/>
        <w:ind w:leftChars="-85" w:hanging="239" w:hangingChars="85"/>
        <w:rPr>
          <w:rFonts w:hint="eastAsia" w:ascii="宋体" w:hAnsi="宋体"/>
          <w:b/>
          <w:bCs/>
          <w:color w:val="000000"/>
          <w:sz w:val="28"/>
          <w:szCs w:val="28"/>
        </w:rPr>
      </w:pPr>
      <w:r>
        <w:rPr>
          <w:rFonts w:hint="eastAsia" w:ascii="宋体" w:hAnsi="宋体"/>
          <w:b/>
          <w:bCs/>
          <w:color w:val="000000"/>
          <w:sz w:val="28"/>
          <w:szCs w:val="28"/>
          <w:lang w:val="en-US" w:eastAsia="zh-CN"/>
        </w:rPr>
        <w:t>3</w:t>
      </w:r>
      <w:r>
        <w:rPr>
          <w:rFonts w:hint="eastAsia" w:ascii="宋体" w:hAnsi="宋体"/>
          <w:b/>
          <w:bCs/>
          <w:color w:val="000000"/>
          <w:sz w:val="28"/>
          <w:szCs w:val="28"/>
        </w:rPr>
        <w:t>.3商务评审自查表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44"/>
        <w:gridCol w:w="335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b/>
                <w:szCs w:val="21"/>
              </w:rPr>
            </w:pPr>
            <w:r>
              <w:rPr>
                <w:rFonts w:hint="eastAsia" w:ascii="宋体" w:hAnsi="宋体"/>
                <w:b/>
                <w:szCs w:val="21"/>
              </w:rPr>
              <w:t>序号</w:t>
            </w:r>
          </w:p>
        </w:tc>
        <w:tc>
          <w:tcPr>
            <w:tcW w:w="1944" w:type="dxa"/>
            <w:noWrap w:val="0"/>
            <w:vAlign w:val="center"/>
          </w:tcPr>
          <w:p>
            <w:pPr>
              <w:jc w:val="center"/>
              <w:rPr>
                <w:rFonts w:hint="eastAsia" w:ascii="宋体" w:hAnsi="宋体"/>
                <w:b/>
                <w:szCs w:val="21"/>
              </w:rPr>
            </w:pPr>
            <w:r>
              <w:rPr>
                <w:rFonts w:hint="eastAsia" w:ascii="宋体" w:hAnsi="宋体"/>
                <w:b/>
                <w:szCs w:val="21"/>
              </w:rPr>
              <w:t>评审分项</w:t>
            </w:r>
          </w:p>
        </w:tc>
        <w:tc>
          <w:tcPr>
            <w:tcW w:w="3355" w:type="dxa"/>
            <w:noWrap w:val="0"/>
            <w:vAlign w:val="center"/>
          </w:tcPr>
          <w:p>
            <w:pPr>
              <w:jc w:val="center"/>
              <w:rPr>
                <w:rFonts w:hint="eastAsia" w:ascii="宋体" w:hAnsi="宋体"/>
                <w:b/>
                <w:szCs w:val="21"/>
              </w:rPr>
            </w:pPr>
            <w:r>
              <w:rPr>
                <w:rFonts w:hint="eastAsia" w:ascii="宋体" w:hAnsi="宋体"/>
                <w:b/>
                <w:szCs w:val="21"/>
              </w:rPr>
              <w:t>内容</w:t>
            </w:r>
          </w:p>
        </w:tc>
        <w:tc>
          <w:tcPr>
            <w:tcW w:w="3050" w:type="dxa"/>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1</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2</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3</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4</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5</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6</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7</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8</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9</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8" w:type="dxa"/>
            <w:noWrap w:val="0"/>
            <w:vAlign w:val="center"/>
          </w:tcPr>
          <w:p>
            <w:pPr>
              <w:jc w:val="center"/>
              <w:rPr>
                <w:rFonts w:hint="eastAsia" w:ascii="宋体" w:hAnsi="宋体"/>
                <w:szCs w:val="21"/>
              </w:rPr>
            </w:pPr>
            <w:r>
              <w:rPr>
                <w:rFonts w:hint="eastAsia" w:ascii="宋体" w:hAnsi="宋体"/>
                <w:szCs w:val="21"/>
              </w:rPr>
              <w:t>…</w:t>
            </w:r>
          </w:p>
        </w:tc>
        <w:tc>
          <w:tcPr>
            <w:tcW w:w="1944" w:type="dxa"/>
            <w:noWrap w:val="0"/>
            <w:vAlign w:val="center"/>
          </w:tcPr>
          <w:p>
            <w:pPr>
              <w:jc w:val="center"/>
              <w:rPr>
                <w:rFonts w:hint="eastAsia" w:ascii="宋体" w:hAnsi="宋体"/>
                <w:szCs w:val="21"/>
              </w:rPr>
            </w:pPr>
          </w:p>
        </w:tc>
        <w:tc>
          <w:tcPr>
            <w:tcW w:w="3355" w:type="dxa"/>
            <w:noWrap w:val="0"/>
            <w:vAlign w:val="center"/>
          </w:tcPr>
          <w:p>
            <w:pPr>
              <w:jc w:val="center"/>
              <w:rPr>
                <w:rFonts w:hint="eastAsia" w:ascii="宋体" w:hAnsi="宋体"/>
                <w:szCs w:val="21"/>
              </w:rPr>
            </w:pPr>
          </w:p>
        </w:tc>
        <w:tc>
          <w:tcPr>
            <w:tcW w:w="3050" w:type="dxa"/>
            <w:noWrap w:val="0"/>
            <w:vAlign w:val="center"/>
          </w:tcPr>
          <w:p>
            <w:pPr>
              <w:rPr>
                <w:rFonts w:hint="eastAsia" w:ascii="宋体" w:hAnsi="宋体"/>
                <w:szCs w:val="21"/>
              </w:rPr>
            </w:pPr>
          </w:p>
        </w:tc>
      </w:tr>
    </w:tbl>
    <w:p>
      <w:pPr>
        <w:pStyle w:val="20"/>
        <w:spacing w:after="0" w:line="480" w:lineRule="auto"/>
        <w:ind w:left="424" w:hanging="424" w:hangingChars="202"/>
        <w:rPr>
          <w:rFonts w:hint="eastAsia" w:ascii="宋体" w:hAnsi="宋体"/>
          <w:szCs w:val="21"/>
          <w:lang w:val="en-GB"/>
        </w:rPr>
      </w:pPr>
      <w:r>
        <w:rPr>
          <w:rFonts w:hint="eastAsia" w:ascii="宋体" w:hAnsi="宋体"/>
          <w:sz w:val="21"/>
          <w:szCs w:val="21"/>
          <w:lang w:val="en-GB"/>
        </w:rPr>
        <w:t>注：投标</w:t>
      </w:r>
      <w:r>
        <w:rPr>
          <w:rFonts w:hint="eastAsia" w:ascii="宋体" w:hAnsi="宋体"/>
          <w:sz w:val="21"/>
          <w:szCs w:val="21"/>
        </w:rPr>
        <w:t>人</w:t>
      </w:r>
      <w:r>
        <w:rPr>
          <w:rFonts w:hint="eastAsia" w:ascii="宋体" w:hAnsi="宋体"/>
          <w:sz w:val="21"/>
          <w:szCs w:val="21"/>
          <w:lang w:val="en-GB"/>
        </w:rPr>
        <w:t>应根据《商务评审表》的各项内容填写此表。</w:t>
      </w:r>
    </w:p>
    <w:p>
      <w:pPr>
        <w:pStyle w:val="22"/>
        <w:spacing w:line="480" w:lineRule="auto"/>
        <w:rPr>
          <w:rFonts w:hint="eastAsia" w:ascii="宋体" w:hAnsi="宋体"/>
          <w:szCs w:val="21"/>
          <w:lang w:val="en-GB"/>
        </w:rPr>
      </w:pPr>
    </w:p>
    <w:p>
      <w:pPr>
        <w:pStyle w:val="22"/>
        <w:spacing w:line="480" w:lineRule="auto"/>
        <w:rPr>
          <w:rFonts w:hint="eastAsia" w:ascii="宋体" w:hAnsi="宋体"/>
          <w:szCs w:val="21"/>
          <w:lang w:val="en-GB"/>
        </w:rPr>
      </w:pPr>
    </w:p>
    <w:p>
      <w:pPr>
        <w:pStyle w:val="22"/>
        <w:spacing w:line="480" w:lineRule="auto"/>
        <w:rPr>
          <w:rFonts w:hint="eastAsia" w:ascii="宋体" w:hAnsi="宋体"/>
          <w:szCs w:val="21"/>
          <w:lang w:val="en-GB"/>
        </w:rPr>
      </w:pPr>
    </w:p>
    <w:p>
      <w:pPr>
        <w:spacing w:line="480" w:lineRule="auto"/>
        <w:ind w:leftChars="-85" w:hanging="178" w:hangingChars="85"/>
        <w:rPr>
          <w:rFonts w:hint="eastAsia" w:ascii="宋体" w:hAnsi="宋体"/>
        </w:rPr>
      </w:pPr>
      <w:r>
        <w:rPr>
          <w:rFonts w:hint="eastAsia" w:ascii="宋体" w:hAnsi="宋体"/>
        </w:rPr>
        <w:t>投 标 人（盖章）：</w:t>
      </w:r>
    </w:p>
    <w:p>
      <w:pPr>
        <w:spacing w:line="480" w:lineRule="auto"/>
        <w:ind w:leftChars="-85" w:hanging="178" w:hangingChars="85"/>
        <w:rPr>
          <w:rFonts w:hint="eastAsia" w:ascii="宋体" w:hAnsi="宋体"/>
        </w:rPr>
      </w:pPr>
      <w:r>
        <w:rPr>
          <w:rFonts w:hint="eastAsia" w:ascii="宋体" w:hAnsi="宋体"/>
        </w:rPr>
        <w:t>授权代表（签字）：</w:t>
      </w:r>
    </w:p>
    <w:p>
      <w:pPr>
        <w:spacing w:line="480" w:lineRule="auto"/>
        <w:ind w:leftChars="-85" w:hanging="178" w:hangingChars="85"/>
        <w:rPr>
          <w:rFonts w:ascii="宋体" w:hAnsi="宋体"/>
        </w:rPr>
      </w:pPr>
      <w:r>
        <w:rPr>
          <w:rFonts w:hint="eastAsia" w:ascii="宋体" w:hAnsi="宋体"/>
        </w:rPr>
        <w:t>日    期：    年   月   日</w:t>
      </w:r>
    </w:p>
    <w:p>
      <w:pPr>
        <w:pStyle w:val="4"/>
        <w:spacing w:line="480" w:lineRule="auto"/>
        <w:jc w:val="center"/>
        <w:rPr>
          <w:rFonts w:hint="eastAsia" w:ascii="华文新魏" w:hAnsi="华文新魏" w:eastAsia="华文新魏" w:cs="华文新魏"/>
          <w:bCs/>
          <w:kern w:val="0"/>
          <w:sz w:val="44"/>
          <w:szCs w:val="44"/>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p>
    <w:p>
      <w:pPr>
        <w:pStyle w:val="4"/>
        <w:spacing w:line="360" w:lineRule="auto"/>
        <w:jc w:val="center"/>
        <w:rPr>
          <w:rFonts w:ascii="华文新魏" w:hAnsi="华文新魏" w:eastAsia="华文新魏" w:cs="华文新魏"/>
          <w:b/>
          <w:bCs/>
          <w:kern w:val="0"/>
          <w:sz w:val="44"/>
          <w:szCs w:val="44"/>
        </w:rPr>
      </w:pPr>
      <w:r>
        <w:rPr>
          <w:rFonts w:hint="eastAsia" w:ascii="华文新魏" w:hAnsi="华文新魏" w:eastAsia="华文新魏" w:cs="华文新魏"/>
          <w:b/>
          <w:bCs/>
          <w:kern w:val="0"/>
          <w:sz w:val="44"/>
          <w:szCs w:val="44"/>
          <w:lang w:eastAsia="zh-CN"/>
        </w:rPr>
        <w:t>四</w:t>
      </w:r>
      <w:r>
        <w:rPr>
          <w:rFonts w:hint="eastAsia" w:ascii="华文新魏" w:hAnsi="华文新魏" w:eastAsia="华文新魏" w:cs="华文新魏"/>
          <w:b/>
          <w:bCs/>
          <w:kern w:val="0"/>
          <w:sz w:val="44"/>
          <w:szCs w:val="44"/>
        </w:rPr>
        <w:t>、法定代表人资格证明书</w:t>
      </w:r>
    </w:p>
    <w:p>
      <w:pPr>
        <w:spacing w:line="480" w:lineRule="auto"/>
        <w:rPr>
          <w:sz w:val="24"/>
        </w:rPr>
      </w:pPr>
    </w:p>
    <w:p>
      <w:pPr>
        <w:spacing w:line="480" w:lineRule="auto"/>
        <w:ind w:firstLine="1470" w:firstLineChars="700"/>
        <w:rPr>
          <w:szCs w:val="21"/>
        </w:rPr>
      </w:pPr>
      <w:r>
        <w:rPr>
          <w:rFonts w:hint="eastAsia"/>
          <w:szCs w:val="21"/>
        </w:rPr>
        <w:t>，现任我单位职务，为法定代表人，特此证明。</w:t>
      </w:r>
    </w:p>
    <w:p>
      <w:pPr>
        <w:spacing w:line="480" w:lineRule="auto"/>
        <w:rPr>
          <w:szCs w:val="21"/>
        </w:rPr>
      </w:pPr>
      <w:r>
        <w:rPr>
          <w:rFonts w:hint="eastAsia"/>
          <w:szCs w:val="21"/>
        </w:rPr>
        <w:t>有效日期：         签发日期：         单位：                      （公章）</w:t>
      </w:r>
    </w:p>
    <w:p>
      <w:pPr>
        <w:spacing w:line="480" w:lineRule="auto"/>
        <w:rPr>
          <w:szCs w:val="21"/>
        </w:rPr>
      </w:pPr>
      <w:r>
        <w:rPr>
          <w:rFonts w:hint="eastAsia"/>
          <w:szCs w:val="21"/>
        </w:rPr>
        <w:t>附：</w:t>
      </w:r>
    </w:p>
    <w:p>
      <w:pPr>
        <w:spacing w:line="480" w:lineRule="auto"/>
        <w:rPr>
          <w:szCs w:val="21"/>
        </w:rPr>
      </w:pPr>
      <w:r>
        <w:rPr>
          <w:rFonts w:hint="eastAsia"/>
          <w:szCs w:val="21"/>
        </w:rPr>
        <w:t xml:space="preserve">营业执照号码：                </w:t>
      </w:r>
    </w:p>
    <w:p>
      <w:pPr>
        <w:spacing w:line="480" w:lineRule="auto"/>
        <w:rPr>
          <w:szCs w:val="21"/>
        </w:rPr>
      </w:pPr>
      <w:r>
        <w:rPr>
          <w:rFonts w:hint="eastAsia"/>
          <w:szCs w:val="21"/>
        </w:rPr>
        <w:t>主营：</w:t>
      </w:r>
    </w:p>
    <w:p>
      <w:pPr>
        <w:spacing w:line="480" w:lineRule="auto"/>
        <w:rPr>
          <w:szCs w:val="21"/>
        </w:rPr>
      </w:pPr>
      <w:r>
        <w:rPr>
          <w:rFonts w:hint="eastAsia"/>
          <w:szCs w:val="21"/>
        </w:rPr>
        <w:t>兼营：</w:t>
      </w:r>
    </w:p>
    <w:p>
      <w:pPr>
        <w:spacing w:line="480" w:lineRule="auto"/>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480" w:lineRule="auto"/>
        <w:rPr>
          <w:rFonts w:ascii="宋体" w:hAns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480" w:lineRule="auto"/>
        <w:ind w:firstLine="630" w:firstLineChars="300"/>
        <w:rPr>
          <w:rFonts w:ascii="宋体" w:hAnsi="宋体"/>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480" w:lineRule="auto"/>
        <w:rPr>
          <w:rFonts w:ascii="宋体" w:hAnsi="宋体"/>
          <w:szCs w:val="21"/>
        </w:rPr>
      </w:pPr>
    </w:p>
    <w:p>
      <w:pPr>
        <w:spacing w:line="480" w:lineRule="auto"/>
        <w:rPr>
          <w:rFonts w:ascii="宋体" w:hAnsi="宋体"/>
          <w:b/>
          <w:szCs w:val="21"/>
        </w:rPr>
      </w:pPr>
      <w:r>
        <w:rPr>
          <w:rFonts w:ascii="宋体" w:hAnsi="宋体"/>
          <w:szCs w:val="21"/>
        </w:rPr>
        <w:t xml:space="preserve"> </w:t>
      </w:r>
      <w:r>
        <w:rPr>
          <w:rFonts w:ascii="宋体" w:hAnsi="宋体"/>
          <w:b/>
          <w:szCs w:val="21"/>
        </w:rPr>
        <w:t xml:space="preserve"> (为避免废标，请供应商务必提供本附件)</w:t>
      </w:r>
    </w:p>
    <w:p>
      <w:pPr>
        <w:pStyle w:val="2"/>
      </w:pPr>
    </w:p>
    <w:p/>
    <w:p>
      <w:pPr>
        <w:pStyle w:val="2"/>
      </w:pPr>
    </w:p>
    <w:p/>
    <w:p>
      <w:pPr>
        <w:pStyle w:val="2"/>
      </w:pPr>
    </w:p>
    <w:p/>
    <w:p>
      <w:pPr>
        <w:pStyle w:val="2"/>
        <w:rPr>
          <w:b/>
          <w:bCs/>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1163955</wp:posOffset>
                </wp:positionH>
                <wp:positionV relativeFrom="paragraph">
                  <wp:posOffset>6350</wp:posOffset>
                </wp:positionV>
                <wp:extent cx="2493010" cy="1637030"/>
                <wp:effectExtent l="6350" t="6350" r="15240" b="13970"/>
                <wp:wrapNone/>
                <wp:docPr id="3" name="圆角矩形 3"/>
                <wp:cNvGraphicFramePr/>
                <a:graphic xmlns:a="http://schemas.openxmlformats.org/drawingml/2006/main">
                  <a:graphicData uri="http://schemas.microsoft.com/office/word/2010/wordprocessingShape">
                    <wps:wsp>
                      <wps:cNvSpPr/>
                      <wps:spPr>
                        <a:xfrm>
                          <a:off x="1697990" y="5579745"/>
                          <a:ext cx="2493010" cy="1637030"/>
                        </a:xfrm>
                        <a:prstGeom prst="roundRect">
                          <a:avLst/>
                        </a:prstGeom>
                        <a:noFill/>
                        <a:ln>
                          <a:solidFill>
                            <a:schemeClr val="tx1">
                              <a:lumMod val="50000"/>
                              <a:lumOff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1.65pt;margin-top:0.5pt;height:128.9pt;width:196.3pt;z-index:251659264;v-text-anchor:middle;mso-width-relative:page;mso-height-relative:page;" filled="f" stroked="t" coordsize="21600,21600" arcsize="0.166666666666667" o:gfxdata="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3qY0i1QAAAAkBAAAPAAAAAAAAAAEAIAAAACIAAABkcnMvZG93bnJldi54bWxQ&#10;SwECFAAUAAAACACHTuJAHv+t4aUCAAAnBQAADgAAAAAAAAABACAAAAAkAQAAZHJzL2Uyb0RvYy54&#10;bWxQSwUGAAAAAAYABgBZAQAAOwYAAAAA&#10;">
                <v:fill on="f" focussize="0,0"/>
                <v:stroke weight="1pt" color="#808080 [1629]" miterlimit="8" joinstyle="miter"/>
                <v:imagedata o:title=""/>
                <o:lock v:ext="edit" aspectratio="f"/>
                <v:textbox>
                  <w:txbxContent>
                    <w:p>
                      <w:pPr>
                        <w:jc w:val="center"/>
                      </w:pPr>
                    </w:p>
                  </w:txbxContent>
                </v:textbox>
              </v:roundrect>
            </w:pict>
          </mc:Fallback>
        </mc:AlternateContent>
      </w:r>
      <w:r>
        <w:rPr>
          <w:rFonts w:ascii="宋体" w:hAnsi="宋体"/>
          <w:b/>
          <w:szCs w:val="21"/>
        </w:rPr>
        <mc:AlternateContent>
          <mc:Choice Requires="wps">
            <w:drawing>
              <wp:anchor distT="0" distB="0" distL="114300" distR="114300" simplePos="0" relativeHeight="251659264" behindDoc="0" locked="0" layoutInCell="1" allowOverlap="1">
                <wp:simplePos x="0" y="0"/>
                <wp:positionH relativeFrom="column">
                  <wp:posOffset>2668905</wp:posOffset>
                </wp:positionH>
                <wp:positionV relativeFrom="paragraph">
                  <wp:posOffset>7121525</wp:posOffset>
                </wp:positionV>
                <wp:extent cx="2437765" cy="1584325"/>
                <wp:effectExtent l="4445" t="4445" r="15240" b="11430"/>
                <wp:wrapNone/>
                <wp:docPr id="2" name="流程图: 可选过程 2"/>
                <wp:cNvGraphicFramePr/>
                <a:graphic xmlns:a="http://schemas.openxmlformats.org/drawingml/2006/main">
                  <a:graphicData uri="http://schemas.microsoft.com/office/word/2010/wordprocessingShape">
                    <wps:wsp>
                      <wps:cNvSpPr/>
                      <wps:spPr>
                        <a:xfrm>
                          <a:off x="0" y="0"/>
                          <a:ext cx="243776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210.15pt;margin-top:560.75pt;height:124.75pt;width:191.95pt;z-index:251659264;mso-width-relative:page;mso-height-relative:page;" fillcolor="#FFFFFF" filled="t" stroked="t" coordsize="21600,21600" o:gfxdata="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IIUANkAAAANAQAADwAAAAAAAAABACAAAAAiAAAAZHJzL2Rvd25yZXYueG1sUEsBAhQA&#10;FAAAAAgAh07iQLgvprEqAgAAUAQAAA4AAAAAAAAAAQAgAAAAKAEAAGRycy9lMm9Eb2MueG1sUEsF&#10;BgAAAAAGAAYAWQEAAMQ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rFonts w:hint="eastAsia" w:eastAsia="宋体"/>
          <w:lang w:val="en-US" w:eastAsia="zh-CN"/>
        </w:rPr>
      </w:pPr>
      <w:r>
        <w:rPr>
          <w:rFonts w:hint="eastAsia"/>
          <w:lang w:val="en-US" w:eastAsia="zh-CN"/>
        </w:rPr>
        <w:t xml:space="preserve"> </w:t>
      </w:r>
    </w:p>
    <w:p>
      <w:pPr>
        <w:spacing w:line="360" w:lineRule="auto"/>
        <w:ind w:firstLine="1260" w:firstLineChars="600"/>
        <w:rPr>
          <w:rFonts w:hint="eastAsia" w:hAnsi="宋体"/>
          <w:szCs w:val="21"/>
        </w:rPr>
      </w:pPr>
    </w:p>
    <w:p>
      <w:pPr>
        <w:spacing w:line="360" w:lineRule="auto"/>
        <w:ind w:firstLine="2100" w:firstLineChars="1000"/>
        <w:rPr>
          <w:rFonts w:hint="eastAsia" w:hAnsi="宋体"/>
          <w:szCs w:val="21"/>
        </w:rPr>
      </w:pPr>
    </w:p>
    <w:p>
      <w:pPr>
        <w:spacing w:line="360" w:lineRule="auto"/>
        <w:ind w:firstLine="2100" w:firstLineChars="1000"/>
        <w:rPr>
          <w:rFonts w:hint="eastAsia" w:ascii="华文新魏" w:hAnsi="华文新魏" w:eastAsia="华文新魏" w:cs="华文新魏"/>
          <w:b/>
          <w:bCs/>
          <w:kern w:val="0"/>
          <w:sz w:val="44"/>
          <w:szCs w:val="44"/>
          <w:lang w:eastAsia="zh-CN"/>
        </w:rPr>
      </w:pPr>
      <w:r>
        <w:rPr>
          <w:rFonts w:hint="eastAsia" w:hAnsi="宋体"/>
          <w:szCs w:val="21"/>
        </w:rPr>
        <w:t>法定代表人身份证复印件（正、反面</w:t>
      </w:r>
      <w:r>
        <w:rPr>
          <w:rFonts w:ascii="宋体" w:hAnsi="宋体"/>
          <w:b/>
          <w:szCs w:val="21"/>
        </w:rPr>
        <mc:AlternateContent>
          <mc:Choice Requires="wps">
            <w:drawing>
              <wp:anchor distT="0" distB="0" distL="114300" distR="114300" simplePos="0" relativeHeight="251658240" behindDoc="0" locked="0" layoutInCell="1" allowOverlap="1">
                <wp:simplePos x="0" y="0"/>
                <wp:positionH relativeFrom="column">
                  <wp:posOffset>2668905</wp:posOffset>
                </wp:positionH>
                <wp:positionV relativeFrom="paragraph">
                  <wp:posOffset>7121525</wp:posOffset>
                </wp:positionV>
                <wp:extent cx="2437765" cy="1584325"/>
                <wp:effectExtent l="4445" t="4445" r="15240" b="11430"/>
                <wp:wrapNone/>
                <wp:docPr id="1" name="流程图: 可选过程 1"/>
                <wp:cNvGraphicFramePr/>
                <a:graphic xmlns:a="http://schemas.openxmlformats.org/drawingml/2006/main">
                  <a:graphicData uri="http://schemas.microsoft.com/office/word/2010/wordprocessingShape">
                    <wps:wsp>
                      <wps:cNvSpPr/>
                      <wps:spPr>
                        <a:xfrm>
                          <a:off x="0" y="0"/>
                          <a:ext cx="243776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210.15pt;margin-top:560.75pt;height:124.75pt;width:191.95pt;z-index:251658240;mso-width-relative:page;mso-height-relative:page;" fillcolor="#FFFFFF" filled="t" stroked="t" coordsize="21600,21600" o:gfxdata="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IIUANkAAAANAQAADwAAAAAAAAABACAAAAAiAAAAZHJzL2Rvd25yZXYueG1sUEsBAhQA&#10;FAAAAAgAh07iQF+h7lQqAgAAUAQAAA4AAAAAAAAAAQAgAAAAKAEAAGRycy9lMm9Eb2MueG1sUEsF&#10;BgAAAAAGAAYAWQEAAMQ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v:textbox>
              </v:shape>
            </w:pict>
          </mc:Fallback>
        </mc:AlternateContent>
      </w:r>
      <w:r>
        <w:rPr>
          <w:rFonts w:hint="eastAsia" w:hAnsi="宋体"/>
          <w:szCs w:val="21"/>
          <w:lang w:eastAsia="zh-CN"/>
        </w:rPr>
        <w:t>）</w:t>
      </w:r>
    </w:p>
    <w:p>
      <w:pPr>
        <w:pStyle w:val="4"/>
        <w:spacing w:before="0" w:after="0" w:line="240" w:lineRule="auto"/>
        <w:jc w:val="both"/>
        <w:rPr>
          <w:rFonts w:hint="eastAsia" w:ascii="华文新魏" w:hAnsi="华文新魏" w:eastAsia="华文新魏" w:cs="华文新魏"/>
          <w:b/>
          <w:bCs/>
          <w:kern w:val="0"/>
          <w:sz w:val="44"/>
          <w:szCs w:val="44"/>
          <w:lang w:eastAsia="zh-CN"/>
        </w:rPr>
      </w:pPr>
    </w:p>
    <w:p>
      <w:pPr>
        <w:rPr>
          <w:rFonts w:hint="eastAsia"/>
          <w:lang w:eastAsia="zh-CN"/>
        </w:rPr>
      </w:pPr>
    </w:p>
    <w:p>
      <w:pPr>
        <w:pStyle w:val="2"/>
        <w:rPr>
          <w:rFonts w:hint="eastAsia"/>
          <w:lang w:eastAsia="zh-CN"/>
        </w:rPr>
      </w:pPr>
    </w:p>
    <w:p>
      <w:pPr>
        <w:rPr>
          <w:rFonts w:hint="eastAsia"/>
          <w:lang w:eastAsia="zh-CN"/>
        </w:rPr>
      </w:pPr>
    </w:p>
    <w:p>
      <w:pPr>
        <w:pStyle w:val="2"/>
        <w:jc w:val="both"/>
        <w:rPr>
          <w:rFonts w:hint="eastAsia"/>
          <w:lang w:eastAsia="zh-CN"/>
        </w:rPr>
      </w:pPr>
    </w:p>
    <w:p>
      <w:pPr>
        <w:pStyle w:val="4"/>
        <w:spacing w:before="120" w:after="120" w:line="480" w:lineRule="auto"/>
        <w:jc w:val="center"/>
        <w:rPr>
          <w:rFonts w:ascii="华文新魏" w:hAnsi="华文新魏" w:eastAsia="华文新魏" w:cs="华文新魏"/>
          <w:b/>
          <w:bCs/>
          <w:kern w:val="0"/>
          <w:sz w:val="44"/>
          <w:szCs w:val="44"/>
        </w:rPr>
      </w:pPr>
      <w:r>
        <w:rPr>
          <w:rFonts w:hint="eastAsia" w:ascii="华文新魏" w:hAnsi="华文新魏" w:eastAsia="华文新魏" w:cs="华文新魏"/>
          <w:b/>
          <w:bCs/>
          <w:kern w:val="0"/>
          <w:sz w:val="44"/>
          <w:szCs w:val="44"/>
          <w:lang w:eastAsia="zh-CN"/>
        </w:rPr>
        <w:t>五</w:t>
      </w:r>
      <w:r>
        <w:rPr>
          <w:rFonts w:hint="eastAsia" w:ascii="华文新魏" w:hAnsi="华文新魏" w:eastAsia="华文新魏" w:cs="华文新魏"/>
          <w:b/>
          <w:bCs/>
          <w:kern w:val="0"/>
          <w:sz w:val="44"/>
          <w:szCs w:val="44"/>
        </w:rPr>
        <w:t>、投标文件签署授权委托书</w:t>
      </w:r>
    </w:p>
    <w:p>
      <w:pPr>
        <w:spacing w:line="480" w:lineRule="auto"/>
        <w:ind w:firstLine="420" w:firstLineChars="200"/>
        <w:rPr>
          <w:szCs w:val="21"/>
        </w:rPr>
      </w:pPr>
      <w:r>
        <w:rPr>
          <w:rFonts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pStyle w:val="7"/>
        <w:spacing w:line="480" w:lineRule="auto"/>
        <w:rPr>
          <w:szCs w:val="21"/>
        </w:rPr>
      </w:pPr>
      <w:r>
        <w:rPr>
          <w:rFonts w:hint="eastAsia"/>
          <w:szCs w:val="21"/>
        </w:rPr>
        <w:t>代理人无转委托权，特此委托。</w:t>
      </w:r>
    </w:p>
    <w:p>
      <w:pPr>
        <w:spacing w:line="480" w:lineRule="auto"/>
        <w:rPr>
          <w:szCs w:val="21"/>
        </w:rPr>
      </w:pPr>
    </w:p>
    <w:p>
      <w:pPr>
        <w:spacing w:line="480" w:lineRule="auto"/>
        <w:ind w:left="540" w:leftChars="257"/>
        <w:rPr>
          <w:szCs w:val="21"/>
          <w:u w:val="single"/>
        </w:rPr>
      </w:pPr>
      <w:r>
        <w:rPr>
          <w:rFonts w:hint="eastAsia"/>
          <w:szCs w:val="21"/>
        </w:rPr>
        <w:t>代理人：</w:t>
      </w:r>
    </w:p>
    <w:p>
      <w:pPr>
        <w:spacing w:line="480" w:lineRule="auto"/>
        <w:ind w:left="540" w:leftChars="257"/>
        <w:rPr>
          <w:szCs w:val="21"/>
          <w:u w:val="single"/>
        </w:rPr>
      </w:pPr>
      <w:r>
        <w:rPr>
          <w:rFonts w:hint="eastAsia"/>
          <w:szCs w:val="21"/>
        </w:rPr>
        <w:t>投标人：</w:t>
      </w:r>
    </w:p>
    <w:p>
      <w:pPr>
        <w:spacing w:line="480" w:lineRule="auto"/>
        <w:ind w:left="540" w:leftChars="257"/>
        <w:rPr>
          <w:szCs w:val="21"/>
        </w:rPr>
      </w:pPr>
      <w:r>
        <w:rPr>
          <w:rFonts w:hint="eastAsia"/>
          <w:szCs w:val="21"/>
        </w:rPr>
        <w:t>法定代表人：（签字或</w:t>
      </w:r>
      <w:r>
        <w:rPr>
          <w:szCs w:val="21"/>
        </w:rPr>
        <w:t>签章</w:t>
      </w:r>
      <w:r>
        <w:rPr>
          <w:rFonts w:hint="eastAsia"/>
          <w:szCs w:val="21"/>
        </w:rPr>
        <w:t>）（公章）</w:t>
      </w:r>
    </w:p>
    <w:p>
      <w:pPr>
        <w:spacing w:line="480" w:lineRule="auto"/>
        <w:ind w:left="540" w:leftChars="257"/>
        <w:rPr>
          <w:rFonts w:hint="eastAsia"/>
          <w:szCs w:val="21"/>
        </w:rPr>
      </w:pPr>
      <w:r>
        <w:rPr>
          <w:rFonts w:hint="eastAsia"/>
          <w:szCs w:val="21"/>
        </w:rPr>
        <w:t>授权委托日期：年月 日</w:t>
      </w:r>
    </w:p>
    <w:p>
      <w:pPr>
        <w:pStyle w:val="2"/>
        <w:rPr>
          <w:rFonts w:hint="eastAsia"/>
          <w:szCs w:val="21"/>
        </w:rPr>
      </w:pPr>
    </w:p>
    <w:p>
      <w:pPr>
        <w:rPr>
          <w:rFonts w:hint="eastAsia"/>
          <w:szCs w:val="21"/>
        </w:rPr>
      </w:pPr>
    </w:p>
    <w:p>
      <w:pPr>
        <w:pStyle w:val="2"/>
        <w:rPr>
          <w:rFonts w:hint="eastAsia"/>
          <w:szCs w:val="21"/>
        </w:rPr>
      </w:pPr>
    </w:p>
    <w:p/>
    <w:p>
      <w:pPr>
        <w:spacing w:line="480" w:lineRule="auto"/>
        <w:ind w:left="540" w:leftChars="257"/>
        <w:rPr>
          <w:szCs w:val="21"/>
        </w:rPr>
      </w:pPr>
    </w:p>
    <w:p>
      <w:pPr>
        <w:spacing w:line="360" w:lineRule="auto"/>
        <w:rPr>
          <w:rFonts w:hint="eastAsia" w:hAnsi="宋体"/>
          <w:szCs w:val="21"/>
        </w:rPr>
      </w:pPr>
      <w:r>
        <w:rPr>
          <w:sz w:val="24"/>
        </w:rPr>
        <mc:AlternateContent>
          <mc:Choice Requires="wps">
            <w:drawing>
              <wp:anchor distT="0" distB="0" distL="114300" distR="114300" simplePos="0" relativeHeight="251661312" behindDoc="0" locked="0" layoutInCell="1" allowOverlap="1">
                <wp:simplePos x="0" y="0"/>
                <wp:positionH relativeFrom="column">
                  <wp:posOffset>1259840</wp:posOffset>
                </wp:positionH>
                <wp:positionV relativeFrom="paragraph">
                  <wp:posOffset>109220</wp:posOffset>
                </wp:positionV>
                <wp:extent cx="2493010" cy="1637030"/>
                <wp:effectExtent l="6350" t="6350" r="15240" b="13970"/>
                <wp:wrapNone/>
                <wp:docPr id="4" name="圆角矩形 4"/>
                <wp:cNvGraphicFramePr/>
                <a:graphic xmlns:a="http://schemas.openxmlformats.org/drawingml/2006/main">
                  <a:graphicData uri="http://schemas.microsoft.com/office/word/2010/wordprocessingShape">
                    <wps:wsp>
                      <wps:cNvSpPr/>
                      <wps:spPr>
                        <a:xfrm>
                          <a:off x="0" y="0"/>
                          <a:ext cx="2493010" cy="1637030"/>
                        </a:xfrm>
                        <a:prstGeom prst="roundRect">
                          <a:avLst/>
                        </a:prstGeom>
                        <a:noFill/>
                        <a:ln>
                          <a:solidFill>
                            <a:schemeClr val="tx1">
                              <a:lumMod val="50000"/>
                              <a:lumOff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9.2pt;margin-top:8.6pt;height:128.9pt;width:196.3pt;z-index:251661312;v-text-anchor:middle;mso-width-relative:page;mso-height-relative:page;" filled="f" stroked="t" coordsize="21600,21600" arcsize="0.166666666666667" o:gfxdata="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L8&#10;jzHWAAAACgEAAA8AAAAAAAAAAQAgAAAAIgAAAGRycy9kb3ducmV2LnhtbFBLAQIUABQAAAAIAIdO&#10;4kCjU0eWlwIAABsFAAAOAAAAAAAAAAEAIAAAACUBAABkcnMvZTJvRG9jLnhtbFBLBQYAAAAABgAG&#10;AFkBAAAuBgAAAAA=&#10;">
                <v:fill on="f" focussize="0,0"/>
                <v:stroke weight="1pt" color="#808080 [1629]" miterlimit="8" joinstyle="miter"/>
                <v:imagedata o:title=""/>
                <o:lock v:ext="edit" aspectratio="f"/>
                <v:textbox>
                  <w:txbxContent>
                    <w:p>
                      <w:pPr>
                        <w:jc w:val="center"/>
                      </w:pPr>
                    </w:p>
                  </w:txbxContent>
                </v:textbox>
              </v:roundrect>
            </w:pict>
          </mc:Fallback>
        </mc:AlternateContent>
      </w:r>
    </w:p>
    <w:p>
      <w:pPr>
        <w:spacing w:line="360" w:lineRule="auto"/>
        <w:rPr>
          <w:rFonts w:hint="eastAsia" w:hAnsi="宋体"/>
          <w:szCs w:val="21"/>
        </w:rPr>
      </w:pPr>
    </w:p>
    <w:p>
      <w:pPr>
        <w:spacing w:line="360" w:lineRule="auto"/>
        <w:rPr>
          <w:rFonts w:hint="eastAsia" w:hAnsi="宋体"/>
          <w:szCs w:val="21"/>
        </w:rPr>
      </w:pPr>
    </w:p>
    <w:p>
      <w:pPr>
        <w:spacing w:line="360" w:lineRule="auto"/>
        <w:rPr>
          <w:rFonts w:hint="eastAsia" w:hAnsi="宋体"/>
          <w:szCs w:val="21"/>
        </w:rPr>
      </w:pPr>
    </w:p>
    <w:p>
      <w:pPr>
        <w:spacing w:line="360" w:lineRule="auto"/>
        <w:ind w:firstLine="2310" w:firstLineChars="1100"/>
        <w:rPr>
          <w:rFonts w:hint="eastAsia" w:ascii="华文新魏" w:hAnsi="华文新魏" w:eastAsia="华文新魏" w:cs="华文新魏"/>
          <w:b/>
          <w:bCs/>
          <w:kern w:val="0"/>
          <w:sz w:val="44"/>
          <w:szCs w:val="44"/>
          <w:lang w:eastAsia="zh-CN"/>
        </w:rPr>
      </w:pPr>
      <w:r>
        <w:rPr>
          <w:rFonts w:hint="eastAsia" w:hAnsi="宋体"/>
          <w:szCs w:val="21"/>
        </w:rPr>
        <w:t>代理人身份证复印件（正、反面</w:t>
      </w:r>
      <w:r>
        <w:rPr>
          <w:rFonts w:ascii="宋体" w:hAnsi="宋体"/>
          <w:b/>
          <w:szCs w:val="21"/>
        </w:rPr>
        <mc:AlternateContent>
          <mc:Choice Requires="wps">
            <w:drawing>
              <wp:anchor distT="0" distB="0" distL="114300" distR="114300" simplePos="0" relativeHeight="251662336" behindDoc="0" locked="0" layoutInCell="1" allowOverlap="1">
                <wp:simplePos x="0" y="0"/>
                <wp:positionH relativeFrom="column">
                  <wp:posOffset>2668905</wp:posOffset>
                </wp:positionH>
                <wp:positionV relativeFrom="paragraph">
                  <wp:posOffset>7121525</wp:posOffset>
                </wp:positionV>
                <wp:extent cx="2437765" cy="1584325"/>
                <wp:effectExtent l="4445" t="4445" r="15240" b="11430"/>
                <wp:wrapNone/>
                <wp:docPr id="5" name="流程图: 可选过程 5"/>
                <wp:cNvGraphicFramePr/>
                <a:graphic xmlns:a="http://schemas.openxmlformats.org/drawingml/2006/main">
                  <a:graphicData uri="http://schemas.microsoft.com/office/word/2010/wordprocessingShape">
                    <wps:wsp>
                      <wps:cNvSpPr/>
                      <wps:spPr>
                        <a:xfrm>
                          <a:off x="0" y="0"/>
                          <a:ext cx="243776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210.15pt;margin-top:560.75pt;height:124.75pt;width:191.95pt;z-index:251662336;mso-width-relative:page;mso-height-relative:page;" fillcolor="#FFFFFF" filled="t" stroked="t" coordsize="21600,21600" o:gfxdata="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yCFADZAAAADQEAAA8AAAAAAAAAAQAgAAAAIgAAAGRycy9kb3ducmV2LnhtbFBLAQIU&#10;ABQAAAAIAIdO4kBVTFFKKwIAAFAEAAAOAAAAAAAAAAEAIAAAACg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v:textbox>
              </v:shape>
            </w:pict>
          </mc:Fallback>
        </mc:AlternateContent>
      </w:r>
      <w:r>
        <w:rPr>
          <w:rFonts w:hint="eastAsia" w:hAnsi="宋体"/>
          <w:szCs w:val="21"/>
          <w:lang w:eastAsia="zh-CN"/>
        </w:rPr>
        <w:t>）</w:t>
      </w:r>
    </w:p>
    <w:p>
      <w:pPr>
        <w:spacing w:line="480" w:lineRule="auto"/>
        <w:rPr>
          <w:kern w:val="0"/>
        </w:rPr>
      </w:pPr>
    </w:p>
    <w:p>
      <w:pPr>
        <w:pStyle w:val="4"/>
        <w:jc w:val="center"/>
        <w:rPr>
          <w:rFonts w:hint="eastAsia" w:ascii="华文新魏" w:hAnsi="华文新魏" w:eastAsia="华文新魏" w:cs="华文新魏"/>
          <w:b/>
          <w:bCs/>
          <w:kern w:val="0"/>
          <w:sz w:val="44"/>
          <w:szCs w:val="44"/>
        </w:rPr>
      </w:pPr>
    </w:p>
    <w:p>
      <w:pPr>
        <w:pStyle w:val="4"/>
        <w:jc w:val="center"/>
        <w:rPr>
          <w:rFonts w:hint="eastAsia" w:ascii="华文新魏" w:hAnsi="华文新魏" w:eastAsia="华文新魏" w:cs="华文新魏"/>
          <w:b/>
          <w:bCs/>
          <w:kern w:val="0"/>
          <w:sz w:val="44"/>
          <w:szCs w:val="44"/>
        </w:rPr>
      </w:pPr>
    </w:p>
    <w:p>
      <w:pPr>
        <w:pStyle w:val="4"/>
        <w:spacing w:before="0" w:after="0"/>
        <w:jc w:val="both"/>
        <w:rPr>
          <w:rFonts w:hint="eastAsia" w:ascii="华文新魏" w:hAnsi="华文新魏" w:eastAsia="华文新魏" w:cs="华文新魏"/>
          <w:b/>
          <w:bCs/>
          <w:kern w:val="0"/>
          <w:sz w:val="44"/>
          <w:szCs w:val="44"/>
        </w:rPr>
      </w:pPr>
    </w:p>
    <w:p>
      <w:pPr>
        <w:rPr>
          <w:rFonts w:hint="eastAsia" w:ascii="华文新魏" w:hAnsi="华文新魏" w:eastAsia="华文新魏" w:cs="华文新魏"/>
          <w:b/>
          <w:bCs/>
          <w:kern w:val="0"/>
          <w:sz w:val="44"/>
          <w:szCs w:val="44"/>
        </w:rPr>
      </w:pPr>
    </w:p>
    <w:p>
      <w:pPr>
        <w:pStyle w:val="4"/>
        <w:jc w:val="both"/>
        <w:rPr>
          <w:rFonts w:hint="eastAsia" w:ascii="华文新魏" w:hAnsi="华文新魏" w:eastAsia="华文新魏" w:cs="华文新魏"/>
          <w:b/>
          <w:bCs/>
          <w:kern w:val="0"/>
          <w:sz w:val="44"/>
          <w:szCs w:val="44"/>
          <w:highlight w:val="yellow"/>
        </w:rPr>
      </w:pPr>
    </w:p>
    <w:p>
      <w:pPr>
        <w:pStyle w:val="4"/>
        <w:jc w:val="center"/>
        <w:rPr>
          <w:rFonts w:hint="eastAsia" w:ascii="宋体" w:hAnsi="宋体"/>
          <w:szCs w:val="21"/>
        </w:rPr>
      </w:pPr>
      <w:r>
        <w:rPr>
          <w:rFonts w:hint="eastAsia" w:ascii="华文新魏" w:hAnsi="华文新魏" w:eastAsia="华文新魏" w:cs="华文新魏"/>
          <w:b/>
          <w:bCs/>
          <w:kern w:val="0"/>
          <w:sz w:val="44"/>
          <w:szCs w:val="44"/>
          <w:lang w:eastAsia="zh-CN"/>
        </w:rPr>
        <w:t>六</w:t>
      </w:r>
      <w:r>
        <w:rPr>
          <w:rFonts w:hint="eastAsia" w:ascii="华文新魏" w:hAnsi="华文新魏" w:eastAsia="华文新魏" w:cs="华文新魏"/>
          <w:b/>
          <w:bCs/>
          <w:kern w:val="0"/>
          <w:sz w:val="44"/>
          <w:szCs w:val="44"/>
        </w:rPr>
        <w:t>、投标函</w:t>
      </w:r>
    </w:p>
    <w:p>
      <w:pPr>
        <w:spacing w:line="480" w:lineRule="auto"/>
        <w:rPr>
          <w:rFonts w:hint="eastAsia" w:ascii="宋体" w:hAnsi="宋体"/>
          <w:szCs w:val="21"/>
        </w:rPr>
      </w:pPr>
    </w:p>
    <w:p>
      <w:pPr>
        <w:spacing w:line="480" w:lineRule="auto"/>
        <w:rPr>
          <w:rFonts w:ascii="宋体" w:hAnsi="宋体"/>
          <w:szCs w:val="21"/>
        </w:rPr>
      </w:pPr>
      <w:r>
        <w:rPr>
          <w:rFonts w:hint="eastAsia" w:ascii="宋体" w:hAnsi="宋体"/>
          <w:szCs w:val="21"/>
        </w:rPr>
        <w:t>致：</w:t>
      </w:r>
      <w:r>
        <w:rPr>
          <w:rFonts w:hint="eastAsia"/>
          <w:szCs w:val="21"/>
          <w:u w:val="single"/>
        </w:rPr>
        <w:t>深圳市深大体育文化发展有限公司</w:t>
      </w:r>
    </w:p>
    <w:p>
      <w:pPr>
        <w:spacing w:after="120" w:afterLines="50" w:line="480" w:lineRule="auto"/>
        <w:ind w:firstLine="420" w:firstLineChars="200"/>
        <w:rPr>
          <w:szCs w:val="21"/>
        </w:rPr>
      </w:pPr>
      <w:r>
        <w:rPr>
          <w:rFonts w:hint="eastAsia"/>
          <w:szCs w:val="21"/>
        </w:rPr>
        <w:t>1、根据已收到贵方的招标编号为</w:t>
      </w:r>
      <w:r>
        <w:rPr>
          <w:rFonts w:hint="eastAsia"/>
          <w:szCs w:val="21"/>
          <w:highlight w:val="yellow"/>
        </w:rPr>
        <w:t>SZUTT20210</w:t>
      </w:r>
      <w:r>
        <w:rPr>
          <w:rFonts w:hint="eastAsia"/>
          <w:szCs w:val="21"/>
          <w:highlight w:val="yellow"/>
          <w:lang w:val="en-US" w:eastAsia="zh-CN"/>
        </w:rPr>
        <w:t>01HW</w:t>
      </w:r>
      <w:r>
        <w:rPr>
          <w:rFonts w:hint="eastAsia"/>
          <w:color w:val="auto"/>
          <w:szCs w:val="21"/>
        </w:rPr>
        <w:t>的</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pPr>
        <w:spacing w:after="120" w:afterLines="50" w:line="480" w:lineRule="auto"/>
        <w:ind w:firstLine="420" w:firstLineChars="200"/>
        <w:rPr>
          <w:szCs w:val="21"/>
        </w:rPr>
      </w:pPr>
      <w:r>
        <w:rPr>
          <w:rFonts w:hint="eastAsia" w:ascii="宋体" w:hAnsi="宋体"/>
          <w:szCs w:val="21"/>
        </w:rPr>
        <w:t>2、</w:t>
      </w:r>
      <w:r>
        <w:rPr>
          <w:rFonts w:hint="eastAsia"/>
          <w:szCs w:val="21"/>
        </w:rPr>
        <w:t>如果我方中标，我方将按照招标文件要求以形式提交合同价款的％作为履约担保，共同地和分别地承担责任。</w:t>
      </w:r>
    </w:p>
    <w:p>
      <w:pPr>
        <w:spacing w:after="120" w:afterLines="50" w:line="480" w:lineRule="auto"/>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pPr>
        <w:spacing w:after="120" w:afterLines="50" w:line="480" w:lineRule="auto"/>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pPr>
        <w:spacing w:after="120" w:afterLines="50" w:line="480" w:lineRule="auto"/>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pPr>
        <w:spacing w:line="480" w:lineRule="auto"/>
        <w:ind w:left="540" w:leftChars="257"/>
        <w:rPr>
          <w:szCs w:val="21"/>
        </w:rPr>
      </w:pPr>
      <w:r>
        <w:rPr>
          <w:rFonts w:hint="eastAsia"/>
          <w:szCs w:val="21"/>
        </w:rPr>
        <w:t xml:space="preserve">投标人：   （公章） </w:t>
      </w:r>
    </w:p>
    <w:p>
      <w:pPr>
        <w:spacing w:line="480" w:lineRule="auto"/>
        <w:ind w:left="540" w:leftChars="257"/>
        <w:rPr>
          <w:szCs w:val="21"/>
          <w:u w:val="single"/>
        </w:rPr>
      </w:pPr>
      <w:r>
        <w:rPr>
          <w:rFonts w:hint="eastAsia"/>
          <w:szCs w:val="21"/>
        </w:rPr>
        <w:t>单位地址：</w:t>
      </w:r>
    </w:p>
    <w:p>
      <w:pPr>
        <w:spacing w:line="480" w:lineRule="auto"/>
        <w:ind w:left="540" w:leftChars="257"/>
        <w:rPr>
          <w:szCs w:val="21"/>
          <w:u w:val="single"/>
        </w:rPr>
      </w:pPr>
      <w:r>
        <w:rPr>
          <w:rFonts w:hint="eastAsia"/>
          <w:szCs w:val="21"/>
        </w:rPr>
        <w:t>法定代表人或其委托代理人：</w:t>
      </w:r>
      <w:r>
        <w:rPr>
          <w:rFonts w:hint="eastAsia"/>
          <w:szCs w:val="21"/>
          <w:u w:val="single"/>
        </w:rPr>
        <w:t xml:space="preserve"> （签字</w:t>
      </w:r>
      <w:r>
        <w:rPr>
          <w:szCs w:val="21"/>
          <w:u w:val="single"/>
        </w:rPr>
        <w:t>或签章</w:t>
      </w:r>
      <w:r>
        <w:rPr>
          <w:rFonts w:hint="eastAsia"/>
          <w:szCs w:val="21"/>
          <w:u w:val="single"/>
        </w:rPr>
        <w:t xml:space="preserve">） </w:t>
      </w:r>
    </w:p>
    <w:p>
      <w:pPr>
        <w:spacing w:line="480" w:lineRule="auto"/>
        <w:ind w:left="540" w:leftChars="257"/>
        <w:rPr>
          <w:szCs w:val="21"/>
          <w:u w:val="single"/>
        </w:rPr>
      </w:pPr>
      <w:r>
        <w:rPr>
          <w:rFonts w:hint="eastAsia"/>
          <w:szCs w:val="21"/>
        </w:rPr>
        <w:t>邮政编码：  电话：  传真：</w:t>
      </w:r>
    </w:p>
    <w:p>
      <w:pPr>
        <w:spacing w:line="480" w:lineRule="auto"/>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spacing w:line="480" w:lineRule="auto"/>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spacing w:line="480" w:lineRule="auto"/>
        <w:ind w:firstLine="539" w:firstLineChars="257"/>
        <w:rPr>
          <w:sz w:val="24"/>
        </w:rPr>
      </w:pPr>
      <w:r>
        <w:rPr>
          <w:rFonts w:hint="eastAsia" w:ascii="宋体" w:hAnsi="宋体"/>
          <w:szCs w:val="21"/>
        </w:rPr>
        <w:t>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spacing w:line="480" w:lineRule="auto"/>
        <w:rPr>
          <w:rFonts w:ascii="黑体" w:hAnsi="宋体" w:eastAsia="黑体"/>
        </w:rPr>
      </w:pPr>
    </w:p>
    <w:p>
      <w:pPr>
        <w:pStyle w:val="4"/>
        <w:spacing w:line="360" w:lineRule="auto"/>
        <w:jc w:val="center"/>
        <w:rPr>
          <w:rFonts w:ascii="华文新魏" w:hAnsi="华文新魏" w:eastAsia="华文新魏" w:cs="华文新魏"/>
          <w:b/>
          <w:bCs/>
          <w:kern w:val="0"/>
          <w:sz w:val="44"/>
          <w:szCs w:val="44"/>
        </w:rPr>
      </w:pPr>
      <w:r>
        <w:rPr>
          <w:rFonts w:hint="eastAsia" w:ascii="华文新魏" w:hAnsi="华文新魏" w:eastAsia="华文新魏" w:cs="华文新魏"/>
          <w:b/>
          <w:bCs/>
          <w:kern w:val="0"/>
          <w:sz w:val="44"/>
          <w:szCs w:val="44"/>
          <w:lang w:eastAsia="zh-CN"/>
        </w:rPr>
        <w:t>七</w:t>
      </w:r>
      <w:r>
        <w:rPr>
          <w:rFonts w:hint="eastAsia" w:ascii="华文新魏" w:hAnsi="华文新魏" w:eastAsia="华文新魏" w:cs="华文新魏"/>
          <w:b/>
          <w:bCs/>
          <w:kern w:val="0"/>
          <w:sz w:val="44"/>
          <w:szCs w:val="44"/>
        </w:rPr>
        <w:t>、承诺函</w:t>
      </w:r>
    </w:p>
    <w:p>
      <w:pPr>
        <w:spacing w:line="480" w:lineRule="auto"/>
        <w:rPr>
          <w:rFonts w:ascii="宋体" w:hAnsi="宋体"/>
          <w:sz w:val="24"/>
        </w:rPr>
      </w:pPr>
    </w:p>
    <w:p>
      <w:pPr>
        <w:spacing w:line="480" w:lineRule="auto"/>
        <w:rPr>
          <w:rFonts w:ascii="宋体" w:hAnsi="宋体"/>
          <w:szCs w:val="21"/>
        </w:rPr>
      </w:pPr>
      <w:r>
        <w:rPr>
          <w:rFonts w:hint="eastAsia" w:ascii="宋体" w:hAnsi="宋体"/>
          <w:szCs w:val="21"/>
        </w:rPr>
        <w:t>致：</w:t>
      </w:r>
      <w:r>
        <w:rPr>
          <w:rFonts w:hint="eastAsia"/>
          <w:szCs w:val="21"/>
          <w:u w:val="single"/>
        </w:rPr>
        <w:t>深圳市深大体育文化发展有限公司</w:t>
      </w:r>
    </w:p>
    <w:p>
      <w:pPr>
        <w:spacing w:line="480" w:lineRule="auto"/>
        <w:rPr>
          <w:rFonts w:ascii="宋体" w:hAnsi="宋体"/>
          <w:szCs w:val="21"/>
        </w:rPr>
      </w:pPr>
    </w:p>
    <w:p>
      <w:pPr>
        <w:spacing w:line="480" w:lineRule="auto"/>
        <w:ind w:firstLine="540"/>
        <w:rPr>
          <w:rFonts w:ascii="宋体" w:hAnsi="宋体"/>
          <w:szCs w:val="21"/>
        </w:rPr>
      </w:pPr>
      <w:r>
        <w:rPr>
          <w:rFonts w:hint="eastAsia" w:ascii="宋体" w:hAnsi="宋体"/>
          <w:szCs w:val="21"/>
        </w:rPr>
        <w:t>我公司承诺：</w:t>
      </w:r>
    </w:p>
    <w:p>
      <w:pPr>
        <w:spacing w:line="480" w:lineRule="auto"/>
        <w:ind w:firstLine="540"/>
        <w:rPr>
          <w:rFonts w:ascii="宋体" w:hAnsi="宋体"/>
          <w:szCs w:val="21"/>
        </w:rPr>
      </w:pPr>
      <w:r>
        <w:rPr>
          <w:rFonts w:hint="eastAsia" w:ascii="宋体" w:hAnsi="宋体"/>
          <w:szCs w:val="21"/>
        </w:rPr>
        <w:t>1.对本招标项目所提供的货物、工程或服务未侵犯知识产权。我公司已清楚，提供虚假承诺或者被有关单位确认为侵犯知识产权的，三年内不得参加深圳市深大体育文化发展有限公司采购活动。</w:t>
      </w:r>
    </w:p>
    <w:p>
      <w:pPr>
        <w:spacing w:line="480" w:lineRule="auto"/>
        <w:ind w:firstLine="540"/>
        <w:rPr>
          <w:rFonts w:ascii="宋体" w:hAnsi="宋体"/>
          <w:color w:val="FF0000"/>
          <w:szCs w:val="21"/>
        </w:rPr>
      </w:pPr>
      <w:r>
        <w:rPr>
          <w:rFonts w:hint="eastAsia" w:ascii="宋体" w:hAnsi="宋体"/>
          <w:color w:val="FF0000"/>
          <w:szCs w:val="21"/>
        </w:rPr>
        <w:t>2.在本项目投标过程中不弄虚作假，不隐瞒真实情况，不围标串标，不恶意质疑投诉。我公司已清楚，如违反上述要求，其投标将作废，被列入不良记录名单并在网上曝光，同时将被提请</w:t>
      </w:r>
      <w:r>
        <w:rPr>
          <w:rFonts w:hint="eastAsia" w:ascii="宋体" w:hAnsi="宋体"/>
          <w:color w:val="FF0000"/>
          <w:szCs w:val="21"/>
          <w:lang w:eastAsia="zh-CN"/>
        </w:rPr>
        <w:t>深圳市深大体育文化发展有限公司</w:t>
      </w:r>
      <w:r>
        <w:rPr>
          <w:rFonts w:hint="eastAsia" w:ascii="宋体" w:hAnsi="宋体"/>
          <w:color w:val="FF0000"/>
          <w:szCs w:val="21"/>
        </w:rPr>
        <w:t>采购监督管理部门给予一定年限内禁止参与</w:t>
      </w:r>
      <w:r>
        <w:rPr>
          <w:rFonts w:hint="eastAsia" w:ascii="宋体" w:hAnsi="宋体"/>
          <w:color w:val="FF0000"/>
          <w:szCs w:val="21"/>
          <w:lang w:eastAsia="zh-CN"/>
        </w:rPr>
        <w:t>深圳市深大体育文化发展有限公司</w:t>
      </w:r>
      <w:r>
        <w:rPr>
          <w:rFonts w:hint="eastAsia" w:ascii="宋体" w:hAnsi="宋体"/>
          <w:color w:val="FF0000"/>
          <w:szCs w:val="21"/>
        </w:rPr>
        <w:t>采购活动或其他处罚。</w:t>
      </w:r>
    </w:p>
    <w:p>
      <w:pPr>
        <w:spacing w:line="480" w:lineRule="auto"/>
        <w:ind w:firstLine="540"/>
        <w:rPr>
          <w:rFonts w:ascii="宋体" w:hAnsi="宋体"/>
          <w:color w:val="FF0000"/>
          <w:szCs w:val="21"/>
        </w:rPr>
      </w:pPr>
      <w:r>
        <w:rPr>
          <w:rFonts w:hint="eastAsia" w:ascii="宋体" w:hAnsi="宋体"/>
          <w:color w:val="FF0000"/>
          <w:szCs w:val="21"/>
        </w:rPr>
        <w:t>3.在本项目招标过程中，评标委员会若对投标人进行现场勘察或实地考察或检验有关证明材料的原件，我公司将随时做好接受检查的准备。</w:t>
      </w:r>
    </w:p>
    <w:p>
      <w:pPr>
        <w:spacing w:line="480" w:lineRule="auto"/>
        <w:rPr>
          <w:rFonts w:ascii="宋体" w:hAnsi="宋体"/>
          <w:szCs w:val="21"/>
        </w:rPr>
      </w:pPr>
      <w:r>
        <w:rPr>
          <w:rFonts w:hint="eastAsia" w:ascii="宋体" w:hAnsi="宋体"/>
          <w:szCs w:val="21"/>
        </w:rPr>
        <w:t xml:space="preserve">     4.接受、遵守、满足招标文件第二章  招标项目需求 中要求的全部内容。</w:t>
      </w:r>
    </w:p>
    <w:p>
      <w:pPr>
        <w:spacing w:line="480" w:lineRule="auto"/>
        <w:rPr>
          <w:rFonts w:ascii="宋体" w:hAnsi="宋体"/>
          <w:szCs w:val="21"/>
        </w:rPr>
      </w:pPr>
    </w:p>
    <w:p>
      <w:pPr>
        <w:spacing w:line="480" w:lineRule="auto"/>
        <w:ind w:firstLine="645"/>
        <w:rPr>
          <w:rFonts w:ascii="宋体" w:hAnsi="宋体"/>
          <w:szCs w:val="21"/>
        </w:rPr>
      </w:pPr>
      <w:r>
        <w:rPr>
          <w:rFonts w:hint="eastAsia" w:ascii="宋体" w:hAnsi="宋体"/>
          <w:szCs w:val="21"/>
        </w:rPr>
        <w:t xml:space="preserve">                       公司名称：                         （公章）</w:t>
      </w:r>
    </w:p>
    <w:p>
      <w:pPr>
        <w:spacing w:line="480" w:lineRule="auto"/>
        <w:ind w:firstLine="645"/>
        <w:rPr>
          <w:rFonts w:ascii="宋体" w:hAnsi="宋体"/>
          <w:szCs w:val="21"/>
        </w:rPr>
      </w:pPr>
    </w:p>
    <w:p>
      <w:pPr>
        <w:pStyle w:val="22"/>
        <w:spacing w:line="480" w:lineRule="auto"/>
        <w:ind w:firstLine="420" w:firstLineChars="200"/>
        <w:rPr>
          <w:rFonts w:ascii="宋体"/>
          <w:b w:val="0"/>
          <w:sz w:val="21"/>
          <w:szCs w:val="21"/>
        </w:rPr>
      </w:pPr>
      <w:r>
        <w:rPr>
          <w:rFonts w:hint="eastAsia" w:ascii="宋体"/>
          <w:b w:val="0"/>
          <w:sz w:val="21"/>
          <w:szCs w:val="21"/>
        </w:rPr>
        <w:t xml:space="preserve">                                                     二〇    年   月    日</w:t>
      </w:r>
    </w:p>
    <w:p>
      <w:pPr>
        <w:pStyle w:val="22"/>
        <w:spacing w:line="480" w:lineRule="auto"/>
        <w:ind w:firstLine="420" w:firstLineChars="200"/>
        <w:rPr>
          <w:rFonts w:ascii="宋体"/>
          <w:b w:val="0"/>
          <w:sz w:val="21"/>
          <w:szCs w:val="21"/>
        </w:rPr>
      </w:pPr>
    </w:p>
    <w:p>
      <w:pPr>
        <w:widowControl/>
        <w:spacing w:line="480" w:lineRule="auto"/>
        <w:jc w:val="left"/>
      </w:pPr>
      <w:bookmarkStart w:id="19" w:name="_Toc73521600"/>
      <w:bookmarkStart w:id="20" w:name="_Toc73517694"/>
      <w:bookmarkStart w:id="21" w:name="_Toc73521688"/>
      <w:bookmarkStart w:id="22" w:name="_Toc73518172"/>
      <w:r>
        <w:br w:type="page"/>
      </w:r>
    </w:p>
    <w:p>
      <w:pPr>
        <w:pStyle w:val="4"/>
        <w:spacing w:line="360" w:lineRule="auto"/>
        <w:jc w:val="center"/>
        <w:rPr>
          <w:rFonts w:ascii="华文新魏" w:hAnsi="华文新魏" w:eastAsia="华文新魏" w:cs="华文新魏"/>
          <w:b/>
          <w:bCs/>
          <w:kern w:val="0"/>
          <w:sz w:val="44"/>
          <w:szCs w:val="44"/>
        </w:rPr>
      </w:pPr>
      <w:r>
        <w:rPr>
          <w:rFonts w:hint="eastAsia" w:ascii="华文新魏" w:hAnsi="华文新魏" w:eastAsia="华文新魏" w:cs="华文新魏"/>
          <w:b/>
          <w:bCs/>
          <w:kern w:val="0"/>
          <w:sz w:val="44"/>
          <w:szCs w:val="44"/>
          <w:lang w:eastAsia="zh-CN"/>
        </w:rPr>
        <w:t>八</w:t>
      </w:r>
      <w:r>
        <w:rPr>
          <w:rFonts w:hint="eastAsia" w:ascii="华文新魏" w:hAnsi="华文新魏" w:eastAsia="华文新魏" w:cs="华文新魏"/>
          <w:b/>
          <w:bCs/>
          <w:kern w:val="0"/>
          <w:sz w:val="44"/>
          <w:szCs w:val="44"/>
        </w:rPr>
        <w:t>、无违法违规行为承诺函</w:t>
      </w:r>
    </w:p>
    <w:p>
      <w:pPr>
        <w:spacing w:line="480" w:lineRule="auto"/>
        <w:rPr>
          <w:rFonts w:ascii="宋体" w:hAnsi="宋体"/>
          <w:sz w:val="24"/>
        </w:rPr>
      </w:pPr>
    </w:p>
    <w:p>
      <w:pPr>
        <w:spacing w:line="480" w:lineRule="auto"/>
        <w:rPr>
          <w:rFonts w:ascii="宋体" w:hAnsi="宋体"/>
          <w:szCs w:val="21"/>
        </w:rPr>
      </w:pPr>
      <w:r>
        <w:rPr>
          <w:rFonts w:hint="eastAsia"/>
          <w:szCs w:val="21"/>
          <w:u w:val="single"/>
        </w:rPr>
        <w:t>深圳市深大体育文化发展有限公司</w:t>
      </w:r>
      <w:r>
        <w:rPr>
          <w:rFonts w:hint="eastAsia" w:ascii="宋体" w:hAnsi="宋体"/>
          <w:szCs w:val="21"/>
        </w:rPr>
        <w:t>：</w:t>
      </w:r>
    </w:p>
    <w:p>
      <w:pPr>
        <w:spacing w:line="480" w:lineRule="auto"/>
        <w:rPr>
          <w:rFonts w:ascii="宋体" w:hAnsi="宋体"/>
          <w:szCs w:val="21"/>
        </w:rPr>
      </w:pPr>
    </w:p>
    <w:p>
      <w:pPr>
        <w:spacing w:line="480" w:lineRule="auto"/>
        <w:rPr>
          <w:rFonts w:ascii="宋体" w:hAnsi="宋体"/>
          <w:szCs w:val="21"/>
        </w:rPr>
      </w:pPr>
      <w:r>
        <w:rPr>
          <w:rFonts w:hint="eastAsia" w:ascii="宋体" w:hAnsi="宋体"/>
          <w:szCs w:val="21"/>
        </w:rPr>
        <w:t>我公司在参加本次项目投标活动</w:t>
      </w:r>
      <w:r>
        <w:rPr>
          <w:rFonts w:ascii="宋体" w:hAnsi="宋体"/>
          <w:szCs w:val="21"/>
        </w:rPr>
        <w:t>中，作出如下承诺</w:t>
      </w:r>
      <w:r>
        <w:rPr>
          <w:rFonts w:hint="eastAsia" w:ascii="宋体" w:hAnsi="宋体"/>
          <w:szCs w:val="21"/>
        </w:rPr>
        <w:t>：</w:t>
      </w:r>
    </w:p>
    <w:p>
      <w:pPr>
        <w:spacing w:line="480" w:lineRule="auto"/>
        <w:ind w:firstLine="424" w:firstLineChars="202"/>
        <w:rPr>
          <w:rFonts w:ascii="宋体" w:hAnsi="宋体"/>
          <w:szCs w:val="21"/>
        </w:rPr>
      </w:pPr>
      <w:r>
        <w:rPr>
          <w:rFonts w:hint="eastAsia" w:ascii="宋体" w:hAnsi="宋体"/>
          <w:szCs w:val="21"/>
        </w:rPr>
        <w:t>一</w:t>
      </w:r>
      <w:r>
        <w:rPr>
          <w:rFonts w:ascii="宋体" w:hAnsi="宋体"/>
          <w:szCs w:val="21"/>
        </w:rPr>
        <w:t>、参加本次采购活动前三年内，在经营活动中没有重大非法记录，</w:t>
      </w:r>
    </w:p>
    <w:p>
      <w:pPr>
        <w:spacing w:line="480" w:lineRule="auto"/>
        <w:ind w:firstLine="424" w:firstLineChars="202"/>
        <w:rPr>
          <w:rFonts w:ascii="宋体" w:hAnsi="宋体"/>
          <w:szCs w:val="21"/>
        </w:rPr>
      </w:pPr>
      <w:r>
        <w:rPr>
          <w:rFonts w:hint="eastAsia" w:ascii="宋体" w:hAnsi="宋体"/>
          <w:szCs w:val="21"/>
        </w:rPr>
        <w:t>二</w:t>
      </w:r>
      <w:r>
        <w:rPr>
          <w:rFonts w:ascii="宋体" w:hAnsi="宋体"/>
          <w:szCs w:val="21"/>
        </w:rPr>
        <w:t>、未挂靠</w:t>
      </w:r>
      <w:r>
        <w:rPr>
          <w:rFonts w:hint="eastAsia" w:ascii="宋体" w:hAnsi="宋体"/>
          <w:szCs w:val="21"/>
        </w:rPr>
        <w:t>、</w:t>
      </w:r>
      <w:r>
        <w:rPr>
          <w:rFonts w:ascii="宋体" w:hAnsi="宋体"/>
          <w:szCs w:val="21"/>
        </w:rPr>
        <w:t>借用资质进行投标等违法违规行为，</w:t>
      </w:r>
    </w:p>
    <w:p>
      <w:pPr>
        <w:spacing w:line="480" w:lineRule="auto"/>
        <w:ind w:firstLine="424" w:firstLineChars="202"/>
        <w:rPr>
          <w:rFonts w:ascii="宋体" w:hAnsi="宋体"/>
          <w:szCs w:val="21"/>
        </w:rPr>
      </w:pPr>
      <w:r>
        <w:rPr>
          <w:rFonts w:hint="eastAsia" w:ascii="宋体" w:hAnsi="宋体"/>
          <w:szCs w:val="21"/>
        </w:rPr>
        <w:t>三</w:t>
      </w:r>
      <w:r>
        <w:rPr>
          <w:rFonts w:ascii="宋体" w:hAnsi="宋体"/>
          <w:szCs w:val="21"/>
        </w:rPr>
        <w:t>、提供的相关文件均真实、有效。</w:t>
      </w:r>
    </w:p>
    <w:p>
      <w:pPr>
        <w:spacing w:line="480" w:lineRule="auto"/>
        <w:ind w:firstLine="424" w:firstLineChars="202"/>
        <w:rPr>
          <w:rFonts w:ascii="宋体" w:hAnsi="宋体"/>
          <w:szCs w:val="21"/>
        </w:rPr>
      </w:pPr>
      <w:r>
        <w:rPr>
          <w:rFonts w:hint="eastAsia" w:ascii="宋体" w:hAnsi="宋体"/>
          <w:szCs w:val="21"/>
        </w:rPr>
        <w:t>若查实</w:t>
      </w:r>
      <w:r>
        <w:rPr>
          <w:rFonts w:ascii="宋体" w:hAnsi="宋体"/>
          <w:szCs w:val="21"/>
        </w:rPr>
        <w:t>我公司提供的</w:t>
      </w:r>
      <w:r>
        <w:rPr>
          <w:rFonts w:hint="eastAsia" w:ascii="宋体" w:hAnsi="宋体"/>
          <w:szCs w:val="21"/>
        </w:rPr>
        <w:t>资料</w:t>
      </w:r>
      <w:r>
        <w:rPr>
          <w:rFonts w:ascii="宋体" w:hAnsi="宋体"/>
          <w:szCs w:val="21"/>
        </w:rPr>
        <w:t>及上述承诺不</w:t>
      </w:r>
      <w:r>
        <w:rPr>
          <w:rFonts w:hint="eastAsia" w:ascii="宋体" w:hAnsi="宋体"/>
          <w:szCs w:val="21"/>
        </w:rPr>
        <w:t>属实</w:t>
      </w:r>
      <w:r>
        <w:rPr>
          <w:rFonts w:ascii="宋体" w:hAnsi="宋体"/>
          <w:szCs w:val="21"/>
        </w:rPr>
        <w:t>，则招标人有权取消我公司的投标资格及中标资格，且我公司将无条件承担由此给本次招标带来的一切</w:t>
      </w:r>
      <w:r>
        <w:rPr>
          <w:rFonts w:hint="eastAsia" w:ascii="宋体" w:hAnsi="宋体"/>
          <w:szCs w:val="21"/>
        </w:rPr>
        <w:t>后果</w:t>
      </w:r>
      <w:r>
        <w:rPr>
          <w:rFonts w:ascii="宋体" w:hAnsi="宋体"/>
          <w:szCs w:val="21"/>
        </w:rPr>
        <w:t>（</w:t>
      </w:r>
      <w:r>
        <w:rPr>
          <w:rFonts w:hint="eastAsia" w:ascii="宋体" w:hAnsi="宋体"/>
          <w:szCs w:val="21"/>
        </w:rPr>
        <w:t>包括</w:t>
      </w:r>
      <w:r>
        <w:rPr>
          <w:rFonts w:ascii="宋体" w:hAnsi="宋体"/>
          <w:szCs w:val="21"/>
        </w:rPr>
        <w:t>经济损失）</w:t>
      </w:r>
      <w:r>
        <w:rPr>
          <w:rFonts w:hint="eastAsia" w:ascii="宋体" w:hAnsi="宋体"/>
          <w:szCs w:val="21"/>
        </w:rPr>
        <w:t>。</w:t>
      </w:r>
    </w:p>
    <w:p>
      <w:pPr>
        <w:spacing w:line="480" w:lineRule="auto"/>
        <w:rPr>
          <w:rFonts w:ascii="宋体" w:hAnsi="宋体"/>
          <w:szCs w:val="21"/>
        </w:rPr>
      </w:pPr>
    </w:p>
    <w:p>
      <w:pPr>
        <w:spacing w:line="480" w:lineRule="auto"/>
        <w:rPr>
          <w:rFonts w:ascii="宋体" w:hAnsi="宋体"/>
          <w:szCs w:val="21"/>
        </w:rPr>
      </w:pPr>
    </w:p>
    <w:p>
      <w:pPr>
        <w:spacing w:line="480" w:lineRule="auto"/>
        <w:rPr>
          <w:rFonts w:ascii="宋体" w:hAnsi="宋体"/>
          <w:szCs w:val="21"/>
        </w:rPr>
      </w:pPr>
      <w:r>
        <w:rPr>
          <w:rFonts w:hint="eastAsia" w:ascii="宋体" w:hAnsi="宋体"/>
          <w:szCs w:val="21"/>
        </w:rPr>
        <w:t>特此声明</w:t>
      </w:r>
    </w:p>
    <w:p>
      <w:pPr>
        <w:spacing w:line="480" w:lineRule="auto"/>
        <w:rPr>
          <w:rFonts w:ascii="宋体" w:hAnsi="宋体"/>
          <w:szCs w:val="21"/>
        </w:rPr>
      </w:pPr>
      <w:r>
        <w:rPr>
          <w:rFonts w:hint="eastAsia" w:ascii="宋体" w:hAnsi="宋体"/>
          <w:szCs w:val="21"/>
        </w:rPr>
        <w:t>投标人名称：</w:t>
      </w:r>
      <w:r>
        <w:rPr>
          <w:rFonts w:hint="eastAsia" w:ascii="宋体" w:hAnsi="宋体"/>
          <w:b/>
          <w:szCs w:val="21"/>
        </w:rPr>
        <w:t>（加盖公章）</w:t>
      </w:r>
    </w:p>
    <w:p>
      <w:pPr>
        <w:spacing w:line="480" w:lineRule="auto"/>
        <w:rPr>
          <w:rFonts w:ascii="宋体" w:hAnsi="宋体"/>
          <w:szCs w:val="21"/>
        </w:rPr>
      </w:pPr>
    </w:p>
    <w:p>
      <w:pPr>
        <w:spacing w:line="480" w:lineRule="auto"/>
        <w:rPr>
          <w:rFonts w:ascii="宋体" w:hAnsi="宋体"/>
          <w:szCs w:val="21"/>
          <w:u w:val="single"/>
        </w:rPr>
      </w:pPr>
      <w:r>
        <w:rPr>
          <w:rFonts w:hint="eastAsia" w:ascii="宋体" w:hAnsi="宋体"/>
          <w:szCs w:val="21"/>
        </w:rPr>
        <w:t>法定</w:t>
      </w:r>
      <w:r>
        <w:rPr>
          <w:rFonts w:ascii="宋体" w:hAnsi="宋体"/>
          <w:szCs w:val="21"/>
        </w:rPr>
        <w:t>代表或</w:t>
      </w:r>
      <w:r>
        <w:rPr>
          <w:rFonts w:hint="eastAsia" w:ascii="宋体" w:hAnsi="宋体"/>
          <w:szCs w:val="21"/>
        </w:rPr>
        <w:t>投标代表签名：</w:t>
      </w:r>
    </w:p>
    <w:p>
      <w:pPr>
        <w:spacing w:line="480" w:lineRule="auto"/>
        <w:rPr>
          <w:rFonts w:ascii="宋体" w:hAnsi="宋体"/>
          <w:bCs/>
          <w:szCs w:val="21"/>
        </w:rPr>
      </w:pPr>
      <w:r>
        <w:rPr>
          <w:rFonts w:hint="eastAsia" w:ascii="宋体" w:hAnsi="宋体"/>
          <w:bCs/>
          <w:szCs w:val="21"/>
        </w:rPr>
        <w:t>日期：    年   月  日</w:t>
      </w:r>
    </w:p>
    <w:p>
      <w:pPr>
        <w:widowControl/>
        <w:spacing w:line="360" w:lineRule="auto"/>
        <w:jc w:val="left"/>
      </w:pPr>
      <w:r>
        <w:br w:type="page"/>
      </w:r>
    </w:p>
    <w:bookmarkEnd w:id="19"/>
    <w:bookmarkEnd w:id="20"/>
    <w:bookmarkEnd w:id="21"/>
    <w:bookmarkEnd w:id="22"/>
    <w:p>
      <w:pPr>
        <w:pStyle w:val="4"/>
        <w:jc w:val="center"/>
        <w:rPr>
          <w:rFonts w:ascii="华文新魏" w:hAnsi="华文新魏" w:eastAsia="华文新魏" w:cs="华文新魏"/>
          <w:b/>
          <w:bCs/>
          <w:kern w:val="0"/>
          <w:sz w:val="44"/>
          <w:szCs w:val="44"/>
        </w:rPr>
      </w:pPr>
      <w:bookmarkStart w:id="23" w:name="_Toc73521614"/>
      <w:bookmarkStart w:id="24" w:name="_Toc73518186"/>
      <w:bookmarkStart w:id="25" w:name="_Toc70748068"/>
      <w:bookmarkStart w:id="26" w:name="_Toc100052469"/>
      <w:bookmarkStart w:id="27" w:name="_Toc71860060"/>
      <w:bookmarkStart w:id="28" w:name="_Toc101074900"/>
      <w:bookmarkStart w:id="29" w:name="_Toc73521702"/>
      <w:bookmarkStart w:id="30" w:name="_Toc73517708"/>
      <w:r>
        <w:rPr>
          <w:rFonts w:hint="eastAsia" w:ascii="华文新魏" w:hAnsi="华文新魏" w:eastAsia="华文新魏" w:cs="华文新魏"/>
          <w:b/>
          <w:bCs/>
          <w:kern w:val="0"/>
          <w:sz w:val="44"/>
          <w:szCs w:val="44"/>
          <w:lang w:eastAsia="zh-CN"/>
        </w:rPr>
        <w:t>九</w:t>
      </w:r>
      <w:r>
        <w:rPr>
          <w:rFonts w:hint="eastAsia" w:ascii="华文新魏" w:hAnsi="华文新魏" w:eastAsia="华文新魏" w:cs="华文新魏"/>
          <w:b/>
          <w:bCs/>
          <w:kern w:val="0"/>
          <w:sz w:val="44"/>
          <w:szCs w:val="44"/>
        </w:rPr>
        <w:t>、投标人情况介绍</w:t>
      </w:r>
      <w:bookmarkEnd w:id="23"/>
      <w:bookmarkEnd w:id="24"/>
      <w:bookmarkEnd w:id="25"/>
      <w:bookmarkEnd w:id="26"/>
      <w:bookmarkEnd w:id="27"/>
      <w:bookmarkEnd w:id="28"/>
      <w:bookmarkEnd w:id="29"/>
      <w:bookmarkEnd w:id="30"/>
      <w:r>
        <w:rPr>
          <w:rFonts w:hint="eastAsia" w:ascii="华文新魏" w:hAnsi="华文新魏" w:eastAsia="华文新魏" w:cs="华文新魏"/>
          <w:b/>
          <w:bCs/>
          <w:kern w:val="0"/>
          <w:sz w:val="44"/>
          <w:szCs w:val="44"/>
        </w:rPr>
        <w:t>及相关资质材料</w:t>
      </w:r>
    </w:p>
    <w:tbl>
      <w:tblPr>
        <w:tblStyle w:val="54"/>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01"/>
        <w:gridCol w:w="2076"/>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5" w:type="dxa"/>
            <w:vAlign w:val="center"/>
          </w:tcPr>
          <w:p>
            <w:pPr>
              <w:jc w:val="center"/>
              <w:rPr>
                <w:b/>
                <w:szCs w:val="21"/>
              </w:rPr>
            </w:pPr>
            <w:r>
              <w:rPr>
                <w:rFonts w:hint="eastAsia"/>
                <w:b/>
                <w:szCs w:val="21"/>
              </w:rPr>
              <w:t>序号</w:t>
            </w:r>
          </w:p>
        </w:tc>
        <w:tc>
          <w:tcPr>
            <w:tcW w:w="2477" w:type="dxa"/>
            <w:gridSpan w:val="2"/>
          </w:tcPr>
          <w:p>
            <w:pPr>
              <w:jc w:val="center"/>
              <w:rPr>
                <w:b/>
                <w:szCs w:val="21"/>
              </w:rPr>
            </w:pPr>
            <w:r>
              <w:rPr>
                <w:rFonts w:hint="eastAsia"/>
                <w:b/>
                <w:szCs w:val="21"/>
              </w:rPr>
              <w:t>项  目</w:t>
            </w:r>
          </w:p>
        </w:tc>
        <w:tc>
          <w:tcPr>
            <w:tcW w:w="4514" w:type="dxa"/>
            <w:vAlign w:val="center"/>
          </w:tcPr>
          <w:p>
            <w:pPr>
              <w:jc w:val="center"/>
              <w:rPr>
                <w:b/>
                <w:szCs w:val="21"/>
              </w:rPr>
            </w:pPr>
            <w:r>
              <w:rPr>
                <w:rFonts w:hint="eastAsia"/>
                <w:b/>
                <w:szCs w:val="21"/>
              </w:rPr>
              <w:t>内容及说明</w:t>
            </w:r>
          </w:p>
        </w:tc>
        <w:tc>
          <w:tcPr>
            <w:tcW w:w="1411" w:type="dxa"/>
            <w:vAlign w:val="center"/>
          </w:tcPr>
          <w:p>
            <w:pPr>
              <w:jc w:val="center"/>
              <w:rPr>
                <w:b/>
                <w:szCs w:val="21"/>
              </w:rPr>
            </w:pPr>
            <w:r>
              <w:rPr>
                <w:rFonts w:hint="eastAsia"/>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35" w:type="dxa"/>
            <w:vAlign w:val="center"/>
          </w:tcPr>
          <w:p>
            <w:pPr>
              <w:jc w:val="center"/>
              <w:rPr>
                <w:b/>
                <w:szCs w:val="21"/>
              </w:rPr>
            </w:pPr>
            <w:r>
              <w:rPr>
                <w:rFonts w:hint="eastAsia"/>
                <w:b/>
                <w:szCs w:val="21"/>
              </w:rPr>
              <w:t>一</w:t>
            </w:r>
          </w:p>
        </w:tc>
        <w:tc>
          <w:tcPr>
            <w:tcW w:w="6991" w:type="dxa"/>
            <w:gridSpan w:val="3"/>
          </w:tcPr>
          <w:p>
            <w:pPr>
              <w:rPr>
                <w:b/>
                <w:szCs w:val="21"/>
              </w:rPr>
            </w:pPr>
            <w:r>
              <w:rPr>
                <w:rFonts w:hint="eastAsia"/>
                <w:b/>
                <w:szCs w:val="21"/>
              </w:rPr>
              <w:t>营业执照</w:t>
            </w:r>
          </w:p>
        </w:tc>
        <w:tc>
          <w:tcPr>
            <w:tcW w:w="1411" w:type="dxa"/>
            <w:vAlign w:val="center"/>
          </w:tcPr>
          <w:p>
            <w:pPr>
              <w:jc w:val="center"/>
              <w:rPr>
                <w:szCs w:val="21"/>
              </w:rPr>
            </w:pPr>
            <w:r>
              <w:rPr>
                <w:rFonts w:hint="eastAsia"/>
                <w:szCs w:val="21"/>
              </w:rPr>
              <w:t>提供复印件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35" w:type="dxa"/>
            <w:shd w:val="clear" w:color="auto" w:fill="auto"/>
            <w:vAlign w:val="center"/>
          </w:tcPr>
          <w:p>
            <w:pPr>
              <w:jc w:val="center"/>
              <w:rPr>
                <w:szCs w:val="21"/>
              </w:rPr>
            </w:pPr>
            <w:r>
              <w:rPr>
                <w:rFonts w:hint="eastAsia"/>
                <w:szCs w:val="21"/>
              </w:rPr>
              <w:t>1</w:t>
            </w:r>
          </w:p>
        </w:tc>
        <w:tc>
          <w:tcPr>
            <w:tcW w:w="2477" w:type="dxa"/>
            <w:gridSpan w:val="2"/>
            <w:shd w:val="clear" w:color="auto" w:fill="auto"/>
            <w:vAlign w:val="center"/>
          </w:tcPr>
          <w:p>
            <w:pPr>
              <w:jc w:val="center"/>
              <w:rPr>
                <w:szCs w:val="21"/>
              </w:rPr>
            </w:pPr>
            <w:r>
              <w:rPr>
                <w:rFonts w:hint="eastAsia"/>
                <w:szCs w:val="21"/>
              </w:rPr>
              <w:t>注册年度及注册编号</w:t>
            </w:r>
          </w:p>
        </w:tc>
        <w:tc>
          <w:tcPr>
            <w:tcW w:w="4514" w:type="dxa"/>
            <w:vAlign w:val="center"/>
          </w:tcPr>
          <w:p>
            <w:pP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35" w:type="dxa"/>
            <w:shd w:val="clear" w:color="auto" w:fill="auto"/>
            <w:vAlign w:val="center"/>
          </w:tcPr>
          <w:p>
            <w:pPr>
              <w:jc w:val="center"/>
              <w:rPr>
                <w:szCs w:val="21"/>
              </w:rPr>
            </w:pPr>
            <w:r>
              <w:rPr>
                <w:rFonts w:hint="eastAsia"/>
                <w:szCs w:val="21"/>
              </w:rPr>
              <w:t>2</w:t>
            </w:r>
          </w:p>
        </w:tc>
        <w:tc>
          <w:tcPr>
            <w:tcW w:w="2477" w:type="dxa"/>
            <w:gridSpan w:val="2"/>
            <w:shd w:val="clear" w:color="auto" w:fill="auto"/>
            <w:vAlign w:val="center"/>
          </w:tcPr>
          <w:p>
            <w:pPr>
              <w:jc w:val="center"/>
              <w:rPr>
                <w:szCs w:val="21"/>
              </w:rPr>
            </w:pPr>
            <w:r>
              <w:rPr>
                <w:rFonts w:hint="eastAsia"/>
                <w:szCs w:val="21"/>
              </w:rPr>
              <w:t>注册资金（万元）</w:t>
            </w:r>
          </w:p>
        </w:tc>
        <w:tc>
          <w:tcPr>
            <w:tcW w:w="4514" w:type="dxa"/>
            <w:vAlign w:val="center"/>
          </w:tcPr>
          <w:p>
            <w:pP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35" w:type="dxa"/>
            <w:shd w:val="clear" w:color="auto" w:fill="auto"/>
            <w:vAlign w:val="center"/>
          </w:tcPr>
          <w:p>
            <w:pPr>
              <w:jc w:val="center"/>
              <w:rPr>
                <w:szCs w:val="21"/>
              </w:rPr>
            </w:pPr>
            <w:r>
              <w:rPr>
                <w:rFonts w:hint="eastAsia"/>
                <w:szCs w:val="21"/>
              </w:rPr>
              <w:t>3</w:t>
            </w:r>
          </w:p>
        </w:tc>
        <w:tc>
          <w:tcPr>
            <w:tcW w:w="2477" w:type="dxa"/>
            <w:gridSpan w:val="2"/>
            <w:shd w:val="clear" w:color="auto" w:fill="auto"/>
            <w:vAlign w:val="center"/>
          </w:tcPr>
          <w:p>
            <w:pPr>
              <w:jc w:val="center"/>
              <w:rPr>
                <w:szCs w:val="21"/>
              </w:rPr>
            </w:pPr>
            <w:r>
              <w:rPr>
                <w:rFonts w:hint="eastAsia"/>
                <w:szCs w:val="21"/>
              </w:rPr>
              <w:t>经营场所</w:t>
            </w:r>
          </w:p>
        </w:tc>
        <w:tc>
          <w:tcPr>
            <w:tcW w:w="4514" w:type="dxa"/>
            <w:vAlign w:val="center"/>
          </w:tcPr>
          <w:p>
            <w:pP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35" w:type="dxa"/>
            <w:shd w:val="clear" w:color="auto" w:fill="auto"/>
            <w:vAlign w:val="center"/>
          </w:tcPr>
          <w:p>
            <w:pPr>
              <w:jc w:val="center"/>
              <w:rPr>
                <w:szCs w:val="21"/>
              </w:rPr>
            </w:pPr>
            <w:r>
              <w:rPr>
                <w:rFonts w:hint="eastAsia"/>
                <w:szCs w:val="21"/>
              </w:rPr>
              <w:t>4</w:t>
            </w:r>
          </w:p>
        </w:tc>
        <w:tc>
          <w:tcPr>
            <w:tcW w:w="2477" w:type="dxa"/>
            <w:gridSpan w:val="2"/>
            <w:shd w:val="clear" w:color="auto" w:fill="auto"/>
            <w:vAlign w:val="center"/>
          </w:tcPr>
          <w:p>
            <w:pPr>
              <w:jc w:val="center"/>
              <w:rPr>
                <w:szCs w:val="21"/>
              </w:rPr>
            </w:pPr>
            <w:r>
              <w:rPr>
                <w:rFonts w:hint="eastAsia"/>
                <w:szCs w:val="21"/>
              </w:rPr>
              <w:t>有效期</w:t>
            </w:r>
          </w:p>
        </w:tc>
        <w:tc>
          <w:tcPr>
            <w:tcW w:w="4514" w:type="dxa"/>
            <w:vAlign w:val="center"/>
          </w:tcPr>
          <w:p>
            <w:pP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35" w:type="dxa"/>
            <w:vAlign w:val="center"/>
          </w:tcPr>
          <w:p>
            <w:pPr>
              <w:jc w:val="center"/>
              <w:rPr>
                <w:szCs w:val="21"/>
              </w:rPr>
            </w:pPr>
            <w:r>
              <w:rPr>
                <w:rFonts w:hint="eastAsia"/>
                <w:szCs w:val="21"/>
              </w:rPr>
              <w:t>二</w:t>
            </w:r>
          </w:p>
        </w:tc>
        <w:tc>
          <w:tcPr>
            <w:tcW w:w="6991" w:type="dxa"/>
            <w:gridSpan w:val="3"/>
            <w:vAlign w:val="center"/>
          </w:tcPr>
          <w:p>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pPr>
              <w:jc w:val="center"/>
              <w:rPr>
                <w:szCs w:val="21"/>
              </w:rPr>
            </w:pPr>
            <w:r>
              <w:rPr>
                <w:rFonts w:hint="eastAsia"/>
                <w:szCs w:val="21"/>
              </w:rPr>
              <w:t>提供复印件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35" w:type="dxa"/>
            <w:vAlign w:val="center"/>
          </w:tcPr>
          <w:p>
            <w:pPr>
              <w:jc w:val="center"/>
              <w:rPr>
                <w:szCs w:val="21"/>
              </w:rPr>
            </w:pPr>
            <w:r>
              <w:rPr>
                <w:rFonts w:hint="eastAsia"/>
                <w:szCs w:val="21"/>
              </w:rPr>
              <w:t>1</w:t>
            </w:r>
          </w:p>
        </w:tc>
        <w:tc>
          <w:tcPr>
            <w:tcW w:w="2477" w:type="dxa"/>
            <w:gridSpan w:val="2"/>
            <w:vAlign w:val="center"/>
          </w:tcPr>
          <w:p>
            <w:pPr>
              <w:jc w:val="center"/>
              <w:rPr>
                <w:szCs w:val="21"/>
              </w:rPr>
            </w:pPr>
            <w:r>
              <w:rPr>
                <w:rFonts w:hint="eastAsia"/>
                <w:szCs w:val="21"/>
              </w:rPr>
              <w:t>证书名称</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35" w:type="dxa"/>
            <w:vAlign w:val="center"/>
          </w:tcPr>
          <w:p>
            <w:pPr>
              <w:jc w:val="center"/>
              <w:rPr>
                <w:szCs w:val="21"/>
              </w:rPr>
            </w:pPr>
            <w:r>
              <w:rPr>
                <w:rFonts w:hint="eastAsia"/>
                <w:szCs w:val="21"/>
              </w:rPr>
              <w:t>2</w:t>
            </w:r>
          </w:p>
        </w:tc>
        <w:tc>
          <w:tcPr>
            <w:tcW w:w="2477" w:type="dxa"/>
            <w:gridSpan w:val="2"/>
            <w:vAlign w:val="center"/>
          </w:tcPr>
          <w:p>
            <w:pPr>
              <w:jc w:val="center"/>
              <w:rPr>
                <w:szCs w:val="21"/>
              </w:rPr>
            </w:pPr>
            <w:r>
              <w:rPr>
                <w:rFonts w:hint="eastAsia"/>
                <w:szCs w:val="21"/>
              </w:rPr>
              <w:t>批准单位</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35" w:type="dxa"/>
            <w:vAlign w:val="center"/>
          </w:tcPr>
          <w:p>
            <w:pPr>
              <w:jc w:val="center"/>
              <w:rPr>
                <w:szCs w:val="21"/>
              </w:rPr>
            </w:pPr>
            <w:r>
              <w:rPr>
                <w:rFonts w:hint="eastAsia"/>
                <w:szCs w:val="21"/>
              </w:rPr>
              <w:t>3</w:t>
            </w:r>
          </w:p>
        </w:tc>
        <w:tc>
          <w:tcPr>
            <w:tcW w:w="2477" w:type="dxa"/>
            <w:gridSpan w:val="2"/>
            <w:vAlign w:val="center"/>
          </w:tcPr>
          <w:p>
            <w:pPr>
              <w:jc w:val="center"/>
              <w:rPr>
                <w:szCs w:val="21"/>
              </w:rPr>
            </w:pPr>
            <w:r>
              <w:rPr>
                <w:rFonts w:hint="eastAsia"/>
                <w:szCs w:val="21"/>
              </w:rPr>
              <w:t>等级</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35" w:type="dxa"/>
            <w:vAlign w:val="center"/>
          </w:tcPr>
          <w:p>
            <w:pPr>
              <w:jc w:val="center"/>
              <w:rPr>
                <w:szCs w:val="21"/>
              </w:rPr>
            </w:pPr>
            <w:r>
              <w:rPr>
                <w:rFonts w:hint="eastAsia"/>
                <w:szCs w:val="21"/>
              </w:rPr>
              <w:t>4</w:t>
            </w:r>
          </w:p>
        </w:tc>
        <w:tc>
          <w:tcPr>
            <w:tcW w:w="2477" w:type="dxa"/>
            <w:gridSpan w:val="2"/>
            <w:vAlign w:val="center"/>
          </w:tcPr>
          <w:p>
            <w:pPr>
              <w:jc w:val="center"/>
              <w:rPr>
                <w:szCs w:val="21"/>
              </w:rPr>
            </w:pPr>
            <w:r>
              <w:rPr>
                <w:rFonts w:hint="eastAsia"/>
                <w:szCs w:val="21"/>
              </w:rPr>
              <w:t>批准时间及编号</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5" w:type="dxa"/>
            <w:vAlign w:val="center"/>
          </w:tcPr>
          <w:p>
            <w:pPr>
              <w:jc w:val="center"/>
              <w:rPr>
                <w:szCs w:val="21"/>
              </w:rPr>
            </w:pPr>
            <w:r>
              <w:rPr>
                <w:rFonts w:hint="eastAsia"/>
                <w:szCs w:val="21"/>
              </w:rPr>
              <w:t>5</w:t>
            </w:r>
          </w:p>
        </w:tc>
        <w:tc>
          <w:tcPr>
            <w:tcW w:w="2477" w:type="dxa"/>
            <w:gridSpan w:val="2"/>
            <w:vAlign w:val="center"/>
          </w:tcPr>
          <w:p>
            <w:pPr>
              <w:jc w:val="center"/>
              <w:rPr>
                <w:szCs w:val="21"/>
              </w:rPr>
            </w:pPr>
            <w:r>
              <w:rPr>
                <w:rFonts w:hint="eastAsia"/>
                <w:szCs w:val="21"/>
              </w:rPr>
              <w:t>有效期</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35" w:type="dxa"/>
            <w:vAlign w:val="center"/>
          </w:tcPr>
          <w:p>
            <w:pPr>
              <w:jc w:val="center"/>
              <w:rPr>
                <w:b/>
                <w:szCs w:val="21"/>
              </w:rPr>
            </w:pPr>
            <w:r>
              <w:rPr>
                <w:rFonts w:hint="eastAsia"/>
                <w:b/>
                <w:szCs w:val="21"/>
              </w:rPr>
              <w:t>三</w:t>
            </w:r>
          </w:p>
        </w:tc>
        <w:tc>
          <w:tcPr>
            <w:tcW w:w="6991" w:type="dxa"/>
            <w:gridSpan w:val="3"/>
            <w:vAlign w:val="center"/>
          </w:tcPr>
          <w:p>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35" w:type="dxa"/>
            <w:vAlign w:val="center"/>
          </w:tcPr>
          <w:p>
            <w:pPr>
              <w:jc w:val="center"/>
              <w:rPr>
                <w:szCs w:val="21"/>
              </w:rPr>
            </w:pPr>
            <w:r>
              <w:rPr>
                <w:rFonts w:hint="eastAsia"/>
                <w:szCs w:val="21"/>
              </w:rPr>
              <w:t>1</w:t>
            </w:r>
          </w:p>
        </w:tc>
        <w:tc>
          <w:tcPr>
            <w:tcW w:w="2477" w:type="dxa"/>
            <w:gridSpan w:val="2"/>
            <w:vAlign w:val="center"/>
          </w:tcPr>
          <w:p>
            <w:pPr>
              <w:jc w:val="center"/>
              <w:rPr>
                <w:szCs w:val="21"/>
              </w:rPr>
            </w:pPr>
            <w:r>
              <w:rPr>
                <w:rFonts w:hint="eastAsia"/>
                <w:szCs w:val="21"/>
              </w:rPr>
              <w:t>得奖或评优项目数量</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5" w:type="dxa"/>
            <w:vMerge w:val="restart"/>
            <w:vAlign w:val="center"/>
          </w:tcPr>
          <w:p>
            <w:pPr>
              <w:jc w:val="center"/>
              <w:rPr>
                <w:szCs w:val="21"/>
              </w:rPr>
            </w:pPr>
            <w:r>
              <w:rPr>
                <w:rFonts w:hint="eastAsia"/>
                <w:szCs w:val="21"/>
              </w:rPr>
              <w:t>2</w:t>
            </w:r>
          </w:p>
        </w:tc>
        <w:tc>
          <w:tcPr>
            <w:tcW w:w="401" w:type="dxa"/>
            <w:vMerge w:val="restart"/>
            <w:vAlign w:val="center"/>
          </w:tcPr>
          <w:p>
            <w:pPr>
              <w:jc w:val="center"/>
              <w:rPr>
                <w:szCs w:val="21"/>
              </w:rPr>
            </w:pPr>
            <w:r>
              <w:rPr>
                <w:rFonts w:hint="eastAsia"/>
                <w:szCs w:val="21"/>
              </w:rPr>
              <w:t>项目A</w:t>
            </w:r>
          </w:p>
        </w:tc>
        <w:tc>
          <w:tcPr>
            <w:tcW w:w="2076" w:type="dxa"/>
            <w:vAlign w:val="center"/>
          </w:tcPr>
          <w:p>
            <w:pPr>
              <w:jc w:val="center"/>
              <w:rPr>
                <w:szCs w:val="21"/>
              </w:rPr>
            </w:pPr>
            <w:r>
              <w:rPr>
                <w:rFonts w:hint="eastAsia"/>
                <w:szCs w:val="21"/>
              </w:rPr>
              <w:t>项目名称</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Merge w:val="continue"/>
            <w:vAlign w:val="center"/>
          </w:tcPr>
          <w:p>
            <w:pPr>
              <w:jc w:val="center"/>
              <w:rPr>
                <w:szCs w:val="21"/>
              </w:rPr>
            </w:pPr>
          </w:p>
        </w:tc>
        <w:tc>
          <w:tcPr>
            <w:tcW w:w="401" w:type="dxa"/>
            <w:vMerge w:val="continue"/>
            <w:vAlign w:val="center"/>
          </w:tcPr>
          <w:p>
            <w:pPr>
              <w:jc w:val="center"/>
              <w:rPr>
                <w:szCs w:val="21"/>
              </w:rPr>
            </w:pPr>
          </w:p>
        </w:tc>
        <w:tc>
          <w:tcPr>
            <w:tcW w:w="2076" w:type="dxa"/>
            <w:vAlign w:val="center"/>
          </w:tcPr>
          <w:p>
            <w:pPr>
              <w:jc w:val="center"/>
              <w:rPr>
                <w:szCs w:val="21"/>
              </w:rPr>
            </w:pPr>
            <w:r>
              <w:rPr>
                <w:rFonts w:hint="eastAsia"/>
                <w:szCs w:val="21"/>
              </w:rPr>
              <w:t>奖项名称、等级及颁发单位</w:t>
            </w:r>
          </w:p>
        </w:tc>
        <w:tc>
          <w:tcPr>
            <w:tcW w:w="4514" w:type="dxa"/>
            <w:vAlign w:val="center"/>
          </w:tcPr>
          <w:p>
            <w:pPr>
              <w:jc w:val="center"/>
              <w:rPr>
                <w:szCs w:val="21"/>
              </w:rPr>
            </w:pPr>
          </w:p>
        </w:tc>
        <w:tc>
          <w:tcPr>
            <w:tcW w:w="1411" w:type="dxa"/>
            <w:vAlign w:val="center"/>
          </w:tcPr>
          <w:p>
            <w:pPr>
              <w:jc w:val="center"/>
              <w:rPr>
                <w:szCs w:val="21"/>
              </w:rPr>
            </w:pPr>
            <w:r>
              <w:rPr>
                <w:rFonts w:hint="eastAsia"/>
                <w:szCs w:val="21"/>
              </w:rPr>
              <w:t>提供奖项复印件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Merge w:val="continue"/>
            <w:vAlign w:val="center"/>
          </w:tcPr>
          <w:p>
            <w:pPr>
              <w:jc w:val="center"/>
              <w:rPr>
                <w:szCs w:val="21"/>
              </w:rPr>
            </w:pPr>
          </w:p>
        </w:tc>
        <w:tc>
          <w:tcPr>
            <w:tcW w:w="401" w:type="dxa"/>
            <w:vMerge w:val="continue"/>
            <w:vAlign w:val="center"/>
          </w:tcPr>
          <w:p>
            <w:pPr>
              <w:jc w:val="center"/>
              <w:rPr>
                <w:szCs w:val="21"/>
              </w:rPr>
            </w:pPr>
          </w:p>
        </w:tc>
        <w:tc>
          <w:tcPr>
            <w:tcW w:w="2076" w:type="dxa"/>
            <w:vAlign w:val="center"/>
          </w:tcPr>
          <w:p>
            <w:pPr>
              <w:jc w:val="center"/>
              <w:rPr>
                <w:szCs w:val="21"/>
              </w:rPr>
            </w:pPr>
            <w:r>
              <w:rPr>
                <w:rFonts w:hint="eastAsia"/>
                <w:szCs w:val="21"/>
              </w:rPr>
              <w:t>项目规模及性质的简要说明</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35" w:type="dxa"/>
            <w:vMerge w:val="restart"/>
            <w:vAlign w:val="center"/>
          </w:tcPr>
          <w:p>
            <w:pPr>
              <w:jc w:val="center"/>
              <w:rPr>
                <w:szCs w:val="21"/>
              </w:rPr>
            </w:pPr>
            <w:r>
              <w:rPr>
                <w:rFonts w:hint="eastAsia"/>
                <w:szCs w:val="21"/>
              </w:rPr>
              <w:t>3</w:t>
            </w:r>
          </w:p>
        </w:tc>
        <w:tc>
          <w:tcPr>
            <w:tcW w:w="401" w:type="dxa"/>
            <w:vMerge w:val="restart"/>
            <w:vAlign w:val="center"/>
          </w:tcPr>
          <w:p>
            <w:pPr>
              <w:jc w:val="center"/>
              <w:rPr>
                <w:szCs w:val="21"/>
              </w:rPr>
            </w:pPr>
            <w:r>
              <w:rPr>
                <w:rFonts w:hint="eastAsia"/>
                <w:szCs w:val="21"/>
              </w:rPr>
              <w:t>项目B</w:t>
            </w:r>
          </w:p>
        </w:tc>
        <w:tc>
          <w:tcPr>
            <w:tcW w:w="2076" w:type="dxa"/>
            <w:vAlign w:val="center"/>
          </w:tcPr>
          <w:p>
            <w:pPr>
              <w:jc w:val="center"/>
              <w:rPr>
                <w:szCs w:val="21"/>
              </w:rPr>
            </w:pPr>
            <w:r>
              <w:rPr>
                <w:rFonts w:hint="eastAsia"/>
                <w:szCs w:val="21"/>
              </w:rPr>
              <w:t>项目名称</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Merge w:val="continue"/>
            <w:vAlign w:val="center"/>
          </w:tcPr>
          <w:p>
            <w:pPr>
              <w:jc w:val="center"/>
              <w:rPr>
                <w:szCs w:val="21"/>
              </w:rPr>
            </w:pPr>
          </w:p>
        </w:tc>
        <w:tc>
          <w:tcPr>
            <w:tcW w:w="401" w:type="dxa"/>
            <w:vMerge w:val="continue"/>
            <w:vAlign w:val="center"/>
          </w:tcPr>
          <w:p>
            <w:pPr>
              <w:jc w:val="center"/>
              <w:rPr>
                <w:szCs w:val="21"/>
              </w:rPr>
            </w:pPr>
          </w:p>
        </w:tc>
        <w:tc>
          <w:tcPr>
            <w:tcW w:w="2076" w:type="dxa"/>
            <w:vAlign w:val="center"/>
          </w:tcPr>
          <w:p>
            <w:pPr>
              <w:jc w:val="center"/>
              <w:rPr>
                <w:szCs w:val="21"/>
              </w:rPr>
            </w:pPr>
            <w:r>
              <w:rPr>
                <w:rFonts w:hint="eastAsia"/>
                <w:szCs w:val="21"/>
              </w:rPr>
              <w:t>奖项名称、等级及颁发单位</w:t>
            </w:r>
          </w:p>
        </w:tc>
        <w:tc>
          <w:tcPr>
            <w:tcW w:w="4514" w:type="dxa"/>
            <w:vAlign w:val="center"/>
          </w:tcPr>
          <w:p>
            <w:pPr>
              <w:jc w:val="center"/>
              <w:rPr>
                <w:szCs w:val="21"/>
              </w:rPr>
            </w:pPr>
          </w:p>
        </w:tc>
        <w:tc>
          <w:tcPr>
            <w:tcW w:w="1411" w:type="dxa"/>
            <w:vAlign w:val="center"/>
          </w:tcPr>
          <w:p>
            <w:pPr>
              <w:jc w:val="center"/>
              <w:rPr>
                <w:szCs w:val="21"/>
              </w:rPr>
            </w:pPr>
            <w:r>
              <w:rPr>
                <w:rFonts w:hint="eastAsia"/>
                <w:szCs w:val="21"/>
              </w:rPr>
              <w:t>提供奖项复印件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Merge w:val="continue"/>
            <w:vAlign w:val="center"/>
          </w:tcPr>
          <w:p>
            <w:pPr>
              <w:jc w:val="center"/>
              <w:rPr>
                <w:szCs w:val="21"/>
              </w:rPr>
            </w:pPr>
          </w:p>
        </w:tc>
        <w:tc>
          <w:tcPr>
            <w:tcW w:w="401" w:type="dxa"/>
            <w:vMerge w:val="continue"/>
            <w:vAlign w:val="center"/>
          </w:tcPr>
          <w:p>
            <w:pPr>
              <w:jc w:val="center"/>
              <w:rPr>
                <w:szCs w:val="21"/>
              </w:rPr>
            </w:pPr>
          </w:p>
        </w:tc>
        <w:tc>
          <w:tcPr>
            <w:tcW w:w="2076" w:type="dxa"/>
            <w:vAlign w:val="center"/>
          </w:tcPr>
          <w:p>
            <w:pPr>
              <w:jc w:val="center"/>
              <w:rPr>
                <w:szCs w:val="21"/>
              </w:rPr>
            </w:pPr>
            <w:r>
              <w:rPr>
                <w:rFonts w:hint="eastAsia"/>
                <w:szCs w:val="21"/>
              </w:rPr>
              <w:t>项目规模及性质的简要说明</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35" w:type="dxa"/>
            <w:vAlign w:val="center"/>
          </w:tcPr>
          <w:p>
            <w:pPr>
              <w:jc w:val="center"/>
              <w:rPr>
                <w:szCs w:val="21"/>
              </w:rPr>
            </w:pPr>
            <w:r>
              <w:rPr>
                <w:rFonts w:hint="eastAsia"/>
                <w:b/>
                <w:szCs w:val="21"/>
              </w:rPr>
              <w:t>四</w:t>
            </w:r>
          </w:p>
        </w:tc>
        <w:tc>
          <w:tcPr>
            <w:tcW w:w="6991" w:type="dxa"/>
            <w:gridSpan w:val="3"/>
            <w:vAlign w:val="center"/>
          </w:tcPr>
          <w:p>
            <w:pPr>
              <w:rPr>
                <w:b/>
                <w:szCs w:val="21"/>
              </w:rPr>
            </w:pPr>
            <w:r>
              <w:rPr>
                <w:rFonts w:hint="eastAsia"/>
                <w:b/>
                <w:szCs w:val="21"/>
              </w:rPr>
              <w:t>企业技术力量</w:t>
            </w: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35" w:type="dxa"/>
            <w:vAlign w:val="center"/>
          </w:tcPr>
          <w:p>
            <w:pPr>
              <w:jc w:val="center"/>
              <w:rPr>
                <w:szCs w:val="21"/>
              </w:rPr>
            </w:pPr>
            <w:r>
              <w:rPr>
                <w:rFonts w:hint="eastAsia"/>
                <w:szCs w:val="21"/>
              </w:rPr>
              <w:t>1</w:t>
            </w:r>
          </w:p>
        </w:tc>
        <w:tc>
          <w:tcPr>
            <w:tcW w:w="2477" w:type="dxa"/>
            <w:gridSpan w:val="2"/>
            <w:vAlign w:val="center"/>
          </w:tcPr>
          <w:p>
            <w:pPr>
              <w:jc w:val="center"/>
              <w:rPr>
                <w:szCs w:val="21"/>
              </w:rPr>
            </w:pPr>
            <w:r>
              <w:rPr>
                <w:rFonts w:hint="eastAsia"/>
                <w:szCs w:val="21"/>
              </w:rPr>
              <w:t>企业技术人员构成情况</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35" w:type="dxa"/>
            <w:vAlign w:val="center"/>
          </w:tcPr>
          <w:p>
            <w:pPr>
              <w:jc w:val="center"/>
              <w:rPr>
                <w:szCs w:val="21"/>
              </w:rPr>
            </w:pPr>
            <w:r>
              <w:rPr>
                <w:rFonts w:hint="eastAsia"/>
                <w:szCs w:val="21"/>
              </w:rPr>
              <w:t>2</w:t>
            </w:r>
          </w:p>
        </w:tc>
        <w:tc>
          <w:tcPr>
            <w:tcW w:w="2477" w:type="dxa"/>
            <w:gridSpan w:val="2"/>
            <w:vAlign w:val="center"/>
          </w:tcPr>
          <w:p>
            <w:pPr>
              <w:jc w:val="center"/>
              <w:rPr>
                <w:szCs w:val="21"/>
              </w:rPr>
            </w:pPr>
            <w:r>
              <w:rPr>
                <w:rFonts w:hint="eastAsia"/>
                <w:szCs w:val="21"/>
              </w:rPr>
              <w:t>企业专业设施、设备情况</w:t>
            </w: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5" w:type="dxa"/>
            <w:vAlign w:val="center"/>
          </w:tcPr>
          <w:p>
            <w:pPr>
              <w:jc w:val="center"/>
              <w:rPr>
                <w:szCs w:val="21"/>
              </w:rPr>
            </w:pPr>
            <w:r>
              <w:rPr>
                <w:rFonts w:hint="eastAsia"/>
                <w:szCs w:val="21"/>
              </w:rPr>
              <w:t>3</w:t>
            </w:r>
          </w:p>
        </w:tc>
        <w:tc>
          <w:tcPr>
            <w:tcW w:w="2477" w:type="dxa"/>
            <w:gridSpan w:val="2"/>
            <w:vAlign w:val="center"/>
          </w:tcPr>
          <w:p>
            <w:pPr>
              <w:jc w:val="center"/>
              <w:rPr>
                <w:szCs w:val="21"/>
              </w:rPr>
            </w:pPr>
          </w:p>
        </w:tc>
        <w:tc>
          <w:tcPr>
            <w:tcW w:w="4514" w:type="dxa"/>
            <w:vAlign w:val="center"/>
          </w:tcPr>
          <w:p>
            <w:pPr>
              <w:jc w:val="center"/>
              <w:rPr>
                <w:szCs w:val="21"/>
              </w:rPr>
            </w:pP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5" w:type="dxa"/>
            <w:vAlign w:val="center"/>
          </w:tcPr>
          <w:p>
            <w:pPr>
              <w:jc w:val="center"/>
              <w:rPr>
                <w:b/>
                <w:szCs w:val="21"/>
              </w:rPr>
            </w:pPr>
            <w:r>
              <w:rPr>
                <w:rFonts w:hint="eastAsia"/>
                <w:b/>
                <w:szCs w:val="21"/>
              </w:rPr>
              <w:t>五</w:t>
            </w:r>
          </w:p>
        </w:tc>
        <w:tc>
          <w:tcPr>
            <w:tcW w:w="6991" w:type="dxa"/>
            <w:gridSpan w:val="3"/>
            <w:vAlign w:val="center"/>
          </w:tcPr>
          <w:p>
            <w:pPr>
              <w:rPr>
                <w:b/>
                <w:szCs w:val="21"/>
              </w:rPr>
            </w:pPr>
            <w:r>
              <w:rPr>
                <w:rFonts w:hint="eastAsia"/>
                <w:b/>
                <w:szCs w:val="21"/>
              </w:rPr>
              <w:t>其他</w:t>
            </w:r>
            <w:r>
              <w:rPr>
                <w:rFonts w:hint="eastAsia"/>
                <w:szCs w:val="21"/>
              </w:rPr>
              <w:t>（投标人认为需补充的其他说明）</w:t>
            </w:r>
          </w:p>
        </w:tc>
        <w:tc>
          <w:tcPr>
            <w:tcW w:w="1411" w:type="dxa"/>
            <w:vAlign w:val="center"/>
          </w:tcPr>
          <w:p>
            <w:pPr>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35" w:type="dxa"/>
            <w:vAlign w:val="center"/>
          </w:tcPr>
          <w:p>
            <w:pPr>
              <w:jc w:val="center"/>
              <w:rPr>
                <w:szCs w:val="21"/>
              </w:rPr>
            </w:pPr>
            <w:r>
              <w:rPr>
                <w:rFonts w:hint="eastAsia"/>
                <w:szCs w:val="21"/>
              </w:rPr>
              <w:t>1</w:t>
            </w:r>
          </w:p>
        </w:tc>
        <w:tc>
          <w:tcPr>
            <w:tcW w:w="2477" w:type="dxa"/>
            <w:gridSpan w:val="2"/>
            <w:vAlign w:val="center"/>
          </w:tcPr>
          <w:p>
            <w:pPr>
              <w:jc w:val="center"/>
              <w:rPr>
                <w:szCs w:val="21"/>
              </w:rPr>
            </w:pPr>
          </w:p>
        </w:tc>
        <w:tc>
          <w:tcPr>
            <w:tcW w:w="4514" w:type="dxa"/>
            <w:vAlign w:val="center"/>
          </w:tcPr>
          <w:p>
            <w:pPr>
              <w:jc w:val="center"/>
              <w:rPr>
                <w:szCs w:val="21"/>
              </w:rPr>
            </w:pPr>
          </w:p>
        </w:tc>
        <w:tc>
          <w:tcPr>
            <w:tcW w:w="1411" w:type="dxa"/>
            <w:vAlign w:val="center"/>
          </w:tcPr>
          <w:p>
            <w:pPr>
              <w:jc w:val="center"/>
              <w:rPr>
                <w:szCs w:val="21"/>
              </w:rPr>
            </w:pPr>
          </w:p>
        </w:tc>
      </w:tr>
    </w:tbl>
    <w:p>
      <w:pPr>
        <w:spacing w:line="360" w:lineRule="auto"/>
        <w:ind w:left="632" w:hanging="632" w:hangingChars="300"/>
        <w:rPr>
          <w:b/>
          <w:bCs/>
        </w:rPr>
      </w:pPr>
      <w:r>
        <w:rPr>
          <w:rFonts w:hint="eastAsia"/>
          <w:b/>
          <w:bCs/>
        </w:rPr>
        <w:t>注：1、在按要求填写好此表格后，各投标单位可以用其它的方式，就公司整体情况作出详细的介绍。</w:t>
      </w:r>
    </w:p>
    <w:p>
      <w:pPr>
        <w:spacing w:line="360" w:lineRule="auto"/>
        <w:ind w:firstLine="420"/>
        <w:rPr>
          <w:b/>
          <w:bCs/>
        </w:rPr>
      </w:pPr>
      <w:r>
        <w:rPr>
          <w:rFonts w:hint="eastAsia"/>
          <w:b/>
          <w:bCs/>
        </w:rPr>
        <w:t>2、有关资质和获奖情况需提供证书复印件。</w:t>
      </w:r>
    </w:p>
    <w:p>
      <w:pPr>
        <w:spacing w:line="360" w:lineRule="auto"/>
        <w:rPr>
          <w:b/>
          <w:bCs/>
        </w:rPr>
      </w:pPr>
    </w:p>
    <w:p>
      <w:pPr>
        <w:rPr>
          <w:b/>
          <w:bCs/>
        </w:rPr>
      </w:pPr>
      <w:r>
        <w:rPr>
          <w:b/>
          <w:bCs/>
        </w:rPr>
        <w:br w:type="page"/>
      </w:r>
    </w:p>
    <w:p>
      <w:pPr>
        <w:pStyle w:val="4"/>
        <w:jc w:val="center"/>
        <w:rPr>
          <w:rFonts w:hint="eastAsia" w:ascii="华文新魏" w:hAnsi="华文新魏" w:eastAsia="华文新魏" w:cs="华文新魏"/>
          <w:b/>
          <w:bCs/>
          <w:kern w:val="0"/>
          <w:sz w:val="44"/>
          <w:szCs w:val="44"/>
          <w:lang w:val="en-US" w:eastAsia="zh-CN" w:bidi="ar"/>
        </w:rPr>
      </w:pPr>
      <w:r>
        <w:rPr>
          <w:rFonts w:hint="eastAsia" w:ascii="华文新魏" w:hAnsi="华文新魏" w:eastAsia="华文新魏" w:cs="华文新魏"/>
          <w:b/>
          <w:bCs/>
          <w:kern w:val="0"/>
          <w:sz w:val="44"/>
          <w:szCs w:val="44"/>
          <w:lang w:val="en-US" w:eastAsia="zh-CN" w:bidi="ar"/>
        </w:rPr>
        <w:t>十、开票资料说明函</w:t>
      </w:r>
    </w:p>
    <w:p>
      <w:pPr>
        <w:pStyle w:val="2"/>
        <w:numPr>
          <w:ilvl w:val="0"/>
          <w:numId w:val="0"/>
        </w:numPr>
        <w:jc w:val="both"/>
      </w:pPr>
    </w:p>
    <w:p>
      <w:pPr>
        <w:keepNext w:val="0"/>
        <w:keepLines w:val="0"/>
        <w:widowControl/>
        <w:suppressLineNumbers w:val="0"/>
        <w:spacing w:line="360" w:lineRule="auto"/>
        <w:jc w:val="left"/>
      </w:pPr>
      <w:r>
        <w:rPr>
          <w:rFonts w:hint="eastAsia" w:ascii="宋体" w:hAnsi="宋体" w:eastAsia="宋体" w:cs="宋体"/>
          <w:b/>
          <w:color w:val="000000"/>
          <w:kern w:val="0"/>
          <w:sz w:val="24"/>
          <w:szCs w:val="24"/>
          <w:lang w:val="en-US" w:eastAsia="zh-CN" w:bidi="ar"/>
        </w:rPr>
        <w:t xml:space="preserve">深圳市深大体育文化发展有限公司: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本公司</w:t>
      </w:r>
      <w:r>
        <w:rPr>
          <w:rFonts w:hint="eastAsia" w:ascii="宋体" w:hAnsi="宋体" w:eastAsia="宋体" w:cs="宋体"/>
          <w:strike w:val="0"/>
          <w:dstrike w:val="0"/>
          <w:color w:val="000000"/>
          <w:kern w:val="0"/>
          <w:sz w:val="24"/>
          <w:szCs w:val="24"/>
          <w:u w:val="single"/>
          <w:lang w:val="en-US" w:eastAsia="zh-CN" w:bidi="ar"/>
        </w:rPr>
        <w:t xml:space="preserve"> </w:t>
      </w:r>
      <w:r>
        <w:rPr>
          <w:rFonts w:hint="eastAsia" w:ascii="宋体" w:hAnsi="宋体" w:cs="宋体"/>
          <w:strike w:val="0"/>
          <w:dstrike w:val="0"/>
          <w:color w:val="000000"/>
          <w:kern w:val="0"/>
          <w:sz w:val="24"/>
          <w:szCs w:val="24"/>
          <w:u w:val="single"/>
          <w:lang w:val="en-US" w:eastAsia="zh-CN" w:bidi="ar"/>
        </w:rPr>
        <w:t xml:space="preserve">   </w:t>
      </w:r>
      <w:r>
        <w:rPr>
          <w:rFonts w:hint="eastAsia" w:ascii="宋体" w:hAnsi="宋体" w:eastAsia="宋体" w:cs="宋体"/>
          <w:strike w:val="0"/>
          <w:dstrike w:val="0"/>
          <w:color w:val="000000"/>
          <w:kern w:val="0"/>
          <w:sz w:val="24"/>
          <w:szCs w:val="24"/>
          <w:u w:val="single"/>
          <w:lang w:val="en-US" w:eastAsia="zh-CN" w:bidi="ar"/>
        </w:rPr>
        <w:t>(供应商名称)</w:t>
      </w:r>
      <w:r>
        <w:rPr>
          <w:rFonts w:hint="eastAsia" w:ascii="宋体" w:hAnsi="宋体" w:cs="宋体"/>
          <w:strike w:val="0"/>
          <w:dstrike w:val="0"/>
          <w:color w:val="000000"/>
          <w:kern w:val="0"/>
          <w:sz w:val="24"/>
          <w:szCs w:val="24"/>
          <w:u w:val="single"/>
          <w:lang w:val="en-US" w:eastAsia="zh-CN" w:bidi="ar"/>
        </w:rPr>
        <w:t xml:space="preserve">   </w:t>
      </w:r>
      <w:r>
        <w:rPr>
          <w:rFonts w:hint="eastAsia" w:ascii="宋体" w:hAnsi="宋体" w:eastAsia="宋体" w:cs="宋体"/>
          <w:strike w:val="0"/>
          <w:dstrike w:val="0"/>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在参加在贵公司举行</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深大乒乓项目综合服务中心</w:t>
      </w:r>
      <w:r>
        <w:rPr>
          <w:rFonts w:hint="eastAsia" w:ascii="宋体" w:hAnsi="宋体" w:cs="宋体"/>
          <w:color w:val="000000"/>
          <w:kern w:val="0"/>
          <w:sz w:val="24"/>
          <w:szCs w:val="24"/>
          <w:u w:val="single"/>
          <w:lang w:val="en-US" w:eastAsia="zh-CN" w:bidi="ar"/>
        </w:rPr>
        <w:t>（华侨城基地）</w:t>
      </w:r>
      <w:r>
        <w:rPr>
          <w:rFonts w:hint="eastAsia" w:ascii="宋体" w:hAnsi="宋体" w:eastAsia="宋体" w:cs="宋体"/>
          <w:color w:val="000000"/>
          <w:kern w:val="0"/>
          <w:sz w:val="24"/>
          <w:szCs w:val="24"/>
          <w:u w:val="single"/>
          <w:lang w:val="en-US" w:eastAsia="zh-CN" w:bidi="ar"/>
        </w:rPr>
        <w:t>地胶采购项目</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(项目编号：</w:t>
      </w:r>
      <w:r>
        <w:rPr>
          <w:rFonts w:hint="eastAsia" w:ascii="宋体" w:hAnsi="宋体" w:cs="宋体"/>
          <w:color w:val="000000"/>
          <w:kern w:val="0"/>
          <w:sz w:val="24"/>
          <w:szCs w:val="24"/>
          <w:highlight w:val="yellow"/>
          <w:lang w:val="en-US" w:eastAsia="zh-CN" w:bidi="ar"/>
        </w:rPr>
        <w:t>SZUTT2021001HW</w:t>
      </w:r>
      <w:r>
        <w:rPr>
          <w:rFonts w:hint="eastAsia" w:ascii="宋体" w:hAnsi="宋体" w:eastAsia="宋体" w:cs="宋体"/>
          <w:color w:val="000000"/>
          <w:kern w:val="0"/>
          <w:sz w:val="24"/>
          <w:szCs w:val="24"/>
          <w:lang w:val="en-US" w:eastAsia="zh-CN" w:bidi="ar"/>
        </w:rPr>
        <w:t>)的招标中如获中标，则开票类型选择</w:t>
      </w:r>
      <w:r>
        <w:rPr>
          <w:rFonts w:hint="eastAsia" w:ascii="宋体" w:hAnsi="宋体" w:eastAsia="宋体" w:cs="宋体"/>
          <w:b/>
          <w:color w:val="000000"/>
          <w:kern w:val="0"/>
          <w:sz w:val="24"/>
          <w:szCs w:val="24"/>
          <w:lang w:val="en-US" w:eastAsia="zh-CN" w:bidi="ar"/>
        </w:rPr>
        <w:t>□增值税普通发票</w:t>
      </w:r>
      <w:r>
        <w:rPr>
          <w:rFonts w:hint="eastAsia" w:ascii="宋体" w:hAnsi="宋体" w:cs="宋体"/>
          <w:b/>
          <w:color w:val="000000"/>
          <w:kern w:val="0"/>
          <w:sz w:val="24"/>
          <w:szCs w:val="24"/>
          <w:lang w:val="en-US" w:eastAsia="zh-CN" w:bidi="ar"/>
        </w:rPr>
        <w:t>□</w:t>
      </w:r>
      <w:r>
        <w:rPr>
          <w:rFonts w:hint="eastAsia" w:ascii="宋体" w:hAnsi="宋体" w:eastAsia="宋体" w:cs="宋体"/>
          <w:b/>
          <w:color w:val="000000"/>
          <w:kern w:val="0"/>
          <w:sz w:val="24"/>
          <w:szCs w:val="24"/>
          <w:lang w:val="en-US" w:eastAsia="zh-CN" w:bidi="ar"/>
        </w:rPr>
        <w:t>增值税专用发票</w:t>
      </w:r>
      <w:r>
        <w:rPr>
          <w:rFonts w:hint="eastAsia" w:ascii="宋体" w:hAnsi="宋体" w:eastAsia="宋体" w:cs="宋体"/>
          <w:color w:val="000000"/>
          <w:kern w:val="0"/>
          <w:sz w:val="24"/>
          <w:szCs w:val="24"/>
          <w:lang w:val="en-US" w:eastAsia="zh-CN" w:bidi="ar"/>
        </w:rPr>
        <w:t>（</w:t>
      </w:r>
      <w:r>
        <w:rPr>
          <w:rFonts w:hint="eastAsia" w:ascii="宋体" w:hAnsi="宋体" w:eastAsia="宋体" w:cs="宋体"/>
          <w:b/>
          <w:color w:val="000000"/>
          <w:kern w:val="0"/>
          <w:sz w:val="24"/>
          <w:szCs w:val="24"/>
          <w:lang w:val="en-US" w:eastAsia="zh-CN" w:bidi="ar"/>
        </w:rPr>
        <w:t>请在对应的“□”打“√”，且只能选 择其中一项）</w:t>
      </w:r>
      <w:r>
        <w:rPr>
          <w:rFonts w:hint="eastAsia" w:ascii="宋体" w:hAnsi="宋体" w:eastAsia="宋体" w:cs="宋体"/>
          <w:color w:val="000000"/>
          <w:kern w:val="0"/>
          <w:sz w:val="24"/>
          <w:szCs w:val="24"/>
          <w:lang w:val="en-US" w:eastAsia="zh-CN" w:bidi="ar"/>
        </w:rPr>
        <w:t xml:space="preserve">，以及我司的开票资料如下： </w:t>
      </w:r>
    </w:p>
    <w:tbl>
      <w:tblPr>
        <w:tblStyle w:val="55"/>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3191"/>
        <w:gridCol w:w="169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512" w:type="dxa"/>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单位名称</w:t>
            </w:r>
          </w:p>
        </w:tc>
        <w:tc>
          <w:tcPr>
            <w:tcW w:w="6314" w:type="dxa"/>
            <w:gridSpan w:val="3"/>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12" w:type="dxa"/>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纳税人识别号</w:t>
            </w:r>
          </w:p>
        </w:tc>
        <w:tc>
          <w:tcPr>
            <w:tcW w:w="6314" w:type="dxa"/>
            <w:gridSpan w:val="3"/>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12" w:type="dxa"/>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地址</w:t>
            </w:r>
          </w:p>
        </w:tc>
        <w:tc>
          <w:tcPr>
            <w:tcW w:w="6314" w:type="dxa"/>
            <w:gridSpan w:val="3"/>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512" w:type="dxa"/>
            <w:vAlign w:val="center"/>
          </w:tcPr>
          <w:p>
            <w:pPr>
              <w:keepNext w:val="0"/>
              <w:keepLines w:val="0"/>
              <w:widowControl/>
              <w:suppressLineNumbers w:val="0"/>
              <w:spacing w:line="360" w:lineRule="auto"/>
              <w:jc w:val="center"/>
              <w:rPr>
                <w:rFonts w:hint="eastAsia"/>
                <w:lang w:val="en-US" w:eastAsia="zh-CN"/>
              </w:rPr>
            </w:pPr>
            <w:r>
              <w:rPr>
                <w:rFonts w:hint="eastAsia"/>
                <w:lang w:val="en-US" w:eastAsia="zh-CN"/>
              </w:rPr>
              <w:t>开户银行（具体到 XX 银行 XX 支行）</w:t>
            </w:r>
          </w:p>
        </w:tc>
        <w:tc>
          <w:tcPr>
            <w:tcW w:w="3191" w:type="dxa"/>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p>
        </w:tc>
        <w:tc>
          <w:tcPr>
            <w:tcW w:w="1691" w:type="dxa"/>
            <w:vAlign w:val="center"/>
          </w:tcPr>
          <w:p>
            <w:pPr>
              <w:keepNext w:val="0"/>
              <w:keepLines w:val="0"/>
              <w:widowControl/>
              <w:suppressLineNumbers w:val="0"/>
              <w:spacing w:line="360" w:lineRule="auto"/>
              <w:jc w:val="center"/>
            </w:pPr>
          </w:p>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联系电话</w:t>
            </w:r>
          </w:p>
        </w:tc>
        <w:tc>
          <w:tcPr>
            <w:tcW w:w="1432" w:type="dxa"/>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512" w:type="dxa"/>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账 号</w:t>
            </w:r>
          </w:p>
        </w:tc>
        <w:tc>
          <w:tcPr>
            <w:tcW w:w="3191" w:type="dxa"/>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p>
        </w:tc>
        <w:tc>
          <w:tcPr>
            <w:tcW w:w="1691" w:type="dxa"/>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联系人</w:t>
            </w:r>
          </w:p>
        </w:tc>
        <w:tc>
          <w:tcPr>
            <w:tcW w:w="1432" w:type="dxa"/>
            <w:vAlign w:val="center"/>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26" w:type="dxa"/>
            <w:gridSpan w:val="4"/>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b/>
                <w:color w:val="000000"/>
                <w:kern w:val="0"/>
                <w:sz w:val="24"/>
                <w:szCs w:val="24"/>
                <w:lang w:val="en-US" w:eastAsia="zh-CN" w:bidi="ar"/>
              </w:rPr>
              <w:t>附件：一般纳税人资格认定税务通知书或其他可证明具有该项资格证明文件的复印</w:t>
            </w:r>
            <w:r>
              <w:rPr>
                <w:rFonts w:hint="eastAsia" w:ascii="宋体" w:hAnsi="宋体" w:cs="宋体"/>
                <w:b/>
                <w:color w:val="000000"/>
                <w:kern w:val="0"/>
                <w:sz w:val="24"/>
                <w:szCs w:val="24"/>
                <w:lang w:val="en-US" w:eastAsia="zh-CN" w:bidi="ar"/>
              </w:rPr>
              <w:t>件。（加盖公章）</w:t>
            </w:r>
          </w:p>
        </w:tc>
      </w:tr>
    </w:tbl>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投标截止日，如我公司未按该要求填写、未提供有效的开票资料、未确认开具发票类型或确认的发票类型有误，则视为开具增值税普通发票。同意广东采联采购科技有限公司不予更换发票类型。并愿承担由此引起的一切后果。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投标人名称（单位盖公章）： </w:t>
      </w:r>
    </w:p>
    <w:p>
      <w:pPr>
        <w:pStyle w:val="2"/>
      </w:pP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投标人地址：</w:t>
      </w:r>
    </w:p>
    <w:p>
      <w:pPr>
        <w:pStyle w:val="2"/>
        <w:spacing w:line="360" w:lineRule="auto"/>
        <w:rPr>
          <w:rFonts w:hint="eastAsia"/>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p>
    <w:p>
      <w:pPr>
        <w:rPr>
          <w:rFonts w:hint="eastAsia" w:ascii="宋体" w:hAnsi="宋体" w:eastAsia="宋体" w:cs="宋体"/>
          <w:b/>
          <w:bCs/>
        </w:rPr>
      </w:pPr>
      <w:r>
        <w:rPr>
          <w:rFonts w:hint="eastAsia" w:ascii="宋体" w:hAnsi="宋体" w:eastAsia="宋体" w:cs="宋体"/>
          <w:b/>
          <w:color w:val="FF0000"/>
          <w:sz w:val="30"/>
          <w:szCs w:val="30"/>
        </w:rPr>
        <w:t>投标文件第二部分：</w:t>
      </w:r>
    </w:p>
    <w:p>
      <w:pPr>
        <w:pStyle w:val="2"/>
        <w:numPr>
          <w:ilvl w:val="0"/>
          <w:numId w:val="0"/>
        </w:numPr>
        <w:spacing w:line="360" w:lineRule="auto"/>
        <w:jc w:val="center"/>
        <w:rPr>
          <w:rFonts w:hint="eastAsia" w:ascii="华文新魏" w:hAnsi="华文新魏" w:eastAsia="华文新魏" w:cs="华文新魏"/>
          <w:b/>
          <w:bCs w:val="0"/>
          <w:kern w:val="2"/>
          <w:sz w:val="44"/>
          <w:szCs w:val="44"/>
        </w:rPr>
      </w:pPr>
      <w:r>
        <w:rPr>
          <w:rFonts w:hint="eastAsia" w:ascii="华文新魏" w:hAnsi="华文新魏" w:eastAsia="华文新魏" w:cs="华文新魏"/>
          <w:b/>
          <w:bCs w:val="0"/>
          <w:kern w:val="2"/>
          <w:sz w:val="44"/>
          <w:szCs w:val="44"/>
        </w:rPr>
        <w:t>一、授权委托代理人联系方式</w:t>
      </w:r>
    </w:p>
    <w:p>
      <w:pPr>
        <w:spacing w:line="600" w:lineRule="auto"/>
        <w:ind w:firstLine="420" w:firstLineChars="200"/>
        <w:rPr>
          <w:szCs w:val="21"/>
        </w:rPr>
      </w:pPr>
      <w:r>
        <w:rPr>
          <w:rFonts w:hint="eastAsia" w:ascii="宋体" w:hAnsi="宋体" w:eastAsia="宋体" w:cs="宋体"/>
          <w:szCs w:val="21"/>
        </w:rPr>
        <w:t>本授权委托书声明：我（姓名）系（投标人名称）的法定代表人，现授权委托（单位名称）的（姓名）为我公司签署本项目已递交的投标文件的法定</w:t>
      </w:r>
      <w:r>
        <w:rPr>
          <w:rFonts w:hint="eastAsia"/>
          <w:szCs w:val="21"/>
        </w:rPr>
        <w:t>代表人的授权委托代理人，代理人全权代表我所签署的本项目已递交的投标文件内容我均承认。</w:t>
      </w:r>
    </w:p>
    <w:p>
      <w:pPr>
        <w:pStyle w:val="7"/>
        <w:spacing w:line="600" w:lineRule="auto"/>
        <w:rPr>
          <w:szCs w:val="21"/>
        </w:rPr>
      </w:pPr>
      <w:r>
        <w:rPr>
          <w:rFonts w:hint="eastAsia"/>
          <w:szCs w:val="21"/>
        </w:rPr>
        <w:t>代理人无转委托权，特此委托。</w:t>
      </w:r>
    </w:p>
    <w:p>
      <w:pPr>
        <w:spacing w:line="600" w:lineRule="auto"/>
        <w:rPr>
          <w:szCs w:val="21"/>
        </w:rPr>
      </w:pPr>
    </w:p>
    <w:p>
      <w:pPr>
        <w:spacing w:line="600" w:lineRule="auto"/>
        <w:ind w:left="540" w:leftChars="257"/>
        <w:rPr>
          <w:szCs w:val="21"/>
          <w:u w:val="single"/>
        </w:rPr>
      </w:pPr>
      <w:r>
        <w:rPr>
          <w:rFonts w:hint="eastAsia"/>
          <w:szCs w:val="21"/>
        </w:rPr>
        <w:t>代理人：性别：年龄：</w:t>
      </w:r>
    </w:p>
    <w:p>
      <w:pPr>
        <w:spacing w:line="600" w:lineRule="auto"/>
        <w:ind w:left="540" w:leftChars="257"/>
        <w:rPr>
          <w:szCs w:val="21"/>
        </w:rPr>
      </w:pPr>
      <w:r>
        <w:rPr>
          <w:rFonts w:hint="eastAsia"/>
          <w:szCs w:val="21"/>
        </w:rPr>
        <w:t>联系电话：  手机：</w:t>
      </w:r>
    </w:p>
    <w:p>
      <w:pPr>
        <w:spacing w:line="600" w:lineRule="auto"/>
        <w:ind w:left="540" w:leftChars="257"/>
        <w:rPr>
          <w:szCs w:val="21"/>
          <w:u w:val="single"/>
        </w:rPr>
      </w:pPr>
      <w:r>
        <w:rPr>
          <w:rFonts w:hint="eastAsia"/>
          <w:szCs w:val="21"/>
        </w:rPr>
        <w:t>身份证号码：职务：</w:t>
      </w:r>
    </w:p>
    <w:p>
      <w:pPr>
        <w:spacing w:line="600" w:lineRule="auto"/>
        <w:ind w:left="540" w:leftChars="257"/>
        <w:rPr>
          <w:szCs w:val="21"/>
        </w:rPr>
      </w:pPr>
      <w:r>
        <w:rPr>
          <w:rFonts w:hint="eastAsia"/>
          <w:szCs w:val="21"/>
        </w:rPr>
        <w:t>投标人：</w:t>
      </w:r>
    </w:p>
    <w:p>
      <w:pPr>
        <w:spacing w:line="600" w:lineRule="auto"/>
        <w:ind w:left="540" w:leftChars="257"/>
        <w:rPr>
          <w:szCs w:val="21"/>
        </w:rPr>
      </w:pPr>
      <w:r>
        <w:rPr>
          <w:rFonts w:hint="eastAsia"/>
          <w:szCs w:val="21"/>
        </w:rPr>
        <w:t>法定代表人：（签名或</w:t>
      </w:r>
      <w:r>
        <w:rPr>
          <w:szCs w:val="21"/>
        </w:rPr>
        <w:t>签章</w:t>
      </w:r>
      <w:r>
        <w:rPr>
          <w:rFonts w:hint="eastAsia"/>
          <w:szCs w:val="21"/>
        </w:rPr>
        <w:t>）  （公章）</w:t>
      </w:r>
    </w:p>
    <w:p>
      <w:pPr>
        <w:spacing w:line="600" w:lineRule="auto"/>
        <w:ind w:firstLine="420" w:firstLineChars="200"/>
        <w:rPr>
          <w:szCs w:val="21"/>
        </w:rPr>
      </w:pPr>
      <w:r>
        <w:rPr>
          <w:rFonts w:hint="eastAsia"/>
          <w:szCs w:val="21"/>
        </w:rPr>
        <w:t>授权委托日期：</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 xml:space="preserve">月 </w:t>
      </w:r>
      <w:r>
        <w:rPr>
          <w:rFonts w:hint="eastAsia"/>
          <w:szCs w:val="21"/>
          <w:lang w:val="en-US" w:eastAsia="zh-CN"/>
        </w:rPr>
        <w:t xml:space="preserve">  </w:t>
      </w:r>
      <w:r>
        <w:rPr>
          <w:rFonts w:hint="eastAsia"/>
          <w:szCs w:val="21"/>
        </w:rPr>
        <w:t>日</w:t>
      </w:r>
    </w:p>
    <w:p>
      <w:pPr>
        <w:spacing w:line="360" w:lineRule="auto"/>
        <w:ind w:firstLine="420"/>
        <w:rPr>
          <w:rFonts w:hint="eastAsia"/>
        </w:rPr>
      </w:pPr>
      <w:r>
        <w:rPr>
          <w:szCs w:val="21"/>
        </w:rPr>
        <w:br w:type="page"/>
      </w:r>
      <w:bookmarkStart w:id="31" w:name="_Toc73521628"/>
      <w:bookmarkStart w:id="32" w:name="_Toc60631689"/>
      <w:bookmarkStart w:id="33" w:name="_Toc101074909"/>
      <w:bookmarkStart w:id="34" w:name="_Toc73521716"/>
      <w:bookmarkStart w:id="35" w:name="_Toc73518192"/>
      <w:bookmarkStart w:id="36" w:name="_Toc73517714"/>
      <w:bookmarkStart w:id="37" w:name="_Toc100052479"/>
      <w:bookmarkStart w:id="38" w:name="_Toc71860066"/>
    </w:p>
    <w:bookmarkEnd w:id="31"/>
    <w:bookmarkEnd w:id="32"/>
    <w:bookmarkEnd w:id="33"/>
    <w:bookmarkEnd w:id="34"/>
    <w:bookmarkEnd w:id="35"/>
    <w:bookmarkEnd w:id="36"/>
    <w:bookmarkEnd w:id="37"/>
    <w:bookmarkEnd w:id="38"/>
    <w:p>
      <w:pPr>
        <w:pStyle w:val="2"/>
        <w:numPr>
          <w:ilvl w:val="0"/>
          <w:numId w:val="0"/>
        </w:numPr>
        <w:autoSpaceDE w:val="0"/>
        <w:autoSpaceDN w:val="0"/>
        <w:adjustRightInd w:val="0"/>
        <w:spacing w:line="360" w:lineRule="auto"/>
        <w:jc w:val="center"/>
        <w:rPr>
          <w:rFonts w:hint="eastAsia" w:ascii="华文新魏" w:hAnsi="华文新魏" w:eastAsia="华文新魏" w:cs="华文新魏"/>
          <w:b/>
          <w:bCs w:val="0"/>
          <w:kern w:val="2"/>
          <w:sz w:val="44"/>
          <w:szCs w:val="44"/>
        </w:rPr>
      </w:pPr>
      <w:r>
        <w:rPr>
          <w:rFonts w:hint="eastAsia" w:ascii="华文新魏" w:hAnsi="华文新魏" w:eastAsia="华文新魏" w:cs="华文新魏"/>
          <w:b/>
          <w:bCs w:val="0"/>
          <w:kern w:val="2"/>
          <w:sz w:val="44"/>
          <w:szCs w:val="44"/>
          <w:lang w:eastAsia="zh-CN"/>
        </w:rPr>
        <w:t>二、</w:t>
      </w:r>
      <w:r>
        <w:rPr>
          <w:rFonts w:hint="eastAsia" w:ascii="华文新魏" w:hAnsi="华文新魏" w:eastAsia="华文新魏" w:cs="华文新魏"/>
          <w:b/>
          <w:bCs w:val="0"/>
          <w:kern w:val="2"/>
          <w:sz w:val="44"/>
          <w:szCs w:val="44"/>
        </w:rPr>
        <w:t>拟采用材料品牌型号表</w:t>
      </w:r>
    </w:p>
    <w:p>
      <w:pPr>
        <w:pStyle w:val="2"/>
        <w:rPr>
          <w:rFonts w:hint="eastAsia"/>
        </w:rPr>
      </w:pP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2468"/>
        <w:gridCol w:w="24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7" w:type="pct"/>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447" w:type="pct"/>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材料名称</w:t>
            </w:r>
          </w:p>
        </w:tc>
        <w:tc>
          <w:tcPr>
            <w:tcW w:w="1448" w:type="pct"/>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品牌、规格、型号</w:t>
            </w:r>
          </w:p>
        </w:tc>
        <w:tc>
          <w:tcPr>
            <w:tcW w:w="1448" w:type="pct"/>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7" w:type="pct"/>
            <w:vAlign w:val="center"/>
          </w:tcPr>
          <w:p>
            <w:pPr>
              <w:jc w:val="center"/>
              <w:rPr>
                <w:rFonts w:hint="eastAsia" w:ascii="宋体" w:hAnsi="宋体" w:eastAsia="宋体" w:cs="宋体"/>
              </w:rPr>
            </w:pPr>
          </w:p>
        </w:tc>
        <w:tc>
          <w:tcPr>
            <w:tcW w:w="1447"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7" w:type="pct"/>
            <w:vAlign w:val="center"/>
          </w:tcPr>
          <w:p>
            <w:pPr>
              <w:jc w:val="center"/>
              <w:rPr>
                <w:rFonts w:hint="eastAsia" w:ascii="宋体" w:hAnsi="宋体" w:eastAsia="宋体" w:cs="宋体"/>
              </w:rPr>
            </w:pPr>
          </w:p>
        </w:tc>
        <w:tc>
          <w:tcPr>
            <w:tcW w:w="1447"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7" w:type="pct"/>
            <w:vAlign w:val="center"/>
          </w:tcPr>
          <w:p>
            <w:pPr>
              <w:jc w:val="center"/>
              <w:rPr>
                <w:rFonts w:hint="eastAsia" w:ascii="宋体" w:hAnsi="宋体" w:eastAsia="宋体" w:cs="宋体"/>
              </w:rPr>
            </w:pPr>
          </w:p>
        </w:tc>
        <w:tc>
          <w:tcPr>
            <w:tcW w:w="1447"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7" w:type="pct"/>
            <w:vAlign w:val="center"/>
          </w:tcPr>
          <w:p>
            <w:pPr>
              <w:jc w:val="center"/>
              <w:rPr>
                <w:rFonts w:hint="eastAsia" w:ascii="宋体" w:hAnsi="宋体" w:eastAsia="宋体" w:cs="宋体"/>
              </w:rPr>
            </w:pPr>
          </w:p>
        </w:tc>
        <w:tc>
          <w:tcPr>
            <w:tcW w:w="1447"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7" w:type="pct"/>
            <w:vAlign w:val="center"/>
          </w:tcPr>
          <w:p>
            <w:pPr>
              <w:jc w:val="center"/>
              <w:rPr>
                <w:rFonts w:hint="eastAsia" w:ascii="宋体" w:hAnsi="宋体" w:eastAsia="宋体" w:cs="宋体"/>
              </w:rPr>
            </w:pPr>
          </w:p>
        </w:tc>
        <w:tc>
          <w:tcPr>
            <w:tcW w:w="1447"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7" w:type="pct"/>
            <w:vAlign w:val="center"/>
          </w:tcPr>
          <w:p>
            <w:pPr>
              <w:jc w:val="center"/>
              <w:rPr>
                <w:rFonts w:hint="eastAsia" w:ascii="宋体" w:hAnsi="宋体" w:eastAsia="宋体" w:cs="宋体"/>
              </w:rPr>
            </w:pPr>
          </w:p>
        </w:tc>
        <w:tc>
          <w:tcPr>
            <w:tcW w:w="1447"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7" w:type="pct"/>
            <w:vAlign w:val="center"/>
          </w:tcPr>
          <w:p>
            <w:pPr>
              <w:jc w:val="center"/>
              <w:rPr>
                <w:rFonts w:hint="eastAsia" w:ascii="宋体" w:hAnsi="宋体" w:eastAsia="宋体" w:cs="宋体"/>
              </w:rPr>
            </w:pPr>
          </w:p>
        </w:tc>
        <w:tc>
          <w:tcPr>
            <w:tcW w:w="1447"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c>
          <w:tcPr>
            <w:tcW w:w="1448" w:type="pct"/>
            <w:vAlign w:val="center"/>
          </w:tcPr>
          <w:p>
            <w:pPr>
              <w:jc w:val="center"/>
              <w:rPr>
                <w:rFonts w:hint="eastAsia" w:ascii="宋体" w:hAnsi="宋体" w:eastAsia="宋体" w:cs="宋体"/>
              </w:rPr>
            </w:pPr>
          </w:p>
        </w:tc>
      </w:tr>
    </w:tbl>
    <w:p>
      <w:pPr>
        <w:spacing w:line="480" w:lineRule="auto"/>
        <w:jc w:val="left"/>
        <w:rPr>
          <w:rFonts w:hint="eastAsia" w:ascii="宋体" w:hAnsi="宋体" w:eastAsia="宋体" w:cs="宋体"/>
          <w:color w:val="FF0000"/>
          <w:sz w:val="28"/>
          <w:szCs w:val="30"/>
        </w:rPr>
      </w:pPr>
      <w:r>
        <w:rPr>
          <w:rFonts w:hint="eastAsia" w:ascii="宋体" w:hAnsi="宋体" w:eastAsia="宋体" w:cs="宋体"/>
          <w:color w:val="FF0000"/>
          <w:sz w:val="24"/>
          <w:szCs w:val="28"/>
        </w:rPr>
        <w:t>备注：</w:t>
      </w:r>
      <w:r>
        <w:rPr>
          <w:rFonts w:hint="eastAsia" w:ascii="宋体" w:hAnsi="宋体" w:eastAsia="宋体" w:cs="宋体"/>
          <w:color w:val="FF0000"/>
          <w:sz w:val="24"/>
          <w:szCs w:val="28"/>
          <w:lang w:eastAsia="zh-CN"/>
        </w:rPr>
        <w:t>采购</w:t>
      </w:r>
      <w:r>
        <w:rPr>
          <w:rFonts w:hint="eastAsia" w:ascii="宋体" w:hAnsi="宋体" w:eastAsia="宋体" w:cs="宋体"/>
          <w:color w:val="FF0000"/>
          <w:sz w:val="24"/>
          <w:szCs w:val="28"/>
        </w:rPr>
        <w:t>清单与计价表、主要材料参考品牌中出现的材料品牌都均为参考品牌，不作为对供应商投标采用材料品牌的限制，仅作为衡量供应商投标采用材料品质是否满足采购要求的标准，供应商拟采用材料的品质须与招标文件参考品牌相当或优于参考品牌。供应商投标材料是否满足招标文件要求由评标委员会评定</w:t>
      </w:r>
      <w:r>
        <w:rPr>
          <w:rFonts w:hint="eastAsia" w:ascii="宋体" w:hAnsi="宋体" w:eastAsia="宋体" w:cs="宋体"/>
          <w:color w:val="FF0000"/>
          <w:sz w:val="28"/>
          <w:szCs w:val="30"/>
        </w:rPr>
        <w:t>。</w:t>
      </w:r>
    </w:p>
    <w:p>
      <w:pPr>
        <w:spacing w:line="480" w:lineRule="auto"/>
        <w:jc w:val="left"/>
        <w:rPr>
          <w:rFonts w:hint="eastAsia" w:ascii="宋体" w:hAnsi="宋体" w:eastAsia="宋体" w:cs="宋体"/>
          <w:b/>
          <w:color w:val="FF0000"/>
          <w:sz w:val="30"/>
          <w:szCs w:val="30"/>
        </w:rPr>
      </w:pPr>
      <w:r>
        <w:rPr>
          <w:rFonts w:hint="eastAsia" w:ascii="宋体" w:hAnsi="宋体" w:eastAsia="宋体" w:cs="宋体"/>
          <w:b/>
          <w:color w:val="FF0000"/>
          <w:sz w:val="30"/>
          <w:szCs w:val="30"/>
        </w:rPr>
        <w:t>投标人提交投标文件时，必须填写此表。备注栏可不填写。</w:t>
      </w:r>
    </w:p>
    <w:p>
      <w:pPr>
        <w:spacing w:line="480" w:lineRule="auto"/>
        <w:jc w:val="left"/>
        <w:rPr>
          <w:rFonts w:hint="eastAsia" w:ascii="宋体" w:hAnsi="宋体" w:eastAsia="宋体" w:cs="宋体"/>
          <w:b/>
          <w:color w:val="FF0000"/>
          <w:sz w:val="30"/>
          <w:szCs w:val="30"/>
        </w:rPr>
      </w:pPr>
    </w:p>
    <w:p>
      <w:pPr>
        <w:spacing w:line="360" w:lineRule="auto"/>
        <w:rPr>
          <w:color w:val="FF0000"/>
          <w:sz w:val="24"/>
        </w:rPr>
      </w:pPr>
    </w:p>
    <w:p>
      <w:pPr>
        <w:pStyle w:val="2"/>
        <w:spacing w:line="360" w:lineRule="auto"/>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r>
        <w:br w:type="page"/>
      </w:r>
    </w:p>
    <w:p>
      <w:pPr>
        <w:pStyle w:val="2"/>
        <w:numPr>
          <w:ilvl w:val="0"/>
          <w:numId w:val="0"/>
        </w:numPr>
        <w:spacing w:line="360" w:lineRule="auto"/>
        <w:ind w:leftChars="0"/>
        <w:jc w:val="center"/>
        <w:rPr>
          <w:rFonts w:hint="eastAsia" w:ascii="华文新魏" w:hAnsi="华文新魏" w:eastAsia="华文新魏" w:cs="华文新魏"/>
          <w:b/>
          <w:bCs w:val="0"/>
          <w:kern w:val="2"/>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-218440</wp:posOffset>
                </wp:positionH>
                <wp:positionV relativeFrom="paragraph">
                  <wp:posOffset>452120</wp:posOffset>
                </wp:positionV>
                <wp:extent cx="5645785" cy="5550535"/>
                <wp:effectExtent l="6350" t="6350" r="24765" b="24765"/>
                <wp:wrapNone/>
                <wp:docPr id="6" name="矩形 6"/>
                <wp:cNvGraphicFramePr/>
                <a:graphic xmlns:a="http://schemas.openxmlformats.org/drawingml/2006/main">
                  <a:graphicData uri="http://schemas.microsoft.com/office/word/2010/wordprocessingShape">
                    <wps:wsp>
                      <wps:cNvSpPr/>
                      <wps:spPr>
                        <a:xfrm>
                          <a:off x="520065" y="1749425"/>
                          <a:ext cx="5645785" cy="55505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pt;margin-top:35.6pt;height:437.05pt;width:444.55pt;z-index:251663360;v-text-anchor:middle;mso-width-relative:page;mso-height-relative:page;" filled="f" stroked="t" coordsize="21600,21600" o:gfxdata="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asPMz2gAAAAoBAAAPAAAAAAAAAAEAIAAAACIA&#10;AABkcnMvZG93bnJldi54bWxQSwECFAAUAAAACACHTuJA53fK73kCAADiBAAADgAAAAAAAAABACAA&#10;AAApAQAAZHJzL2Uyb0RvYy54bWxQSwUGAAAAAAYABgBZAQAAFAYAAAAA&#10;">
                <v:fill on="f" focussize="0,0"/>
                <v:stroke weight="1pt" color="#000000 [3213]" miterlimit="8" joinstyle="miter"/>
                <v:imagedata o:title=""/>
                <o:lock v:ext="edit" aspectratio="f"/>
                <v:textbox>
                  <w:txbxContent>
                    <w:p>
                      <w:pPr>
                        <w:jc w:val="both"/>
                      </w:pPr>
                    </w:p>
                  </w:txbxContent>
                </v:textbox>
              </v:rect>
            </w:pict>
          </mc:Fallback>
        </mc:AlternateContent>
      </w:r>
      <w:r>
        <w:rPr>
          <w:rFonts w:hint="eastAsia" w:ascii="华文新魏" w:hAnsi="华文新魏" w:eastAsia="华文新魏" w:cs="华文新魏"/>
          <w:b/>
          <w:bCs w:val="0"/>
          <w:kern w:val="2"/>
          <w:sz w:val="44"/>
          <w:szCs w:val="44"/>
          <w:lang w:eastAsia="zh-CN"/>
        </w:rPr>
        <w:t>三、</w:t>
      </w:r>
      <w:r>
        <w:rPr>
          <w:rFonts w:hint="eastAsia" w:ascii="华文新魏" w:hAnsi="华文新魏" w:eastAsia="华文新魏" w:cs="华文新魏"/>
          <w:b/>
          <w:bCs w:val="0"/>
          <w:kern w:val="2"/>
          <w:sz w:val="44"/>
          <w:szCs w:val="44"/>
        </w:rPr>
        <w:t>投标样品清单</w:t>
      </w:r>
    </w:p>
    <w:p>
      <w:pPr>
        <w:widowControl w:val="0"/>
        <w:numPr>
          <w:ilvl w:val="0"/>
          <w:numId w:val="0"/>
        </w:numPr>
        <w:jc w:val="both"/>
        <w:rPr>
          <w:rFonts w:hint="eastAsia"/>
        </w:rPr>
      </w:pPr>
    </w:p>
    <w:p>
      <w:pPr>
        <w:keepNext w:val="0"/>
        <w:keepLines w:val="0"/>
        <w:widowControl/>
        <w:suppressLineNumbers w:val="0"/>
        <w:spacing w:line="480" w:lineRule="auto"/>
        <w:jc w:val="center"/>
      </w:pPr>
      <w:r>
        <w:rPr>
          <w:rFonts w:hint="eastAsia" w:ascii="宋体" w:hAnsi="宋体" w:eastAsia="宋体" w:cs="宋体"/>
          <w:color w:val="000000"/>
          <w:kern w:val="0"/>
          <w:sz w:val="36"/>
          <w:szCs w:val="36"/>
          <w:lang w:val="en-US" w:eastAsia="zh-CN" w:bidi="ar"/>
        </w:rPr>
        <w:t>投标样品清单</w:t>
      </w:r>
    </w:p>
    <w:p>
      <w:pPr>
        <w:keepNext w:val="0"/>
        <w:keepLines w:val="0"/>
        <w:widowControl/>
        <w:suppressLineNumbers w:val="0"/>
        <w:spacing w:line="480" w:lineRule="auto"/>
        <w:jc w:val="left"/>
        <w:rPr>
          <w:rFonts w:hint="default"/>
          <w:lang w:val="en-US"/>
        </w:rPr>
      </w:pPr>
      <w:r>
        <w:rPr>
          <w:rFonts w:hint="eastAsia" w:ascii="宋体" w:hAnsi="宋体" w:eastAsia="宋体" w:cs="宋体"/>
          <w:color w:val="000000"/>
          <w:kern w:val="0"/>
          <w:sz w:val="28"/>
          <w:szCs w:val="28"/>
          <w:lang w:val="en-US" w:eastAsia="zh-CN" w:bidi="ar"/>
        </w:rPr>
        <w:t>项目编号：</w:t>
      </w:r>
      <w:r>
        <w:rPr>
          <w:rFonts w:hint="eastAsia" w:ascii="宋体" w:hAnsi="宋体" w:cs="宋体"/>
          <w:color w:val="000000"/>
          <w:kern w:val="0"/>
          <w:sz w:val="28"/>
          <w:szCs w:val="28"/>
          <w:lang w:val="en-US" w:eastAsia="zh-CN" w:bidi="ar"/>
        </w:rPr>
        <w:t>SZUTT2021001HW</w:t>
      </w:r>
    </w:p>
    <w:p>
      <w:pPr>
        <w:keepNext w:val="0"/>
        <w:keepLines w:val="0"/>
        <w:widowControl/>
        <w:suppressLineNumbers w:val="0"/>
        <w:spacing w:line="48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项目名称：深大乒乓项目综合服务中心</w:t>
      </w:r>
      <w:r>
        <w:rPr>
          <w:rFonts w:hint="eastAsia" w:ascii="宋体" w:hAnsi="宋体" w:cs="宋体"/>
          <w:color w:val="000000"/>
          <w:kern w:val="0"/>
          <w:sz w:val="28"/>
          <w:szCs w:val="28"/>
          <w:lang w:val="en-US" w:eastAsia="zh-CN" w:bidi="ar"/>
        </w:rPr>
        <w:t>（华侨城基地）</w:t>
      </w:r>
      <w:r>
        <w:rPr>
          <w:rFonts w:hint="eastAsia" w:ascii="宋体" w:hAnsi="宋体" w:eastAsia="宋体" w:cs="宋体"/>
          <w:color w:val="000000"/>
          <w:kern w:val="0"/>
          <w:sz w:val="28"/>
          <w:szCs w:val="28"/>
          <w:lang w:val="en-US" w:eastAsia="zh-CN" w:bidi="ar"/>
        </w:rPr>
        <w:t>地胶采购项目</w:t>
      </w:r>
    </w:p>
    <w:p>
      <w:pPr>
        <w:keepNext w:val="0"/>
        <w:keepLines w:val="0"/>
        <w:widowControl/>
        <w:suppressLineNumbers w:val="0"/>
        <w:spacing w:line="480" w:lineRule="auto"/>
        <w:jc w:val="left"/>
      </w:pPr>
      <w:r>
        <w:rPr>
          <w:rFonts w:hint="eastAsia" w:ascii="宋体" w:hAnsi="宋体" w:eastAsia="宋体" w:cs="宋体"/>
          <w:color w:val="000000"/>
          <w:kern w:val="0"/>
          <w:sz w:val="28"/>
          <w:szCs w:val="28"/>
          <w:lang w:val="en-US" w:eastAsia="zh-CN" w:bidi="ar"/>
        </w:rPr>
        <w:t xml:space="preserve">投标人： </w:t>
      </w:r>
    </w:p>
    <w:p>
      <w:pPr>
        <w:keepNext w:val="0"/>
        <w:keepLines w:val="0"/>
        <w:widowControl/>
        <w:suppressLineNumbers w:val="0"/>
        <w:spacing w:line="48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样品名称、数量： </w:t>
      </w:r>
    </w:p>
    <w:p>
      <w:pPr>
        <w:pStyle w:val="2"/>
        <w:rPr>
          <w:rFonts w:hint="eastAsia" w:ascii="宋体" w:hAnsi="宋体" w:eastAsia="宋体" w:cs="宋体"/>
          <w:color w:val="000000"/>
          <w:kern w:val="0"/>
          <w:sz w:val="28"/>
          <w:szCs w:val="28"/>
          <w:lang w:val="en-US" w:eastAsia="zh-CN" w:bidi="ar"/>
        </w:rPr>
      </w:pPr>
    </w:p>
    <w:p>
      <w:pPr>
        <w:rPr>
          <w:rFonts w:hint="eastAsia" w:ascii="宋体" w:hAnsi="宋体" w:eastAsia="宋体" w:cs="宋体"/>
          <w:color w:val="000000"/>
          <w:kern w:val="0"/>
          <w:sz w:val="28"/>
          <w:szCs w:val="28"/>
          <w:lang w:val="en-US" w:eastAsia="zh-CN" w:bidi="ar"/>
        </w:rPr>
      </w:pPr>
    </w:p>
    <w:p>
      <w:pPr>
        <w:pStyle w:val="2"/>
        <w:rPr>
          <w:rFonts w:hint="eastAsia" w:ascii="宋体" w:hAnsi="宋体" w:eastAsia="宋体" w:cs="宋体"/>
          <w:color w:val="000000"/>
          <w:kern w:val="0"/>
          <w:sz w:val="28"/>
          <w:szCs w:val="28"/>
          <w:lang w:val="en-US" w:eastAsia="zh-CN" w:bidi="ar"/>
        </w:rPr>
      </w:pPr>
    </w:p>
    <w:p>
      <w:pPr>
        <w:rPr>
          <w:rFonts w:hint="eastAsia" w:ascii="宋体" w:hAnsi="宋体" w:eastAsia="宋体" w:cs="宋体"/>
          <w:color w:val="000000"/>
          <w:kern w:val="0"/>
          <w:sz w:val="28"/>
          <w:szCs w:val="28"/>
          <w:lang w:val="en-US" w:eastAsia="zh-CN" w:bidi="ar"/>
        </w:rPr>
      </w:pPr>
    </w:p>
    <w:p>
      <w:pPr>
        <w:pStyle w:val="2"/>
      </w:pPr>
    </w:p>
    <w:p>
      <w:pPr>
        <w:keepNext w:val="0"/>
        <w:keepLines w:val="0"/>
        <w:widowControl/>
        <w:suppressLineNumbers w:val="0"/>
        <w:spacing w:line="480" w:lineRule="auto"/>
        <w:jc w:val="left"/>
      </w:pPr>
      <w:r>
        <w:rPr>
          <w:rFonts w:hint="eastAsia" w:ascii="宋体" w:hAnsi="宋体" w:eastAsia="宋体" w:cs="宋体"/>
          <w:color w:val="000000"/>
          <w:kern w:val="0"/>
          <w:sz w:val="28"/>
          <w:szCs w:val="28"/>
          <w:lang w:val="en-US" w:eastAsia="zh-CN" w:bidi="ar"/>
        </w:rPr>
        <w:t xml:space="preserve">投标人地址： </w:t>
      </w:r>
    </w:p>
    <w:p>
      <w:pPr>
        <w:keepNext w:val="0"/>
        <w:keepLines w:val="0"/>
        <w:widowControl/>
        <w:suppressLineNumbers w:val="0"/>
        <w:spacing w:line="480" w:lineRule="auto"/>
        <w:jc w:val="left"/>
      </w:pPr>
      <w:r>
        <w:rPr>
          <w:rFonts w:hint="eastAsia" w:ascii="宋体" w:hAnsi="宋体" w:eastAsia="宋体" w:cs="宋体"/>
          <w:color w:val="000000"/>
          <w:kern w:val="0"/>
          <w:sz w:val="28"/>
          <w:szCs w:val="28"/>
          <w:lang w:val="en-US" w:eastAsia="zh-CN" w:bidi="ar"/>
        </w:rPr>
        <w:t xml:space="preserve">投标日期： </w:t>
      </w:r>
    </w:p>
    <w:p>
      <w:pPr>
        <w:keepNext w:val="0"/>
        <w:keepLines w:val="0"/>
        <w:widowControl/>
        <w:suppressLineNumbers w:val="0"/>
        <w:spacing w:line="480" w:lineRule="auto"/>
        <w:jc w:val="left"/>
      </w:pPr>
      <w:r>
        <w:rPr>
          <w:rFonts w:hint="eastAsia" w:ascii="宋体" w:hAnsi="宋体" w:eastAsia="宋体" w:cs="宋体"/>
          <w:color w:val="000000"/>
          <w:kern w:val="0"/>
          <w:sz w:val="28"/>
          <w:szCs w:val="28"/>
          <w:lang w:val="en-US" w:eastAsia="zh-CN" w:bidi="ar"/>
        </w:rPr>
        <w:t>（此处加盖单位公章）</w:t>
      </w:r>
    </w:p>
    <w:p>
      <w:pPr>
        <w:pStyle w:val="2"/>
        <w:spacing w:line="480" w:lineRule="auto"/>
        <w:rPr>
          <w:rFonts w:hint="eastAsia"/>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p>
    <w:p>
      <w:pPr>
        <w:pStyle w:val="2"/>
        <w:numPr>
          <w:ilvl w:val="0"/>
          <w:numId w:val="0"/>
        </w:numPr>
        <w:spacing w:line="360" w:lineRule="auto"/>
        <w:ind w:leftChars="0"/>
        <w:jc w:val="center"/>
        <w:rPr>
          <w:rFonts w:hint="eastAsia" w:ascii="华文新魏" w:hAnsi="华文新魏" w:eastAsia="华文新魏" w:cs="华文新魏"/>
          <w:b/>
          <w:bCs w:val="0"/>
          <w:kern w:val="2"/>
          <w:sz w:val="40"/>
          <w:szCs w:val="40"/>
          <w:lang w:val="en-US" w:eastAsia="zh-CN"/>
        </w:rPr>
      </w:pPr>
      <w:r>
        <w:rPr>
          <w:rFonts w:hint="eastAsia" w:ascii="华文新魏" w:hAnsi="华文新魏" w:eastAsia="华文新魏" w:cs="华文新魏"/>
          <w:b/>
          <w:bCs w:val="0"/>
          <w:kern w:val="2"/>
          <w:sz w:val="40"/>
          <w:szCs w:val="40"/>
          <w:lang w:val="en-US" w:eastAsia="zh-CN"/>
        </w:rPr>
        <w:t>四、售后服务情况表</w:t>
      </w:r>
    </w:p>
    <w:p>
      <w:pPr>
        <w:rPr>
          <w:rFonts w:hint="eastAsia"/>
        </w:rPr>
      </w:pPr>
    </w:p>
    <w:p>
      <w:pPr>
        <w:pStyle w:val="2"/>
        <w:spacing w:line="360" w:lineRule="auto"/>
        <w:jc w:val="left"/>
        <w:rPr>
          <w:rFonts w:hint="eastAsia" w:ascii="华文新魏" w:hAnsi="华文新魏" w:eastAsia="华文新魏" w:cs="华文新魏"/>
          <w:b w:val="0"/>
          <w:bCs/>
          <w:kern w:val="2"/>
          <w:sz w:val="24"/>
          <w:szCs w:val="24"/>
        </w:rPr>
      </w:pPr>
      <w:r>
        <w:rPr>
          <w:rFonts w:hint="eastAsia" w:ascii="华文新魏" w:hAnsi="华文新魏" w:eastAsia="华文新魏" w:cs="华文新魏"/>
          <w:b w:val="0"/>
          <w:bCs/>
          <w:kern w:val="2"/>
          <w:sz w:val="24"/>
          <w:szCs w:val="24"/>
        </w:rPr>
        <w:t>项目名称：深大乒乓项目综合服务中心</w:t>
      </w:r>
      <w:r>
        <w:rPr>
          <w:rFonts w:hint="eastAsia" w:ascii="华文新魏" w:hAnsi="华文新魏" w:eastAsia="华文新魏" w:cs="华文新魏"/>
          <w:b w:val="0"/>
          <w:bCs/>
          <w:kern w:val="2"/>
          <w:sz w:val="24"/>
          <w:szCs w:val="24"/>
          <w:lang w:eastAsia="zh-CN"/>
        </w:rPr>
        <w:t>（华侨城基地）</w:t>
      </w:r>
      <w:r>
        <w:rPr>
          <w:rFonts w:hint="eastAsia" w:ascii="华文新魏" w:hAnsi="华文新魏" w:eastAsia="华文新魏" w:cs="华文新魏"/>
          <w:b w:val="0"/>
          <w:bCs/>
          <w:kern w:val="2"/>
          <w:sz w:val="24"/>
          <w:szCs w:val="24"/>
        </w:rPr>
        <w:t>地胶采购项目</w:t>
      </w:r>
    </w:p>
    <w:p>
      <w:pPr>
        <w:rPr>
          <w:rFonts w:hint="eastAsia" w:ascii="华文新魏" w:hAnsi="华文新魏" w:eastAsia="华文新魏" w:cs="华文新魏"/>
          <w:b w:val="0"/>
          <w:bCs/>
          <w:kern w:val="2"/>
          <w:sz w:val="24"/>
          <w:szCs w:val="24"/>
        </w:rPr>
      </w:pPr>
    </w:p>
    <w:tbl>
      <w:tblPr>
        <w:tblStyle w:val="55"/>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2414"/>
        <w:gridCol w:w="3995"/>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7" w:type="dxa"/>
            <w:tcBorders>
              <w:tl2br w:val="nil"/>
              <w:tr2bl w:val="nil"/>
            </w:tcBorders>
            <w:shd w:val="clear" w:color="auto" w:fill="FEF2CC" w:themeFill="accent4" w:themeFillTint="32"/>
            <w:vAlign w:val="center"/>
          </w:tcPr>
          <w:p>
            <w:pPr>
              <w:keepNext w:val="0"/>
              <w:keepLines w:val="0"/>
              <w:widowControl/>
              <w:suppressLineNumbers w:val="0"/>
              <w:jc w:val="center"/>
              <w:rPr>
                <w:rFonts w:hint="eastAsia"/>
                <w:b/>
                <w:bCs w:val="0"/>
                <w:vertAlign w:val="baseline"/>
              </w:rPr>
            </w:pPr>
            <w:r>
              <w:rPr>
                <w:rFonts w:hint="eastAsia" w:ascii="宋体" w:hAnsi="宋体" w:eastAsia="宋体" w:cs="宋体"/>
                <w:b/>
                <w:bCs w:val="0"/>
                <w:color w:val="000000"/>
                <w:kern w:val="0"/>
                <w:sz w:val="24"/>
                <w:szCs w:val="24"/>
                <w:lang w:val="en-US" w:eastAsia="zh-CN" w:bidi="ar"/>
              </w:rPr>
              <w:t>序号</w:t>
            </w:r>
          </w:p>
        </w:tc>
        <w:tc>
          <w:tcPr>
            <w:tcW w:w="2414" w:type="dxa"/>
            <w:tcBorders>
              <w:tl2br w:val="nil"/>
              <w:tr2bl w:val="nil"/>
            </w:tcBorders>
            <w:shd w:val="clear" w:color="auto" w:fill="FEF2CC" w:themeFill="accent4" w:themeFillTint="32"/>
            <w:vAlign w:val="center"/>
          </w:tcPr>
          <w:p>
            <w:pPr>
              <w:keepNext w:val="0"/>
              <w:keepLines w:val="0"/>
              <w:widowControl/>
              <w:suppressLineNumbers w:val="0"/>
              <w:jc w:val="center"/>
              <w:rPr>
                <w:rFonts w:hint="eastAsia"/>
                <w:b/>
                <w:bCs w:val="0"/>
                <w:vertAlign w:val="baseline"/>
              </w:rPr>
            </w:pPr>
            <w:r>
              <w:rPr>
                <w:rFonts w:hint="eastAsia" w:ascii="宋体" w:hAnsi="宋体" w:eastAsia="宋体" w:cs="宋体"/>
                <w:b/>
                <w:bCs w:val="0"/>
                <w:color w:val="000000"/>
                <w:kern w:val="0"/>
                <w:sz w:val="24"/>
                <w:szCs w:val="24"/>
                <w:lang w:val="en-US" w:eastAsia="zh-CN" w:bidi="ar"/>
              </w:rPr>
              <w:t>项目</w:t>
            </w:r>
          </w:p>
        </w:tc>
        <w:tc>
          <w:tcPr>
            <w:tcW w:w="3995" w:type="dxa"/>
            <w:tcBorders>
              <w:tl2br w:val="nil"/>
              <w:tr2bl w:val="nil"/>
            </w:tcBorders>
            <w:shd w:val="clear" w:color="auto" w:fill="FEF2CC" w:themeFill="accent4" w:themeFillTint="32"/>
            <w:vAlign w:val="center"/>
          </w:tcPr>
          <w:p>
            <w:pPr>
              <w:keepNext w:val="0"/>
              <w:keepLines w:val="0"/>
              <w:widowControl/>
              <w:suppressLineNumbers w:val="0"/>
              <w:jc w:val="center"/>
              <w:rPr>
                <w:rFonts w:hint="eastAsia"/>
                <w:b/>
                <w:bCs w:val="0"/>
                <w:vertAlign w:val="baseline"/>
              </w:rPr>
            </w:pPr>
            <w:r>
              <w:rPr>
                <w:rFonts w:hint="eastAsia" w:ascii="宋体" w:hAnsi="宋体" w:eastAsia="宋体" w:cs="宋体"/>
                <w:b/>
                <w:bCs w:val="0"/>
                <w:color w:val="000000"/>
                <w:kern w:val="0"/>
                <w:sz w:val="24"/>
                <w:szCs w:val="24"/>
                <w:lang w:val="en-US" w:eastAsia="zh-CN" w:bidi="ar"/>
              </w:rPr>
              <w:t>投标人承诺</w:t>
            </w:r>
          </w:p>
        </w:tc>
        <w:tc>
          <w:tcPr>
            <w:tcW w:w="1296" w:type="dxa"/>
            <w:tcBorders>
              <w:tl2br w:val="nil"/>
              <w:tr2bl w:val="nil"/>
            </w:tcBorders>
            <w:shd w:val="clear" w:color="auto" w:fill="FEF2CC" w:themeFill="accent4" w:themeFillTint="32"/>
            <w:vAlign w:val="center"/>
          </w:tcPr>
          <w:p>
            <w:pPr>
              <w:pStyle w:val="2"/>
              <w:jc w:val="center"/>
              <w:rPr>
                <w:rFonts w:hint="eastAsia" w:eastAsia="宋体"/>
                <w:b/>
                <w:bCs w:val="0"/>
                <w:vertAlign w:val="baseline"/>
                <w:lang w:eastAsia="zh-CN"/>
              </w:rPr>
            </w:pPr>
            <w:r>
              <w:rPr>
                <w:rFonts w:hint="eastAsia"/>
                <w:b/>
                <w:bCs w:val="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07" w:type="dxa"/>
            <w:vMerge w:val="restart"/>
            <w:tcBorders>
              <w:tl2br w:val="nil"/>
              <w:tr2bl w:val="nil"/>
            </w:tcBorders>
            <w:vAlign w:val="center"/>
          </w:tcPr>
          <w:p>
            <w:pPr>
              <w:pStyle w:val="2"/>
              <w:jc w:val="center"/>
              <w:rPr>
                <w:rFonts w:hint="eastAsia" w:eastAsia="宋体"/>
                <w:sz w:val="24"/>
                <w:szCs w:val="20"/>
                <w:vertAlign w:val="baseline"/>
                <w:lang w:val="en-US" w:eastAsia="zh-CN"/>
              </w:rPr>
            </w:pPr>
            <w:r>
              <w:rPr>
                <w:rFonts w:hint="eastAsia"/>
                <w:sz w:val="24"/>
                <w:szCs w:val="20"/>
                <w:vertAlign w:val="baseline"/>
                <w:lang w:val="en-US" w:eastAsia="zh-CN"/>
              </w:rPr>
              <w:t>1</w:t>
            </w:r>
          </w:p>
        </w:tc>
        <w:tc>
          <w:tcPr>
            <w:tcW w:w="2414" w:type="dxa"/>
            <w:vMerge w:val="restart"/>
            <w:tcBorders>
              <w:tl2br w:val="nil"/>
              <w:tr2bl w:val="nil"/>
            </w:tcBorders>
            <w:vAlign w:val="center"/>
          </w:tcPr>
          <w:p>
            <w:pPr>
              <w:pStyle w:val="2"/>
              <w:spacing w:line="360" w:lineRule="auto"/>
              <w:jc w:val="left"/>
              <w:rPr>
                <w:rFonts w:hint="eastAsia"/>
                <w:sz w:val="24"/>
                <w:szCs w:val="20"/>
                <w:vertAlign w:val="baseline"/>
              </w:rPr>
            </w:pPr>
            <w:r>
              <w:rPr>
                <w:rFonts w:hint="eastAsia"/>
                <w:sz w:val="24"/>
                <w:szCs w:val="20"/>
                <w:vertAlign w:val="baseline"/>
              </w:rPr>
              <w:t>保修期内售后服务情况(可用附页和宣传材料)</w:t>
            </w:r>
          </w:p>
        </w:tc>
        <w:tc>
          <w:tcPr>
            <w:tcW w:w="3995" w:type="dxa"/>
            <w:tcBorders>
              <w:tl2br w:val="nil"/>
              <w:tr2bl w:val="nil"/>
            </w:tcBorders>
            <w:vAlign w:val="top"/>
          </w:tcPr>
          <w:p>
            <w:pPr>
              <w:pStyle w:val="2"/>
              <w:spacing w:line="480" w:lineRule="auto"/>
              <w:jc w:val="both"/>
              <w:rPr>
                <w:rFonts w:hint="eastAsia"/>
                <w:sz w:val="24"/>
                <w:szCs w:val="20"/>
                <w:vertAlign w:val="baseline"/>
              </w:rPr>
            </w:pPr>
            <w:r>
              <w:rPr>
                <w:rFonts w:hint="eastAsia"/>
                <w:sz w:val="24"/>
                <w:szCs w:val="20"/>
                <w:vertAlign w:val="baseline"/>
              </w:rPr>
              <w:t>生产厂商售后服务情况：</w:t>
            </w:r>
          </w:p>
        </w:tc>
        <w:tc>
          <w:tcPr>
            <w:tcW w:w="1296" w:type="dxa"/>
            <w:tcBorders>
              <w:tl2br w:val="nil"/>
              <w:tr2bl w:val="nil"/>
            </w:tcBorders>
            <w:vAlign w:val="center"/>
          </w:tcPr>
          <w:p>
            <w:pPr>
              <w:pStyle w:val="2"/>
              <w:jc w:val="left"/>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107" w:type="dxa"/>
            <w:vMerge w:val="continue"/>
            <w:tcBorders>
              <w:tl2br w:val="nil"/>
              <w:tr2bl w:val="nil"/>
            </w:tcBorders>
            <w:vAlign w:val="center"/>
          </w:tcPr>
          <w:p>
            <w:pPr>
              <w:pStyle w:val="2"/>
              <w:jc w:val="center"/>
              <w:rPr>
                <w:rFonts w:hint="eastAsia"/>
                <w:sz w:val="24"/>
                <w:szCs w:val="20"/>
                <w:vertAlign w:val="baseline"/>
              </w:rPr>
            </w:pPr>
          </w:p>
        </w:tc>
        <w:tc>
          <w:tcPr>
            <w:tcW w:w="2414" w:type="dxa"/>
            <w:vMerge w:val="continue"/>
            <w:tcBorders>
              <w:tl2br w:val="nil"/>
              <w:tr2bl w:val="nil"/>
            </w:tcBorders>
            <w:vAlign w:val="center"/>
          </w:tcPr>
          <w:p>
            <w:pPr>
              <w:pStyle w:val="2"/>
              <w:spacing w:line="360" w:lineRule="auto"/>
              <w:jc w:val="left"/>
              <w:rPr>
                <w:rFonts w:hint="eastAsia"/>
                <w:sz w:val="24"/>
                <w:szCs w:val="20"/>
                <w:vertAlign w:val="baseline"/>
              </w:rPr>
            </w:pPr>
          </w:p>
        </w:tc>
        <w:tc>
          <w:tcPr>
            <w:tcW w:w="3995" w:type="dxa"/>
            <w:tcBorders>
              <w:tl2br w:val="nil"/>
              <w:tr2bl w:val="nil"/>
            </w:tcBorders>
            <w:vAlign w:val="top"/>
          </w:tcPr>
          <w:p>
            <w:pPr>
              <w:pStyle w:val="2"/>
              <w:spacing w:line="480" w:lineRule="auto"/>
              <w:jc w:val="both"/>
              <w:rPr>
                <w:rFonts w:hint="eastAsia"/>
                <w:sz w:val="24"/>
                <w:szCs w:val="20"/>
                <w:vertAlign w:val="baseline"/>
              </w:rPr>
            </w:pPr>
            <w:r>
              <w:rPr>
                <w:rFonts w:hint="eastAsia"/>
                <w:sz w:val="24"/>
                <w:szCs w:val="20"/>
                <w:vertAlign w:val="baseline"/>
              </w:rPr>
              <w:t>投标人售后服务情况：</w:t>
            </w:r>
          </w:p>
        </w:tc>
        <w:tc>
          <w:tcPr>
            <w:tcW w:w="1296" w:type="dxa"/>
            <w:tcBorders>
              <w:tl2br w:val="nil"/>
              <w:tr2bl w:val="nil"/>
            </w:tcBorders>
            <w:vAlign w:val="center"/>
          </w:tcPr>
          <w:p>
            <w:pPr>
              <w:pStyle w:val="2"/>
              <w:jc w:val="left"/>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107" w:type="dxa"/>
            <w:tcBorders>
              <w:tl2br w:val="nil"/>
              <w:tr2bl w:val="nil"/>
            </w:tcBorders>
            <w:vAlign w:val="center"/>
          </w:tcPr>
          <w:p>
            <w:pPr>
              <w:pStyle w:val="2"/>
              <w:jc w:val="center"/>
              <w:rPr>
                <w:rFonts w:hint="eastAsia" w:eastAsia="宋体"/>
                <w:sz w:val="24"/>
                <w:szCs w:val="20"/>
                <w:vertAlign w:val="baseline"/>
                <w:lang w:val="en-US" w:eastAsia="zh-CN"/>
              </w:rPr>
            </w:pPr>
            <w:r>
              <w:rPr>
                <w:rFonts w:hint="eastAsia"/>
                <w:sz w:val="24"/>
                <w:szCs w:val="20"/>
                <w:vertAlign w:val="baseline"/>
                <w:lang w:val="en-US" w:eastAsia="zh-CN"/>
              </w:rPr>
              <w:t>2</w:t>
            </w:r>
          </w:p>
        </w:tc>
        <w:tc>
          <w:tcPr>
            <w:tcW w:w="2414" w:type="dxa"/>
            <w:tcBorders>
              <w:tl2br w:val="nil"/>
              <w:tr2bl w:val="nil"/>
            </w:tcBorders>
            <w:vAlign w:val="center"/>
          </w:tcPr>
          <w:p>
            <w:pPr>
              <w:pStyle w:val="2"/>
              <w:spacing w:line="360" w:lineRule="auto"/>
              <w:jc w:val="left"/>
              <w:rPr>
                <w:rFonts w:hint="eastAsia"/>
                <w:sz w:val="24"/>
                <w:szCs w:val="20"/>
                <w:vertAlign w:val="baseline"/>
              </w:rPr>
            </w:pPr>
            <w:r>
              <w:rPr>
                <w:rFonts w:hint="eastAsia"/>
                <w:sz w:val="24"/>
                <w:szCs w:val="20"/>
                <w:vertAlign w:val="baseline"/>
              </w:rPr>
              <w:t>保修期后售后服务</w:t>
            </w:r>
          </w:p>
        </w:tc>
        <w:tc>
          <w:tcPr>
            <w:tcW w:w="3995" w:type="dxa"/>
            <w:tcBorders>
              <w:tl2br w:val="nil"/>
              <w:tr2bl w:val="nil"/>
            </w:tcBorders>
            <w:vAlign w:val="center"/>
          </w:tcPr>
          <w:p>
            <w:pPr>
              <w:pStyle w:val="2"/>
              <w:spacing w:line="480" w:lineRule="auto"/>
              <w:jc w:val="left"/>
              <w:rPr>
                <w:rFonts w:hint="eastAsia"/>
                <w:sz w:val="24"/>
                <w:szCs w:val="20"/>
                <w:vertAlign w:val="baseline"/>
              </w:rPr>
            </w:pPr>
          </w:p>
        </w:tc>
        <w:tc>
          <w:tcPr>
            <w:tcW w:w="1296" w:type="dxa"/>
            <w:tcBorders>
              <w:tl2br w:val="nil"/>
              <w:tr2bl w:val="nil"/>
            </w:tcBorders>
            <w:vAlign w:val="center"/>
          </w:tcPr>
          <w:p>
            <w:pPr>
              <w:pStyle w:val="2"/>
              <w:jc w:val="left"/>
              <w:rPr>
                <w:rFonts w:hint="eastAsia"/>
                <w:vertAlign w:val="baseline"/>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rPr>
          <w:rFonts w:hint="eastAsia"/>
          <w:lang w:val="en-US" w:eastAsia="zh-CN"/>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投标人名称（单位盖公章）：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日期：</w:t>
      </w:r>
    </w:p>
    <w:p>
      <w:pPr>
        <w:pStyle w:val="2"/>
        <w:jc w:val="both"/>
        <w:rPr>
          <w:rFonts w:hint="eastAsia" w:eastAsia="宋体"/>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pPr>
    </w:p>
    <w:p>
      <w:pPr>
        <w:pStyle w:val="2"/>
        <w:spacing w:line="360" w:lineRule="auto"/>
        <w:rPr>
          <w:b/>
          <w:bCs w:val="0"/>
          <w:kern w:val="2"/>
        </w:rPr>
      </w:pPr>
      <w:r>
        <w:rPr>
          <w:rFonts w:hint="eastAsia" w:ascii="华文新魏" w:hAnsi="华文新魏" w:eastAsia="华文新魏" w:cs="华文新魏"/>
          <w:b/>
          <w:bCs w:val="0"/>
          <w:kern w:val="2"/>
          <w:sz w:val="32"/>
          <w:szCs w:val="32"/>
        </w:rPr>
        <w:t>第五章  采购履约情况反馈表</w:t>
      </w:r>
    </w:p>
    <w:p>
      <w:pPr>
        <w:spacing w:line="240" w:lineRule="atLeast"/>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5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1、本表为采购单位向深圳市深大体育文化发展有限公司反映采购项目履约情况时所用；</w:t>
      </w:r>
    </w:p>
    <w:p>
      <w:pPr>
        <w:spacing w:line="240" w:lineRule="atLeast"/>
      </w:pPr>
      <w:r>
        <w:rPr>
          <w:rFonts w:hint="eastAsia"/>
        </w:rPr>
        <w:t>2、履约情况评价分为优、良、中、差四个等级，请在对应的框前打“√”，然后在“具体情况说明”一栏详细说明有关情况。</w:t>
      </w:r>
    </w:p>
    <w:p>
      <w:pPr>
        <w:pStyle w:val="3"/>
      </w:pPr>
      <w:r>
        <w:rPr>
          <w:rFonts w:hint="eastAsia"/>
        </w:rPr>
        <w:t>第二册  通用条款（公开招标）</w:t>
      </w:r>
    </w:p>
    <w:p>
      <w:pPr>
        <w:jc w:val="center"/>
        <w:rPr>
          <w:rFonts w:ascii="宋体" w:hAnsi="宋体"/>
          <w:color w:val="FF0000"/>
          <w:szCs w:val="21"/>
        </w:rPr>
      </w:pPr>
    </w:p>
    <w:p>
      <w:pPr>
        <w:jc w:val="center"/>
        <w:rPr>
          <w:rFonts w:ascii="宋体" w:hAnsi="宋体"/>
          <w:b/>
          <w:color w:val="FF0000"/>
          <w:sz w:val="28"/>
          <w:szCs w:val="28"/>
        </w:rPr>
      </w:pPr>
      <w:r>
        <w:rPr>
          <w:rFonts w:hint="eastAsia" w:ascii="宋体" w:hAnsi="宋体"/>
          <w:b/>
          <w:color w:val="FF0000"/>
          <w:sz w:val="28"/>
          <w:szCs w:val="28"/>
        </w:rPr>
        <w:t>（2.</w:t>
      </w:r>
      <w:r>
        <w:rPr>
          <w:rFonts w:ascii="宋体" w:hAnsi="宋体"/>
          <w:b/>
          <w:color w:val="FF0000"/>
          <w:sz w:val="28"/>
          <w:szCs w:val="28"/>
        </w:rPr>
        <w:t>0</w:t>
      </w:r>
      <w:r>
        <w:rPr>
          <w:rFonts w:hint="eastAsia" w:ascii="宋体" w:hAnsi="宋体"/>
          <w:b/>
          <w:color w:val="FF0000"/>
          <w:sz w:val="28"/>
          <w:szCs w:val="28"/>
        </w:rPr>
        <w:t>.</w:t>
      </w:r>
      <w:r>
        <w:rPr>
          <w:rFonts w:ascii="宋体" w:hAnsi="宋体"/>
          <w:b/>
          <w:color w:val="FF0000"/>
          <w:sz w:val="28"/>
          <w:szCs w:val="28"/>
        </w:rPr>
        <w:t>0</w:t>
      </w:r>
      <w:r>
        <w:rPr>
          <w:rFonts w:hint="eastAsia" w:ascii="宋体" w:hAnsi="宋体"/>
          <w:b/>
          <w:color w:val="FF0000"/>
          <w:sz w:val="28"/>
          <w:szCs w:val="28"/>
        </w:rPr>
        <w:t>版本）</w:t>
      </w:r>
    </w:p>
    <w:p>
      <w:pPr>
        <w:keepNext/>
        <w:keepLines/>
        <w:numPr>
          <w:ilvl w:val="0"/>
          <w:numId w:val="13"/>
        </w:numPr>
        <w:adjustRightInd w:val="0"/>
        <w:spacing w:before="120" w:beforeLines="50" w:after="120"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w:t>
      </w:r>
      <w:r>
        <w:rPr>
          <w:rFonts w:hint="eastAsia" w:ascii="宋体" w:hAnsi="宋体"/>
          <w:szCs w:val="21"/>
          <w:lang w:eastAsia="zh-CN"/>
        </w:rPr>
        <w:t>深圳市深大体育文化发展有限公司</w:t>
      </w:r>
      <w:r>
        <w:rPr>
          <w:rFonts w:hint="eastAsia" w:ascii="宋体" w:hAnsi="宋体"/>
          <w:szCs w:val="21"/>
        </w:rPr>
        <w:t>采购机构发出招标文件通用条款版本，列出深</w:t>
      </w:r>
      <w:r>
        <w:rPr>
          <w:rFonts w:hint="eastAsia" w:ascii="宋体" w:hAnsi="宋体"/>
          <w:szCs w:val="21"/>
          <w:lang w:eastAsia="zh-CN"/>
        </w:rPr>
        <w:t>深圳市深大体育文化发展有限公司</w:t>
      </w:r>
      <w:r>
        <w:rPr>
          <w:rFonts w:hint="eastAsia" w:ascii="宋体" w:hAnsi="宋体"/>
          <w:szCs w:val="21"/>
        </w:rPr>
        <w:t>采购项目进行招标采购所适用的通用条款内容。如有需要，</w:t>
      </w:r>
      <w:r>
        <w:rPr>
          <w:rFonts w:hint="eastAsia" w:ascii="宋体" w:hAnsi="宋体"/>
          <w:szCs w:val="21"/>
          <w:lang w:eastAsia="zh-CN"/>
        </w:rPr>
        <w:t>深圳市深大体育文化发展有限公司</w:t>
      </w:r>
      <w:r>
        <w:rPr>
          <w:rFonts w:hint="eastAsia" w:ascii="宋体" w:hAnsi="宋体"/>
          <w:szCs w:val="21"/>
        </w:rPr>
        <w:t>采购机构可以对通用条款增加附录或补充内容。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 《深圳经济特区</w:t>
      </w:r>
      <w:r>
        <w:rPr>
          <w:rFonts w:ascii="宋体" w:hAnsi="宋体"/>
          <w:szCs w:val="21"/>
        </w:rPr>
        <w:t>政府采购条例实施细则</w:t>
      </w:r>
      <w:r>
        <w:rPr>
          <w:rFonts w:hint="eastAsia" w:ascii="宋体" w:hAnsi="宋体"/>
          <w:szCs w:val="21"/>
        </w:rPr>
        <w:t>》和</w:t>
      </w:r>
      <w:r>
        <w:rPr>
          <w:rFonts w:hint="eastAsia" w:ascii="宋体" w:hAnsi="宋体"/>
          <w:szCs w:val="21"/>
          <w:lang w:eastAsia="zh-CN"/>
        </w:rPr>
        <w:t>深圳市深大体育文化发展有限公司</w:t>
      </w:r>
      <w:r>
        <w:rPr>
          <w:rFonts w:ascii="宋体" w:hAnsi="宋体"/>
          <w:szCs w:val="21"/>
        </w:rPr>
        <w:t>的</w:t>
      </w:r>
      <w:r>
        <w:rPr>
          <w:rFonts w:hint="eastAsia" w:ascii="宋体" w:hAnsi="宋体"/>
          <w:szCs w:val="21"/>
        </w:rPr>
        <w:t>有关</w:t>
      </w:r>
      <w:r>
        <w:rPr>
          <w:rFonts w:ascii="宋体" w:hAnsi="宋体"/>
          <w:szCs w:val="21"/>
        </w:rPr>
        <w:t>规定</w:t>
      </w:r>
      <w:r>
        <w:rPr>
          <w:rFonts w:hint="eastAsia" w:ascii="宋体" w:hAnsi="宋体"/>
          <w:szCs w:val="21"/>
        </w:rPr>
        <w:t>，并参考有关法规和规定通过招标方式</w:t>
      </w:r>
      <w:r>
        <w:rPr>
          <w:rFonts w:ascii="宋体" w:hAnsi="宋体"/>
          <w:szCs w:val="21"/>
        </w:rPr>
        <w:t>确定</w:t>
      </w:r>
      <w:r>
        <w:rPr>
          <w:rFonts w:hint="eastAsia" w:ascii="宋体" w:hAnsi="宋体"/>
          <w:szCs w:val="21"/>
        </w:rPr>
        <w:t>中标供应商。</w:t>
      </w:r>
    </w:p>
    <w:p>
      <w:pPr>
        <w:spacing w:line="360" w:lineRule="auto"/>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“采购机构”系指</w:t>
      </w:r>
      <w:r>
        <w:rPr>
          <w:rFonts w:hint="eastAsia" w:ascii="宋体" w:hAnsi="宋体"/>
          <w:szCs w:val="21"/>
          <w:lang w:eastAsia="zh-CN"/>
        </w:rPr>
        <w:t>深圳市深大体育文化发展有限公司</w:t>
      </w:r>
      <w:r>
        <w:rPr>
          <w:rFonts w:hint="eastAsia" w:ascii="宋体" w:hAnsi="宋体"/>
          <w:szCs w:val="21"/>
        </w:rPr>
        <w:t>；</w:t>
      </w:r>
    </w:p>
    <w:p>
      <w:pPr>
        <w:ind w:firstLine="411" w:firstLineChars="196"/>
        <w:rPr>
          <w:rFonts w:ascii="宋体" w:hAnsi="宋体"/>
          <w:szCs w:val="21"/>
        </w:rPr>
      </w:pPr>
      <w:r>
        <w:rPr>
          <w:rFonts w:hint="eastAsia" w:ascii="宋体" w:hAnsi="宋体"/>
          <w:szCs w:val="21"/>
        </w:rPr>
        <w:t>3.2“采购人”、“采购单位”或“招标人”：指</w:t>
      </w:r>
      <w:r>
        <w:rPr>
          <w:rFonts w:hint="eastAsia" w:ascii="宋体" w:hAnsi="宋体"/>
          <w:szCs w:val="21"/>
          <w:lang w:eastAsia="zh-CN"/>
        </w:rPr>
        <w:t>深圳市深大体育文化发展有限公司</w:t>
      </w:r>
      <w:r>
        <w:rPr>
          <w:rFonts w:hint="eastAsia" w:ascii="宋体" w:hAnsi="宋体"/>
          <w:szCs w:val="21"/>
        </w:rPr>
        <w:t xml:space="preserve">； </w:t>
      </w:r>
    </w:p>
    <w:p>
      <w:pPr>
        <w:ind w:firstLine="411" w:firstLineChars="196"/>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“投标人”或“投标方”，即供应商，指参加投标竞争并愿意按照招标文件要求向采购人提供货物、工程或者服务的依法成立的法人、其他组织或者自然人；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“评审委员会”和“谈判小组”是依据《深圳经济特区政府采购条例》、《深圳经济特区政府采购条例实施细则》和</w:t>
      </w:r>
      <w:r>
        <w:rPr>
          <w:rFonts w:hint="eastAsia" w:ascii="宋体" w:hAnsi="宋体"/>
          <w:szCs w:val="21"/>
          <w:lang w:eastAsia="zh-CN"/>
        </w:rPr>
        <w:t>深圳市深大体育文化发展有限公司</w:t>
      </w:r>
      <w:r>
        <w:rPr>
          <w:rFonts w:ascii="宋体" w:hAnsi="宋体"/>
          <w:szCs w:val="21"/>
        </w:rPr>
        <w:t>的</w:t>
      </w:r>
      <w:r>
        <w:rPr>
          <w:rFonts w:hint="eastAsia" w:ascii="宋体" w:hAnsi="宋体"/>
          <w:szCs w:val="21"/>
        </w:rPr>
        <w:t>有关规定组建的专门负责本次招标的评审（谈判）工作的临时性机构；</w:t>
      </w:r>
    </w:p>
    <w:p>
      <w:pPr>
        <w:ind w:firstLine="411" w:firstLineChars="196"/>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ascii="宋体" w:hAnsi="宋体"/>
          <w:szCs w:val="21"/>
        </w:rPr>
        <w:t>3.6“</w:t>
      </w:r>
      <w:r>
        <w:rPr>
          <w:rFonts w:hint="eastAsia" w:ascii="宋体" w:hAnsi="宋体"/>
          <w:szCs w:val="21"/>
        </w:rPr>
        <w:t>时间</w:t>
      </w:r>
      <w:r>
        <w:rPr>
          <w:rFonts w:ascii="宋体" w:hAnsi="宋体"/>
          <w:szCs w:val="21"/>
        </w:rPr>
        <w:t>”</w:t>
      </w:r>
      <w:r>
        <w:rPr>
          <w:rFonts w:hint="eastAsia" w:ascii="宋体" w:hAnsi="宋体"/>
          <w:szCs w:val="21"/>
        </w:rPr>
        <w:t>如未特别</w:t>
      </w:r>
      <w:r>
        <w:rPr>
          <w:rFonts w:ascii="宋体" w:hAnsi="宋体"/>
          <w:szCs w:val="21"/>
        </w:rPr>
        <w:t>说明，均</w:t>
      </w:r>
      <w:r>
        <w:rPr>
          <w:rFonts w:hint="eastAsia" w:ascii="宋体" w:hAnsi="宋体"/>
          <w:szCs w:val="21"/>
        </w:rPr>
        <w:t>为</w:t>
      </w:r>
      <w:r>
        <w:rPr>
          <w:rFonts w:ascii="宋体" w:hAnsi="宋体"/>
          <w:szCs w:val="21"/>
        </w:rPr>
        <w:t>北京时间；</w:t>
      </w:r>
    </w:p>
    <w:p>
      <w:pPr>
        <w:ind w:firstLine="411" w:firstLineChars="196"/>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“合同”指由本次招标所产生的合同或合约文件；</w:t>
      </w:r>
    </w:p>
    <w:p>
      <w:pPr>
        <w:ind w:firstLine="411" w:firstLineChars="196"/>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招标文件中的标题或题名仅起引导作用，而不应视为对招标文件内容的理解和解释。</w:t>
      </w:r>
    </w:p>
    <w:p>
      <w:pPr>
        <w:spacing w:line="360" w:lineRule="auto"/>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w:t>
      </w:r>
      <w:r>
        <w:rPr>
          <w:rFonts w:hint="eastAsia" w:ascii="宋体" w:hAnsi="宋体"/>
          <w:szCs w:val="21"/>
          <w:lang w:eastAsia="zh-CN"/>
        </w:rPr>
        <w:t>深圳市深大体育文化发展有限公司</w:t>
      </w:r>
      <w:r>
        <w:rPr>
          <w:rFonts w:hint="eastAsia" w:ascii="宋体" w:hAnsi="宋体"/>
          <w:szCs w:val="21"/>
        </w:rPr>
        <w:t>采购活动。</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rPr>
      </w:pPr>
      <w:r>
        <w:rPr>
          <w:rFonts w:hint="eastAsia" w:ascii="黑体" w:hAnsi="宋体" w:eastAsia="黑体"/>
          <w:sz w:val="24"/>
        </w:rPr>
        <w:t>5．投标人参加深圳市深大体育文化发展有限公司采购活动的条件</w:t>
      </w:r>
    </w:p>
    <w:p>
      <w:pPr>
        <w:ind w:firstLine="411" w:firstLineChars="196"/>
        <w:rPr>
          <w:rFonts w:ascii="宋体" w:hAnsi="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参加本项目的投标人应具备的资格条件详见本项目招标公告中“投标人资格要求”的内容。</w:t>
      </w:r>
    </w:p>
    <w:p>
      <w:pPr>
        <w:spacing w:line="360" w:lineRule="auto"/>
        <w:rPr>
          <w:rFonts w:ascii="黑体" w:hAnsi="宋体" w:eastAsia="黑体"/>
          <w:sz w:val="24"/>
        </w:rPr>
      </w:pPr>
      <w:r>
        <w:rPr>
          <w:rFonts w:hint="eastAsia" w:ascii="黑体" w:hAnsi="宋体" w:eastAsia="黑体"/>
          <w:sz w:val="24"/>
        </w:rPr>
        <w:t>6．联合体投标</w:t>
      </w:r>
    </w:p>
    <w:p>
      <w:pPr>
        <w:ind w:firstLine="411" w:firstLineChars="196"/>
        <w:rPr>
          <w:rFonts w:ascii="宋体" w:hAnsi="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（1）投标联合体各方参加</w:t>
      </w:r>
      <w:r>
        <w:rPr>
          <w:rFonts w:hint="eastAsia" w:ascii="宋体" w:hAnsi="宋体"/>
          <w:szCs w:val="21"/>
          <w:lang w:eastAsia="zh-CN"/>
        </w:rPr>
        <w:t>深圳市深大体育文化发展有限公司</w:t>
      </w:r>
      <w:r>
        <w:rPr>
          <w:rFonts w:ascii="宋体" w:hAnsi="宋体"/>
        </w:rPr>
        <w:t>的</w:t>
      </w:r>
      <w:r>
        <w:rPr>
          <w:rFonts w:hint="eastAsia" w:ascii="宋体" w:hAnsi="宋体"/>
        </w:rPr>
        <w:t>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（2）投标联合体各方必须有一方先行注册成</w:t>
      </w:r>
      <w:r>
        <w:rPr>
          <w:rFonts w:hint="eastAsia" w:ascii="宋体" w:hAnsi="宋体"/>
          <w:szCs w:val="21"/>
          <w:lang w:eastAsia="zh-CN"/>
        </w:rPr>
        <w:t>深圳市深大体育文化发展有限公司</w:t>
      </w:r>
      <w:r>
        <w:rPr>
          <w:rFonts w:hint="eastAsia" w:ascii="宋体" w:hAnsi="宋体"/>
        </w:rPr>
        <w:t>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（6）联合体各方应当签订共同投标协议，明确约定各方拟承担的工作和责任，并将该共同投标协议随投标文件一并递交给采购机构；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w:t>
      </w:r>
      <w:r>
        <w:rPr>
          <w:rFonts w:ascii="宋体" w:hAnsi="宋体"/>
        </w:rPr>
        <w:t>7</w:t>
      </w:r>
      <w:r>
        <w:rPr>
          <w:rFonts w:hint="eastAsia" w:ascii="宋体" w:hAnsi="宋体"/>
        </w:rPr>
        <w:t xml:space="preserve">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rPr>
      </w:pPr>
      <w:r>
        <w:rPr>
          <w:rFonts w:hint="eastAsia" w:ascii="黑体" w:hAnsi="宋体" w:eastAsia="黑体"/>
          <w:sz w:val="24"/>
        </w:rPr>
        <w:t>9．踏勘现场</w:t>
      </w:r>
    </w:p>
    <w:p>
      <w:pPr>
        <w:ind w:firstLine="411" w:firstLineChars="196"/>
        <w:rPr>
          <w:rFonts w:ascii="宋体" w:hAnsi="宋体"/>
        </w:rPr>
      </w:pPr>
      <w:r>
        <w:rPr>
          <w:rFonts w:hint="eastAsia" w:ascii="宋体" w:hAnsi="宋体"/>
        </w:rPr>
        <w:t>9.1如有需要（详见专用条款），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w:t>
      </w:r>
      <w:r>
        <w:rPr>
          <w:rFonts w:ascii="宋体" w:hAnsi="宋体"/>
        </w:rPr>
        <w:t>口头承诺</w:t>
      </w:r>
      <w:r>
        <w:rPr>
          <w:rFonts w:hint="eastAsia" w:ascii="宋体" w:hAnsi="宋体"/>
        </w:rPr>
        <w:t>，未经采购机构在网上发布或书面通知，均作无效处理。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10.2投标人如对招标文件内容有疑问，必须在招标文件规定的答疑截止时间前以书面形式提交给采购机构。</w:t>
      </w:r>
    </w:p>
    <w:p>
      <w:pPr>
        <w:ind w:firstLine="411" w:firstLineChars="196"/>
        <w:rPr>
          <w:rFonts w:ascii="宋体" w:hAnsi="宋体"/>
          <w:szCs w:val="21"/>
        </w:rPr>
      </w:pPr>
      <w:r>
        <w:rPr>
          <w:rFonts w:hint="eastAsia" w:ascii="宋体" w:hAnsi="宋体"/>
          <w:szCs w:val="21"/>
        </w:rPr>
        <w:t>10.3采购机构对疑问所做出的澄清和解答，以书面答复（包括网站发布信息）为准。答疑纪要的有效性规定按照本通用条款第13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10.4如采购机构认为有必要组织现场答疑会，投标人应按照招标文件规定的时间或采购机构另行书面通知（包括网站发布的通知）的时间和地点，参与现场答疑会。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keepNext/>
        <w:keepLines/>
        <w:numPr>
          <w:ilvl w:val="0"/>
          <w:numId w:val="13"/>
        </w:numPr>
        <w:adjustRightInd w:val="0"/>
        <w:spacing w:before="120" w:beforeLines="50" w:after="120"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11.1招标文件除以下内容外，采购机构在招标（或谈判）期间发出的答疑、</w:t>
      </w:r>
      <w:r>
        <w:rPr>
          <w:rFonts w:ascii="宋体" w:hAnsi="宋体"/>
          <w:szCs w:val="21"/>
        </w:rPr>
        <w:t>澄清</w:t>
      </w:r>
      <w:r>
        <w:rPr>
          <w:rFonts w:hint="eastAsia" w:ascii="宋体" w:hAnsi="宋体"/>
          <w:szCs w:val="21"/>
        </w:rPr>
        <w:t>或修改等</w:t>
      </w:r>
      <w:r>
        <w:rPr>
          <w:rFonts w:ascii="宋体" w:hAnsi="宋体"/>
          <w:szCs w:val="21"/>
        </w:rPr>
        <w:t>相关公告或通知内容</w:t>
      </w:r>
      <w:r>
        <w:rPr>
          <w:rFonts w:hint="eastAsia" w:ascii="宋体" w:hAnsi="宋体"/>
          <w:szCs w:val="21"/>
        </w:rPr>
        <w:t>，均是招标文件的组成部分，对投标人起约束作用；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合同及履约情况反馈格式</w:t>
      </w:r>
    </w:p>
    <w:p>
      <w:pPr>
        <w:ind w:left="420" w:leftChars="200" w:firstLine="413" w:firstLineChars="196"/>
        <w:rPr>
          <w:rFonts w:ascii="宋体" w:hAnsi="宋体"/>
          <w:b/>
          <w:szCs w:val="21"/>
        </w:rPr>
      </w:pPr>
      <w:r>
        <w:rPr>
          <w:rFonts w:hint="eastAsia" w:ascii="宋体" w:hAnsi="宋体"/>
          <w:b/>
          <w:szCs w:val="21"/>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任何人或任何组织向投标人提交的任何书面或口头资料，未经采购机构在网上发布或书面通知，均作无效处理，不得作为招标文件的组成部分。采购机构对投标人由此而做出的推论、理解和结论概不负责。</w:t>
      </w:r>
    </w:p>
    <w:p>
      <w:pPr>
        <w:spacing w:line="360" w:lineRule="auto"/>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w:t>
      </w:r>
      <w:r>
        <w:rPr>
          <w:rFonts w:ascii="宋体" w:hAnsi="宋体"/>
          <w:szCs w:val="21"/>
        </w:rPr>
        <w:t>书面</w:t>
      </w:r>
      <w:r>
        <w:rPr>
          <w:rFonts w:hint="eastAsia" w:ascii="宋体" w:hAnsi="宋体"/>
          <w:szCs w:val="21"/>
        </w:rPr>
        <w:t>形式提交</w:t>
      </w:r>
      <w:r>
        <w:rPr>
          <w:rFonts w:ascii="宋体" w:hAnsi="宋体"/>
          <w:szCs w:val="21"/>
        </w:rPr>
        <w:t>给</w:t>
      </w:r>
      <w:r>
        <w:rPr>
          <w:rFonts w:hint="eastAsia" w:ascii="宋体" w:hAnsi="宋体"/>
          <w:szCs w:val="21"/>
        </w:rPr>
        <w:t>向采购机构。不论是采购机构根据需要主动对招标文件进行必要的澄清或是根据投标人的要求对招标文件做出澄清，采购机构都将在投标截止日期前以书面形式（包括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，投标截止期后不再受理针对招标文件的相关质疑或投诉。</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采购机构保证招标文件澄清（答疑）纪要和招标文件修改补充通知在投标截止时间前以网站公开发布形式或书面形式发送给所有投标人。为使投标人在编写投标文件时有充分时间对招标文件的修改部分进行研究，采购机构可以酌情延长递交投标文件的截止日期，具体时间将在修改补充通知中明确。</w:t>
      </w:r>
    </w:p>
    <w:p>
      <w:pPr>
        <w:keepNext/>
        <w:keepLines/>
        <w:numPr>
          <w:ilvl w:val="0"/>
          <w:numId w:val="13"/>
        </w:numPr>
        <w:adjustRightInd w:val="0"/>
        <w:spacing w:before="120" w:beforeLines="50" w:after="120"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和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具体内容请详见本项目招标文件</w:t>
      </w:r>
      <w:r>
        <w:rPr>
          <w:rFonts w:ascii="宋体" w:hAnsi="宋体"/>
          <w:b/>
          <w:szCs w:val="21"/>
        </w:rPr>
        <w:t>第一册“</w:t>
      </w:r>
      <w:r>
        <w:rPr>
          <w:rFonts w:hint="eastAsia" w:ascii="宋体" w:hAnsi="宋体"/>
          <w:b/>
          <w:szCs w:val="21"/>
        </w:rPr>
        <w:t>专用条款</w:t>
      </w:r>
      <w:r>
        <w:rPr>
          <w:rFonts w:ascii="宋体" w:hAnsi="宋体"/>
          <w:b/>
          <w:szCs w:val="21"/>
        </w:rPr>
        <w:t>”</w:t>
      </w:r>
      <w:r>
        <w:rPr>
          <w:rFonts w:hint="eastAsia" w:ascii="宋体" w:hAnsi="宋体"/>
          <w:b/>
          <w:szCs w:val="21"/>
        </w:rPr>
        <w:t>的相关内容。</w:t>
      </w:r>
    </w:p>
    <w:p>
      <w:pPr>
        <w:spacing w:line="360" w:lineRule="auto"/>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如招标文件第一册“专用条款”</w:t>
      </w:r>
      <w:r>
        <w:rPr>
          <w:rFonts w:ascii="宋体" w:hAnsi="宋体"/>
          <w:szCs w:val="21"/>
        </w:rPr>
        <w:t>无另外</w:t>
      </w:r>
      <w:r>
        <w:rPr>
          <w:rFonts w:hint="eastAsia" w:ascii="宋体" w:hAnsi="宋体"/>
          <w:szCs w:val="21"/>
        </w:rPr>
        <w:t>规定</w:t>
      </w:r>
      <w:r>
        <w:rPr>
          <w:rFonts w:ascii="宋体" w:hAnsi="宋体"/>
          <w:szCs w:val="21"/>
        </w:rPr>
        <w:t>，</w:t>
      </w:r>
      <w:r>
        <w:rPr>
          <w:rFonts w:hint="eastAsia" w:ascii="宋体" w:hAnsi="宋体"/>
          <w:szCs w:val="21"/>
        </w:rPr>
        <w:t>本项目的投标应以人民币计。</w:t>
      </w:r>
    </w:p>
    <w:p>
      <w:pPr>
        <w:spacing w:line="360" w:lineRule="auto"/>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投标人应按照本项目</w:t>
      </w:r>
      <w:r>
        <w:rPr>
          <w:rFonts w:ascii="宋体" w:hAnsi="宋体"/>
          <w:szCs w:val="21"/>
        </w:rPr>
        <w:t>招标文</w:t>
      </w:r>
      <w:r>
        <w:rPr>
          <w:rFonts w:hint="eastAsia" w:ascii="宋体" w:hAnsi="宋体"/>
          <w:szCs w:val="21"/>
        </w:rPr>
        <w:t>件第一册“</w:t>
      </w:r>
      <w:r>
        <w:rPr>
          <w:rFonts w:ascii="宋体" w:hAnsi="宋体"/>
          <w:szCs w:val="21"/>
        </w:rPr>
        <w:t>专用条款</w:t>
      </w:r>
      <w:r>
        <w:rPr>
          <w:rFonts w:hint="eastAsia" w:ascii="宋体" w:hAnsi="宋体"/>
          <w:szCs w:val="21"/>
        </w:rPr>
        <w:t>”</w:t>
      </w:r>
      <w:r>
        <w:rPr>
          <w:rFonts w:ascii="宋体" w:hAnsi="宋体"/>
          <w:szCs w:val="21"/>
        </w:rPr>
        <w:t>的要求</w:t>
      </w:r>
      <w:r>
        <w:rPr>
          <w:rFonts w:hint="eastAsia" w:ascii="宋体" w:hAnsi="宋体"/>
          <w:szCs w:val="21"/>
        </w:rPr>
        <w:t>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hint="eastAsia" w:ascii="宋体" w:hAnsi="宋体"/>
          <w:szCs w:val="21"/>
        </w:rPr>
        <w:t>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hint="eastAsia" w:ascii="宋体" w:hAnsi="宋体"/>
          <w:szCs w:val="21"/>
        </w:rPr>
        <w:t>。</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.4</w:t>
      </w:r>
      <w:r>
        <w:rPr>
          <w:rFonts w:hint="eastAsia" w:ascii="宋体" w:hAnsi="宋体"/>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w:t>
      </w:r>
      <w:r>
        <w:rPr>
          <w:rFonts w:ascii="宋体" w:hAnsi="宋体"/>
          <w:szCs w:val="21"/>
        </w:rPr>
        <w:t>5</w:t>
      </w:r>
      <w:r>
        <w:rPr>
          <w:rFonts w:hint="eastAsia" w:ascii="宋体" w:hAnsi="宋体"/>
          <w:szCs w:val="21"/>
        </w:rPr>
        <w:t>为保证公平公正，除非另有规定或说明，投标人对同一项目投标时，不得同时提供两套或两套以上的投标方案。</w:t>
      </w:r>
    </w:p>
    <w:p>
      <w:pPr>
        <w:spacing w:line="360" w:lineRule="auto"/>
        <w:rPr>
          <w:rFonts w:ascii="黑体" w:hAnsi="宋体" w:eastAsia="黑体"/>
          <w:sz w:val="24"/>
        </w:rPr>
      </w:pPr>
      <w:r>
        <w:rPr>
          <w:rFonts w:hint="eastAsia" w:ascii="黑体" w:hAnsi="宋体" w:eastAsia="黑体"/>
          <w:sz w:val="24"/>
        </w:rPr>
        <w:t>19．投标文件其他证明文件的要求</w:t>
      </w:r>
    </w:p>
    <w:p>
      <w:pPr>
        <w:rPr>
          <w:rFonts w:ascii="宋体" w:hAnsi="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ind w:firstLine="420" w:firstLineChars="200"/>
        <w:rPr>
          <w:rFonts w:ascii="宋体" w:hAnsi="宋体"/>
          <w:szCs w:val="21"/>
        </w:rPr>
      </w:pPr>
      <w:r>
        <w:rPr>
          <w:rFonts w:hint="eastAsia" w:ascii="宋体" w:hAnsi="宋体"/>
          <w:szCs w:val="21"/>
        </w:rPr>
        <w:t>（1）被质疑供应商未能在合理时间内提供资料原件核对，且不能合理说明的；</w:t>
      </w:r>
    </w:p>
    <w:p>
      <w:pPr>
        <w:ind w:firstLine="420" w:firstLineChars="200"/>
        <w:rPr>
          <w:rFonts w:ascii="宋体" w:hAnsi="宋体"/>
          <w:szCs w:val="21"/>
        </w:rPr>
      </w:pPr>
      <w:r>
        <w:rPr>
          <w:rFonts w:hint="eastAsia" w:ascii="宋体" w:hAnsi="宋体"/>
          <w:szCs w:val="21"/>
        </w:rPr>
        <w:t>（2）被质疑供应商提供的资料原件与投标文件资料不一致的；</w:t>
      </w:r>
    </w:p>
    <w:p>
      <w:pPr>
        <w:ind w:firstLine="420" w:firstLineChars="200"/>
        <w:rPr>
          <w:rFonts w:ascii="宋体" w:hAnsi="宋体"/>
          <w:szCs w:val="21"/>
        </w:rPr>
      </w:pPr>
      <w:r>
        <w:rPr>
          <w:rFonts w:hint="eastAsia" w:ascii="宋体" w:hAnsi="宋体"/>
          <w:szCs w:val="21"/>
        </w:rPr>
        <w:t>（3）被质疑供应商投标文件资料信息与在相应官方查询渠道查询到的信息不一致，且不能合理说明的。</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采购机构在原定的投标有效期满之前，可以根据需要以书面形式（包括网站公开发布方式）向投标人提出延长投标有效期的要求，对此要求投标人须以书面形式予以答复，投标人可以拒绝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spacing w:line="360" w:lineRule="auto"/>
        <w:rPr>
          <w:rFonts w:ascii="黑体" w:hAnsi="宋体" w:eastAsia="黑体"/>
          <w:sz w:val="24"/>
        </w:rPr>
      </w:pPr>
      <w:r>
        <w:rPr>
          <w:rFonts w:hint="eastAsia" w:ascii="黑体" w:hAnsi="宋体" w:eastAsia="黑体"/>
          <w:sz w:val="24"/>
        </w:rPr>
        <w:t>21．关于投标保证金</w:t>
      </w:r>
    </w:p>
    <w:p>
      <w:pPr>
        <w:ind w:firstLine="411" w:firstLineChars="196"/>
        <w:rPr>
          <w:rFonts w:ascii="宋体" w:hAnsi="宋体"/>
          <w:szCs w:val="21"/>
          <w:highlight w:val="yellow"/>
        </w:rPr>
      </w:pPr>
      <w:r>
        <w:rPr>
          <w:rFonts w:hint="eastAsia" w:ascii="宋体" w:hAnsi="宋体"/>
          <w:szCs w:val="21"/>
          <w:highlight w:val="yellow"/>
        </w:rPr>
        <w:t>21.1为切实减轻企业负担，降低制度性交易成本，</w:t>
      </w:r>
      <w:r>
        <w:rPr>
          <w:rFonts w:ascii="宋体" w:hAnsi="宋体"/>
          <w:szCs w:val="21"/>
          <w:highlight w:val="yellow"/>
        </w:rPr>
        <w:t>一般采购项目不收取投标保证金。</w:t>
      </w:r>
    </w:p>
    <w:p>
      <w:pPr>
        <w:ind w:firstLine="411" w:firstLineChars="196"/>
        <w:rPr>
          <w:rFonts w:ascii="宋体" w:hAnsi="宋体"/>
          <w:szCs w:val="21"/>
        </w:rPr>
      </w:pPr>
      <w:r>
        <w:rPr>
          <w:rFonts w:hint="eastAsia" w:ascii="宋体" w:hAnsi="宋体"/>
          <w:szCs w:val="21"/>
        </w:rPr>
        <w:t>21.2 若为重大项目，采购机构可自行决定另外收取投标保证金，不受21</w:t>
      </w:r>
      <w:r>
        <w:rPr>
          <w:rFonts w:ascii="宋体" w:hAnsi="宋体"/>
          <w:szCs w:val="21"/>
        </w:rPr>
        <w:t>.1</w:t>
      </w:r>
      <w:r>
        <w:rPr>
          <w:rFonts w:hint="eastAsia" w:ascii="宋体" w:hAnsi="宋体"/>
          <w:szCs w:val="21"/>
        </w:rPr>
        <w:t>款限制。是否另外收取投标保证金，请见本招标文件“专用条款”《对通用条款的补充内容》中的相关要求。</w:t>
      </w:r>
    </w:p>
    <w:p>
      <w:pPr>
        <w:spacing w:line="360" w:lineRule="auto"/>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23.1投标人需按</w:t>
      </w:r>
      <w:r>
        <w:rPr>
          <w:rFonts w:ascii="宋体" w:hAnsi="宋体"/>
        </w:rPr>
        <w:t>项目</w:t>
      </w:r>
      <w:r>
        <w:rPr>
          <w:rFonts w:hint="eastAsia" w:ascii="宋体" w:hAnsi="宋体"/>
        </w:rPr>
        <w:t>采购</w:t>
      </w:r>
      <w:r>
        <w:rPr>
          <w:rFonts w:ascii="宋体" w:hAnsi="宋体"/>
        </w:rPr>
        <w:t>文件要求</w:t>
      </w:r>
      <w:r>
        <w:rPr>
          <w:rFonts w:hint="eastAsia" w:ascii="宋体" w:hAnsi="宋体"/>
        </w:rPr>
        <w:t>准备所投项目的纸质投标文件正副本。</w:t>
      </w:r>
    </w:p>
    <w:p>
      <w:pPr>
        <w:ind w:firstLine="413" w:firstLineChars="196"/>
        <w:rPr>
          <w:rFonts w:ascii="宋体" w:hAnsi="宋体"/>
        </w:rPr>
      </w:pPr>
      <w:r>
        <w:rPr>
          <w:rFonts w:hint="eastAsia" w:ascii="宋体" w:hAnsi="宋体"/>
          <w:b/>
        </w:rPr>
        <w:tab/>
      </w:r>
      <w:r>
        <w:rPr>
          <w:rFonts w:ascii="宋体" w:hAnsi="宋体"/>
        </w:rPr>
        <w:t>23.2</w:t>
      </w:r>
      <w:r>
        <w:rPr>
          <w:rFonts w:hint="eastAsia" w:ascii="宋体" w:hAnsi="宋体"/>
        </w:rPr>
        <w:t>投标人在编辑投标文件时，在投标文件目录中属于本节点内容的必须在本节点中填写；填写到其他节点或附件的，评审</w:t>
      </w:r>
      <w:r>
        <w:rPr>
          <w:rFonts w:ascii="宋体" w:hAnsi="宋体"/>
        </w:rPr>
        <w:t>委员会</w:t>
      </w:r>
      <w:r>
        <w:rPr>
          <w:rFonts w:hint="eastAsia" w:ascii="宋体" w:hAnsi="宋体"/>
        </w:rPr>
        <w:t>有权</w:t>
      </w:r>
      <w:r>
        <w:rPr>
          <w:rFonts w:ascii="宋体" w:hAnsi="宋体"/>
        </w:rPr>
        <w:t>不予接受，</w:t>
      </w:r>
      <w:r>
        <w:rPr>
          <w:rFonts w:hint="eastAsia" w:ascii="宋体" w:hAnsi="宋体"/>
        </w:rPr>
        <w:t>一切后果由供应商自行承担。</w:t>
      </w:r>
    </w:p>
    <w:p>
      <w:pPr>
        <w:ind w:firstLine="411" w:firstLineChars="196"/>
        <w:rPr>
          <w:rFonts w:ascii="宋体" w:hAnsi="宋体"/>
        </w:rPr>
      </w:pPr>
      <w:r>
        <w:rPr>
          <w:rFonts w:hint="eastAsia" w:ascii="宋体" w:hAnsi="宋体"/>
        </w:rPr>
        <w:t>23.3 投标文件</w:t>
      </w:r>
      <w:r>
        <w:rPr>
          <w:rFonts w:ascii="宋体" w:hAnsi="宋体"/>
        </w:rPr>
        <w:t>要求盖章、签字的地方，</w:t>
      </w:r>
      <w:r>
        <w:rPr>
          <w:rFonts w:hint="eastAsia" w:ascii="宋体" w:hAnsi="宋体"/>
        </w:rPr>
        <w:t>应</w:t>
      </w:r>
      <w:r>
        <w:rPr>
          <w:rFonts w:ascii="宋体" w:hAnsi="宋体"/>
        </w:rPr>
        <w:t>按要求盖章、签字。评审委员会</w:t>
      </w:r>
      <w:r>
        <w:rPr>
          <w:rFonts w:hint="eastAsia" w:ascii="宋体" w:hAnsi="宋体"/>
        </w:rPr>
        <w:t>有权将缺、漏</w:t>
      </w:r>
      <w:r>
        <w:rPr>
          <w:rFonts w:ascii="宋体" w:hAnsi="宋体"/>
        </w:rPr>
        <w:t>盖章、签字</w:t>
      </w:r>
      <w:r>
        <w:rPr>
          <w:rFonts w:hint="eastAsia" w:ascii="宋体" w:hAnsi="宋体"/>
        </w:rPr>
        <w:t>的</w:t>
      </w:r>
      <w:r>
        <w:rPr>
          <w:rFonts w:ascii="宋体" w:hAnsi="宋体"/>
        </w:rPr>
        <w:t>投标文件认定为无效投标。</w:t>
      </w:r>
    </w:p>
    <w:p>
      <w:pPr>
        <w:ind w:firstLine="411" w:firstLineChars="196"/>
        <w:rPr>
          <w:rFonts w:ascii="宋体" w:hAnsi="宋体"/>
        </w:rPr>
      </w:pPr>
      <w:r>
        <w:rPr>
          <w:rFonts w:hint="eastAsia" w:ascii="宋体" w:hAnsi="宋体"/>
        </w:rPr>
        <w:t>23.</w:t>
      </w:r>
      <w:r>
        <w:rPr>
          <w:rFonts w:ascii="宋体" w:hAnsi="宋体"/>
        </w:rPr>
        <w:t>4</w:t>
      </w:r>
      <w:r>
        <w:rPr>
          <w:rFonts w:hint="eastAsia" w:ascii="宋体" w:hAnsi="宋体"/>
        </w:rPr>
        <w:t>电报、电话、传真形式的投标概不接受。</w:t>
      </w:r>
    </w:p>
    <w:p>
      <w:pPr>
        <w:keepNext/>
        <w:keepLines/>
        <w:numPr>
          <w:ilvl w:val="0"/>
          <w:numId w:val="13"/>
        </w:numPr>
        <w:adjustRightInd w:val="0"/>
        <w:spacing w:before="120" w:beforeLines="50" w:after="120"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24.1在投标文件制作完成后，所有文件必须密封完整且加盖公章。</w:t>
      </w:r>
    </w:p>
    <w:p>
      <w:pPr>
        <w:ind w:firstLine="411" w:firstLineChars="196"/>
        <w:rPr>
          <w:rFonts w:ascii="宋体" w:hAnsi="宋体"/>
        </w:rPr>
      </w:pPr>
      <w:r>
        <w:rPr>
          <w:rFonts w:ascii="宋体" w:hAnsi="宋体"/>
        </w:rPr>
        <w:t xml:space="preserve">24.2 </w:t>
      </w:r>
      <w:r>
        <w:rPr>
          <w:rFonts w:hint="eastAsia" w:ascii="宋体" w:hAnsi="宋体"/>
        </w:rPr>
        <w:t>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1投标人</w:t>
      </w:r>
      <w:r>
        <w:rPr>
          <w:rFonts w:ascii="宋体" w:hAnsi="宋体"/>
        </w:rPr>
        <w:t>必须</w:t>
      </w:r>
      <w:r>
        <w:rPr>
          <w:rFonts w:hint="eastAsia" w:ascii="宋体" w:hAnsi="宋体"/>
        </w:rPr>
        <w:t>在</w:t>
      </w:r>
      <w:r>
        <w:rPr>
          <w:rFonts w:ascii="宋体" w:hAnsi="宋体"/>
        </w:rPr>
        <w:t>采购文件规定的投标截止时间前</w:t>
      </w:r>
      <w:r>
        <w:rPr>
          <w:rFonts w:hint="eastAsia" w:ascii="宋体" w:hAnsi="宋体"/>
        </w:rPr>
        <w:t>将</w:t>
      </w:r>
      <w:r>
        <w:rPr>
          <w:rFonts w:ascii="宋体" w:hAnsi="宋体"/>
        </w:rPr>
        <w:t>密封的投标文件递交到项目指定的地点</w:t>
      </w:r>
      <w:r>
        <w:rPr>
          <w:rFonts w:hint="eastAsia" w:ascii="宋体" w:hAnsi="宋体"/>
        </w:rPr>
        <w:t>。</w:t>
      </w:r>
    </w:p>
    <w:p>
      <w:pPr>
        <w:ind w:firstLine="411" w:firstLineChars="196"/>
        <w:rPr>
          <w:rFonts w:ascii="宋体" w:hAnsi="宋体"/>
        </w:rPr>
      </w:pPr>
      <w:r>
        <w:rPr>
          <w:rFonts w:hint="eastAsia" w:ascii="宋体" w:hAnsi="宋体"/>
        </w:rPr>
        <w:t>25.2采购机构可以按本通用条款第13条规定，通过修改招标文件自行决定酌情延长投标截止期。在此情况下，</w:t>
      </w:r>
      <w:r>
        <w:rPr>
          <w:rFonts w:ascii="宋体" w:hAnsi="宋体"/>
        </w:rPr>
        <w:t>采购机构</w:t>
      </w:r>
      <w:r>
        <w:rPr>
          <w:rFonts w:hint="eastAsia" w:ascii="宋体" w:hAnsi="宋体"/>
        </w:rPr>
        <w:t>、采购人和投标人受投标截止期制约的所有权利和义务均应延长至新的截止期。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szCs w:val="21"/>
        </w:rPr>
      </w:pPr>
      <w:r>
        <w:rPr>
          <w:rFonts w:hint="eastAsia" w:ascii="宋体" w:hAnsi="宋体"/>
          <w:szCs w:val="21"/>
        </w:rPr>
        <w:t>26.1 如确有必要，采购人可以要求投标人提供能反映货物材质或关键部分的尺寸、价值不大的样品,具体见第一册专用条款相关内容。</w:t>
      </w:r>
    </w:p>
    <w:p>
      <w:pPr>
        <w:ind w:firstLine="420"/>
        <w:rPr>
          <w:rFonts w:ascii="宋体" w:hAnsi="宋体" w:cs="宋体"/>
          <w:kern w:val="0"/>
          <w:szCs w:val="18"/>
        </w:rPr>
      </w:pPr>
      <w:r>
        <w:rPr>
          <w:rFonts w:hint="eastAsia" w:ascii="宋体" w:hAnsi="宋体"/>
          <w:szCs w:val="21"/>
        </w:rPr>
        <w:t>26.2</w:t>
      </w:r>
      <w:r>
        <w:rPr>
          <w:rFonts w:hint="eastAsia" w:ascii="宋体" w:hAnsi="宋体" w:cs="宋体"/>
          <w:kern w:val="0"/>
          <w:szCs w:val="18"/>
        </w:rPr>
        <w:t>投标样品上必须标注“项目名称及项目编号、样品编号、样品名称”等信息，但</w:t>
      </w:r>
      <w:r>
        <w:rPr>
          <w:rFonts w:ascii="宋体" w:hAnsi="宋体" w:cs="宋体"/>
          <w:kern w:val="0"/>
          <w:szCs w:val="18"/>
        </w:rPr>
        <w:t>不</w:t>
      </w:r>
      <w:r>
        <w:rPr>
          <w:rFonts w:hint="eastAsia" w:ascii="宋体" w:hAnsi="宋体" w:cs="宋体"/>
          <w:kern w:val="0"/>
          <w:szCs w:val="18"/>
        </w:rPr>
        <w:t>得显示指向</w:t>
      </w:r>
      <w:r>
        <w:rPr>
          <w:rFonts w:ascii="宋体" w:hAnsi="宋体" w:cs="宋体"/>
          <w:kern w:val="0"/>
          <w:szCs w:val="18"/>
        </w:rPr>
        <w:t>任何</w:t>
      </w:r>
      <w:r>
        <w:rPr>
          <w:rFonts w:hint="eastAsia" w:ascii="宋体" w:hAnsi="宋体" w:cs="宋体"/>
          <w:kern w:val="0"/>
          <w:szCs w:val="18"/>
        </w:rPr>
        <w:t>投标供应商的信息、</w:t>
      </w:r>
      <w:r>
        <w:rPr>
          <w:rFonts w:ascii="宋体" w:hAnsi="宋体" w:cs="宋体"/>
          <w:kern w:val="0"/>
          <w:szCs w:val="18"/>
        </w:rPr>
        <w:t>生产厂家</w:t>
      </w:r>
      <w:r>
        <w:rPr>
          <w:rFonts w:hint="eastAsia" w:ascii="宋体" w:hAnsi="宋体" w:cs="宋体"/>
          <w:kern w:val="0"/>
          <w:szCs w:val="18"/>
        </w:rPr>
        <w:t>的</w:t>
      </w:r>
      <w:r>
        <w:rPr>
          <w:rFonts w:ascii="宋体" w:hAnsi="宋体" w:cs="宋体"/>
          <w:kern w:val="0"/>
          <w:szCs w:val="18"/>
        </w:rPr>
        <w:t>商标，或者</w:t>
      </w:r>
      <w:r>
        <w:rPr>
          <w:rFonts w:hint="eastAsia" w:ascii="宋体" w:hAnsi="宋体" w:cs="宋体"/>
          <w:kern w:val="0"/>
          <w:szCs w:val="18"/>
        </w:rPr>
        <w:t>其他</w:t>
      </w:r>
      <w:r>
        <w:rPr>
          <w:rFonts w:ascii="宋体" w:hAnsi="宋体" w:cs="宋体"/>
          <w:kern w:val="0"/>
          <w:szCs w:val="18"/>
        </w:rPr>
        <w:t>的标记标识</w:t>
      </w:r>
      <w:r>
        <w:rPr>
          <w:rFonts w:hint="eastAsia" w:ascii="宋体" w:hAnsi="宋体" w:cs="宋体"/>
          <w:kern w:val="0"/>
          <w:szCs w:val="18"/>
        </w:rPr>
        <w:t>。需要安装的投标样品必须为安装完整的成品，由投标供应商自行组织安装。</w:t>
      </w:r>
    </w:p>
    <w:p>
      <w:pPr>
        <w:ind w:firstLine="420" w:firstLineChars="200"/>
        <w:rPr>
          <w:rFonts w:ascii="宋体" w:hAnsi="宋体" w:cs="宋体"/>
          <w:kern w:val="0"/>
          <w:szCs w:val="18"/>
        </w:rPr>
      </w:pPr>
      <w:r>
        <w:rPr>
          <w:rFonts w:hint="eastAsia" w:ascii="宋体" w:hAnsi="宋体"/>
          <w:szCs w:val="21"/>
        </w:rPr>
        <w:t>26.2.1</w:t>
      </w:r>
      <w:r>
        <w:rPr>
          <w:rFonts w:hint="eastAsia" w:ascii="宋体" w:hAnsi="宋体" w:cs="宋体"/>
          <w:kern w:val="0"/>
          <w:szCs w:val="18"/>
        </w:rPr>
        <w:t>样品递交签到：</w:t>
      </w:r>
    </w:p>
    <w:p>
      <w:pPr>
        <w:ind w:firstLine="420" w:firstLineChars="20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采购机构，按工作人员指引进行样品递交签到。</w:t>
      </w:r>
    </w:p>
    <w:p>
      <w:pPr>
        <w:ind w:firstLine="420" w:firstLineChars="200"/>
        <w:rPr>
          <w:bCs/>
          <w:szCs w:val="21"/>
        </w:rPr>
      </w:pPr>
      <w:r>
        <w:rPr>
          <w:rFonts w:hint="eastAsia"/>
          <w:bCs/>
          <w:szCs w:val="21"/>
        </w:rPr>
        <w:t>特别注意事项：（1）上述资料提供不齐全的，不予签到；（2）本项目投标截止时间后，不再受理签到；（3）未进行签到的，样品不予接收。</w:t>
      </w:r>
    </w:p>
    <w:p>
      <w:pPr>
        <w:ind w:firstLine="420" w:firstLineChars="200"/>
        <w:rPr>
          <w:rFonts w:ascii="宋体" w:hAnsi="宋体" w:cs="宋体"/>
          <w:kern w:val="0"/>
          <w:szCs w:val="18"/>
        </w:rPr>
      </w:pPr>
      <w:r>
        <w:rPr>
          <w:rFonts w:hint="eastAsia" w:ascii="宋体" w:hAnsi="宋体"/>
          <w:szCs w:val="21"/>
        </w:rPr>
        <w:t>26.2.</w:t>
      </w:r>
      <w:r>
        <w:rPr>
          <w:rFonts w:hint="eastAsia" w:ascii="宋体" w:hAnsi="宋体" w:cs="宋体"/>
          <w:kern w:val="0"/>
          <w:szCs w:val="18"/>
        </w:rPr>
        <w:t>2 样品接收</w:t>
      </w:r>
    </w:p>
    <w:p>
      <w:pPr>
        <w:ind w:firstLine="420" w:firstLineChars="200"/>
        <w:rPr>
          <w:rFonts w:ascii="宋体" w:hAnsi="宋体" w:cs="宋体"/>
          <w:kern w:val="0"/>
          <w:szCs w:val="18"/>
        </w:rPr>
      </w:pPr>
      <w:r>
        <w:rPr>
          <w:rFonts w:hint="eastAsia" w:ascii="宋体" w:hAnsi="宋体" w:cs="宋体"/>
          <w:kern w:val="0"/>
          <w:szCs w:val="18"/>
        </w:rPr>
        <w:t xml:space="preserve">本项目投标截止时间后进行投标样品接收。投标样品接收必须进行身份核对、样品核对、登记确认、顺序编号。 </w:t>
      </w:r>
    </w:p>
    <w:p>
      <w:pPr>
        <w:ind w:firstLine="420" w:firstLineChars="200"/>
        <w:rPr>
          <w:rFonts w:ascii="宋体" w:hAnsi="宋体" w:cs="宋体"/>
          <w:kern w:val="0"/>
          <w:szCs w:val="18"/>
        </w:rPr>
      </w:pPr>
      <w:r>
        <w:rPr>
          <w:rFonts w:hint="eastAsia" w:ascii="宋体" w:hAnsi="宋体" w:cs="宋体"/>
          <w:kern w:val="0"/>
          <w:szCs w:val="18"/>
        </w:rPr>
        <w:t>（1）身份核对。采购机构核对投标供应商受托人提供的“法定代表人证明书（盖公章）、法定代表人授权委托书（盖公章）、受托人身份证原件和复印件”。资料不齐全的，不得接收投标样品。</w:t>
      </w:r>
    </w:p>
    <w:p>
      <w:pPr>
        <w:ind w:firstLine="420" w:firstLineChars="200"/>
        <w:rPr>
          <w:rFonts w:ascii="宋体" w:hAnsi="宋体" w:cs="宋体"/>
          <w:kern w:val="0"/>
          <w:szCs w:val="18"/>
        </w:rPr>
      </w:pPr>
      <w:r>
        <w:rPr>
          <w:rFonts w:hint="eastAsia" w:ascii="宋体" w:hAnsi="宋体" w:cs="宋体"/>
          <w:kern w:val="0"/>
          <w:szCs w:val="18"/>
        </w:rPr>
        <w:t>（2）样品核对。采购机构工作人员将投标样品与投标供应商提供的《样品清单》（盖公章）进行一一核对。有不一致的或损坏情况的，将要求供应商受托人在《样品清单》上注明。</w:t>
      </w:r>
    </w:p>
    <w:p>
      <w:pPr>
        <w:ind w:firstLine="420" w:firstLineChars="200"/>
        <w:rPr>
          <w:rFonts w:ascii="宋体" w:hAnsi="宋体" w:cs="宋体"/>
          <w:kern w:val="0"/>
          <w:szCs w:val="18"/>
        </w:rPr>
      </w:pPr>
      <w:r>
        <w:rPr>
          <w:rFonts w:hint="eastAsia" w:ascii="宋体" w:hAnsi="宋体" w:cs="宋体"/>
          <w:kern w:val="0"/>
          <w:szCs w:val="18"/>
        </w:rPr>
        <w:t>（3）登记确认。在完成身份核对及样品核对后，投标供应商受托人必须在《样品接收登记表》上登记确认。</w:t>
      </w:r>
    </w:p>
    <w:p>
      <w:pPr>
        <w:ind w:firstLine="420" w:firstLineChars="200"/>
        <w:rPr>
          <w:rFonts w:ascii="宋体" w:hAnsi="宋体" w:cs="宋体"/>
          <w:kern w:val="0"/>
          <w:szCs w:val="18"/>
        </w:rPr>
      </w:pPr>
      <w:r>
        <w:rPr>
          <w:rFonts w:hint="eastAsia" w:ascii="宋体" w:hAnsi="宋体" w:cs="宋体"/>
          <w:kern w:val="0"/>
          <w:szCs w:val="18"/>
        </w:rPr>
        <w:t>（4）顺序编号。采购机构工作人员按投标样品接收的先后顺序进行编号。</w:t>
      </w:r>
    </w:p>
    <w:p>
      <w:pPr>
        <w:ind w:firstLine="420" w:firstLineChars="200"/>
        <w:rPr>
          <w:rFonts w:ascii="宋体" w:hAnsi="宋体" w:cs="宋体"/>
          <w:kern w:val="0"/>
          <w:szCs w:val="18"/>
        </w:rPr>
      </w:pPr>
      <w:r>
        <w:rPr>
          <w:rFonts w:hint="eastAsia" w:ascii="宋体" w:hAnsi="宋体"/>
          <w:szCs w:val="21"/>
        </w:rPr>
        <w:t>26.3采购机构</w:t>
      </w:r>
      <w:r>
        <w:rPr>
          <w:rFonts w:hint="eastAsia" w:ascii="宋体" w:hAnsi="宋体" w:cs="宋体"/>
          <w:kern w:val="0"/>
          <w:szCs w:val="18"/>
        </w:rPr>
        <w:t>工作人员负责组织投标样品摆样，指引供应商受托人将投标样品搬运到指定地点摆放、拆除包装，按要求摆放整齐。完成样品摆样后，供应商受托人应及时离场，不得在摆样现场滞留。</w:t>
      </w:r>
    </w:p>
    <w:p>
      <w:pPr>
        <w:ind w:firstLine="420" w:firstLineChars="200"/>
        <w:rPr>
          <w:rFonts w:ascii="宋体" w:hAnsi="宋体" w:cs="宋体"/>
          <w:kern w:val="0"/>
          <w:szCs w:val="18"/>
        </w:rPr>
      </w:pPr>
      <w:r>
        <w:rPr>
          <w:rFonts w:hint="eastAsia" w:ascii="宋体" w:hAnsi="宋体" w:cs="宋体"/>
          <w:kern w:val="0"/>
          <w:szCs w:val="18"/>
        </w:rPr>
        <w:t>26.4样品的退回：（1）未中标的供应商投标样品，采购机构工作人员将按规定进行通知，并要求供应商受托人在项目完成评审后的三个工作日内凭身份证及样品受理回执原件办理退回手续。（2）中标的供应商投标样品，采购机构工作人员将按规定进行通知，并要求采购人代表在中标通知书发放后三个工作日内凭中标通知书复印件及身份证原件办理领取手续。</w:t>
      </w:r>
    </w:p>
    <w:p>
      <w:pPr>
        <w:ind w:firstLine="420" w:firstLineChars="200"/>
        <w:rPr>
          <w:rFonts w:ascii="宋体" w:hAnsi="宋体" w:cs="宋体"/>
          <w:kern w:val="0"/>
          <w:szCs w:val="18"/>
        </w:rPr>
      </w:pPr>
      <w:r>
        <w:rPr>
          <w:rFonts w:hint="eastAsia" w:ascii="宋体" w:hAnsi="宋体" w:cs="宋体"/>
          <w:kern w:val="0"/>
          <w:szCs w:val="18"/>
        </w:rPr>
        <w:t>投标样品移交时，采购机构工作人员将再次核对供应商受托人或采购人代表身份、核对《样品清单》，签字确认后并取走样品。</w:t>
      </w:r>
    </w:p>
    <w:p>
      <w:pPr>
        <w:ind w:firstLine="420" w:firstLineChars="200"/>
        <w:rPr>
          <w:rFonts w:ascii="宋体" w:hAnsi="宋体" w:cs="宋体"/>
          <w:kern w:val="0"/>
          <w:szCs w:val="18"/>
        </w:rPr>
      </w:pPr>
      <w:r>
        <w:rPr>
          <w:rFonts w:hint="eastAsia" w:ascii="宋体" w:hAnsi="宋体" w:cs="宋体"/>
          <w:kern w:val="0"/>
          <w:szCs w:val="18"/>
        </w:rPr>
        <w:t>26.5未能及时退回的样品的处理：</w:t>
      </w:r>
    </w:p>
    <w:p>
      <w:pPr>
        <w:ind w:firstLine="420" w:firstLineChars="200"/>
        <w:rPr>
          <w:rFonts w:ascii="宋体" w:hAnsi="宋体" w:cs="宋体"/>
          <w:kern w:val="0"/>
          <w:szCs w:val="18"/>
        </w:rPr>
      </w:pPr>
      <w:r>
        <w:rPr>
          <w:rFonts w:hint="eastAsia" w:ascii="宋体" w:hAnsi="宋体" w:cs="宋体"/>
          <w:kern w:val="0"/>
          <w:szCs w:val="18"/>
        </w:rPr>
        <w:t>（1）未中标供应商未在规定时间内（项目完成评审后三个工作日）内取回投标样品的，视为放弃取回，采购机构将定期清理。</w:t>
      </w:r>
    </w:p>
    <w:p>
      <w:pPr>
        <w:ind w:firstLine="420"/>
        <w:rPr>
          <w:rFonts w:ascii="宋体" w:hAnsi="宋体"/>
          <w:szCs w:val="21"/>
        </w:rPr>
      </w:pPr>
      <w:r>
        <w:rPr>
          <w:rFonts w:hint="eastAsia" w:ascii="宋体" w:hAnsi="宋体" w:cs="宋体"/>
          <w:kern w:val="0"/>
          <w:szCs w:val="18"/>
        </w:rPr>
        <w:t>（2）采购人未在规定时间内（中标通知书发放后三个工作日内）内领取中标供应商投标样品的，采购机构工作人员将发函或电话敦促。对于拒不领取的中标样品，视同采购人放弃取回，中心将定期清理。</w:t>
      </w:r>
    </w:p>
    <w:p>
      <w:pPr>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提交投标文件后</w:t>
      </w:r>
      <w:r>
        <w:rPr>
          <w:rFonts w:ascii="宋体" w:hAnsi="宋体"/>
        </w:rPr>
        <w:t>可对其投标文件进行修改</w:t>
      </w:r>
      <w:r>
        <w:rPr>
          <w:rFonts w:hint="eastAsia" w:ascii="宋体" w:hAnsi="宋体"/>
        </w:rPr>
        <w:t>或</w:t>
      </w:r>
      <w:r>
        <w:rPr>
          <w:rFonts w:ascii="宋体" w:hAnsi="宋体"/>
        </w:rPr>
        <w:t>撤</w:t>
      </w:r>
      <w:r>
        <w:rPr>
          <w:rFonts w:hint="eastAsia" w:ascii="宋体" w:hAnsi="宋体"/>
        </w:rPr>
        <w:t>回</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r>
        <w:rPr>
          <w:rFonts w:ascii="宋体" w:hAnsi="宋体"/>
        </w:rPr>
        <w:t>。</w:t>
      </w:r>
    </w:p>
    <w:p>
      <w:pPr>
        <w:ind w:firstLine="411" w:firstLineChars="196"/>
        <w:rPr>
          <w:rFonts w:ascii="宋体" w:hAnsi="宋体"/>
          <w:szCs w:val="21"/>
        </w:rPr>
      </w:pPr>
      <w:r>
        <w:rPr>
          <w:rFonts w:hint="eastAsia" w:ascii="宋体" w:hAnsi="宋体"/>
          <w:szCs w:val="21"/>
        </w:rPr>
        <w:t>27.4采购机构不退还投标文件，专用</w:t>
      </w:r>
      <w:r>
        <w:rPr>
          <w:rFonts w:ascii="宋体" w:hAnsi="宋体"/>
          <w:szCs w:val="21"/>
        </w:rPr>
        <w:t>条款</w:t>
      </w:r>
      <w:r>
        <w:rPr>
          <w:rFonts w:hint="eastAsia" w:ascii="宋体" w:hAnsi="宋体"/>
          <w:szCs w:val="21"/>
        </w:rPr>
        <w:t>另有规定的除外。</w:t>
      </w:r>
    </w:p>
    <w:p>
      <w:pPr>
        <w:keepNext/>
        <w:keepLines/>
        <w:numPr>
          <w:ilvl w:val="0"/>
          <w:numId w:val="13"/>
        </w:numPr>
        <w:adjustRightInd w:val="0"/>
        <w:spacing w:before="120" w:beforeLines="50" w:after="120"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ascii="宋体" w:hAnsi="宋体"/>
          <w:szCs w:val="21"/>
        </w:rPr>
        <w:t>采购机构</w:t>
      </w:r>
      <w:r>
        <w:rPr>
          <w:rFonts w:hint="eastAsia" w:ascii="宋体" w:hAnsi="宋体"/>
          <w:szCs w:val="21"/>
        </w:rPr>
        <w:t>将在投标截止时间后，对密封</w:t>
      </w:r>
      <w:r>
        <w:rPr>
          <w:rFonts w:ascii="宋体" w:hAnsi="宋体"/>
          <w:szCs w:val="21"/>
        </w:rPr>
        <w:t>的</w:t>
      </w:r>
      <w:r>
        <w:rPr>
          <w:rFonts w:hint="eastAsia" w:ascii="宋体" w:hAnsi="宋体"/>
          <w:szCs w:val="21"/>
        </w:rPr>
        <w:t>投标文件进行拆封，开标，并</w:t>
      </w:r>
      <w:r>
        <w:rPr>
          <w:rFonts w:ascii="宋体" w:hAnsi="宋体"/>
          <w:szCs w:val="21"/>
        </w:rPr>
        <w:t>在开标现场公布开标结果</w:t>
      </w:r>
      <w:r>
        <w:rPr>
          <w:rFonts w:hint="eastAsia" w:ascii="宋体" w:hAnsi="宋体"/>
          <w:szCs w:val="21"/>
        </w:rPr>
        <w:t>。</w:t>
      </w:r>
    </w:p>
    <w:p>
      <w:pPr>
        <w:keepNext/>
        <w:keepLines/>
        <w:numPr>
          <w:ilvl w:val="0"/>
          <w:numId w:val="13"/>
        </w:numPr>
        <w:adjustRightInd w:val="0"/>
        <w:spacing w:before="120" w:beforeLines="50" w:after="120"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29.1开标结束后召开评标会议，评审委员会由采购机构依法组建，负责评标活动。</w:t>
      </w:r>
    </w:p>
    <w:p>
      <w:pPr>
        <w:ind w:firstLine="420"/>
        <w:rPr>
          <w:rFonts w:ascii="宋体" w:hAnsi="宋体"/>
        </w:rPr>
      </w:pPr>
      <w:r>
        <w:rPr>
          <w:rFonts w:hint="eastAsia" w:ascii="宋体" w:hAnsi="宋体"/>
        </w:rPr>
        <w:t>评标委员会由采购人代表和评审专家组成，成员人数为</w:t>
      </w:r>
      <w:r>
        <w:rPr>
          <w:rFonts w:ascii="宋体" w:hAnsi="宋体"/>
        </w:rPr>
        <w:t>5</w:t>
      </w:r>
      <w:r>
        <w:rPr>
          <w:rFonts w:hint="eastAsia" w:ascii="宋体" w:hAnsi="宋体"/>
        </w:rPr>
        <w:t>人以上（含</w:t>
      </w:r>
      <w:r>
        <w:rPr>
          <w:rFonts w:ascii="宋体" w:hAnsi="宋体"/>
        </w:rPr>
        <w:t>5</w:t>
      </w:r>
      <w:r>
        <w:rPr>
          <w:rFonts w:hint="eastAsia" w:ascii="宋体" w:hAnsi="宋体"/>
        </w:rPr>
        <w:t>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w:t>
      </w:r>
      <w:r>
        <w:rPr>
          <w:rFonts w:hint="eastAsia" w:ascii="宋体" w:hAnsi="宋体"/>
          <w:lang w:eastAsia="zh-CN"/>
        </w:rPr>
        <w:t>深圳市深大体育文化发展有限公司</w:t>
      </w:r>
      <w:r>
        <w:rPr>
          <w:rFonts w:hint="eastAsia" w:ascii="宋体" w:hAnsi="宋体"/>
        </w:rPr>
        <w:t>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hint="eastAsia" w:ascii="宋体" w:hAnsi="宋体"/>
          <w:bCs/>
        </w:rPr>
        <w:t>）。</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13"/>
        </w:numPr>
        <w:adjustRightInd w:val="0"/>
        <w:spacing w:before="120" w:beforeLines="50" w:after="120"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hint="eastAsia" w:ascii="宋体" w:hAnsi="宋体"/>
        </w:rPr>
        <w:t>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ascii="宋体" w:hAnsi="宋体"/>
        </w:rPr>
        <w:t>32.4</w:t>
      </w:r>
      <w:r>
        <w:rPr>
          <w:rFonts w:hint="eastAsia" w:ascii="宋体" w:hAnsi="宋体"/>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w:t>
      </w:r>
      <w:r>
        <w:rPr>
          <w:rFonts w:ascii="宋体" w:hAnsi="宋体"/>
        </w:rPr>
        <w:t>5</w:t>
      </w:r>
      <w:r>
        <w:rPr>
          <w:rFonts w:hint="eastAsia" w:ascii="宋体" w:hAnsi="宋体"/>
        </w:rPr>
        <w:t>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w:t>
      </w:r>
      <w:r>
        <w:rPr>
          <w:rFonts w:ascii="宋体" w:hAnsi="宋体"/>
        </w:rPr>
        <w:t>部分投标文件</w:t>
      </w:r>
      <w:r>
        <w:rPr>
          <w:rFonts w:hint="eastAsia" w:ascii="宋体" w:hAnsi="宋体"/>
        </w:rPr>
        <w:t>相互混装；</w:t>
      </w:r>
    </w:p>
    <w:p>
      <w:pPr>
        <w:ind w:firstLine="411" w:firstLineChars="196"/>
        <w:rPr>
          <w:rFonts w:ascii="宋体" w:hAnsi="宋体"/>
        </w:rPr>
      </w:pPr>
      <w:r>
        <w:rPr>
          <w:rFonts w:hint="eastAsia" w:ascii="宋体" w:hAnsi="宋体"/>
        </w:rPr>
        <w:t>32.5.6投标</w:t>
      </w:r>
      <w:r>
        <w:rPr>
          <w:rFonts w:ascii="宋体" w:hAnsi="宋体"/>
        </w:rPr>
        <w:t>供应商之间相互约定给</w:t>
      </w:r>
      <w:r>
        <w:rPr>
          <w:rFonts w:hint="eastAsia" w:ascii="宋体" w:hAnsi="宋体"/>
        </w:rPr>
        <w:t>予</w:t>
      </w:r>
      <w:r>
        <w:rPr>
          <w:rFonts w:ascii="宋体" w:hAnsi="宋体"/>
        </w:rPr>
        <w:t>未中标的供应商利益补偿</w:t>
      </w:r>
      <w:r>
        <w:rPr>
          <w:rFonts w:hint="eastAsia" w:ascii="宋体" w:hAnsi="宋体"/>
        </w:rPr>
        <w:t>；</w:t>
      </w:r>
    </w:p>
    <w:p>
      <w:pPr>
        <w:ind w:firstLine="411" w:firstLineChars="196"/>
        <w:rPr>
          <w:rFonts w:ascii="宋体" w:hAnsi="宋体"/>
        </w:rPr>
      </w:pPr>
      <w:r>
        <w:rPr>
          <w:rFonts w:hint="eastAsia" w:ascii="宋体" w:hAnsi="宋体"/>
        </w:rPr>
        <w:t>32.5.</w:t>
      </w:r>
      <w:r>
        <w:rPr>
          <w:rFonts w:ascii="宋体" w:hAnsi="宋体"/>
        </w:rPr>
        <w:t>7</w:t>
      </w:r>
      <w:r>
        <w:rPr>
          <w:rFonts w:hint="eastAsia" w:ascii="宋体" w:hAnsi="宋体"/>
        </w:rPr>
        <w:t>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w:t>
      </w:r>
      <w:r>
        <w:rPr>
          <w:rFonts w:ascii="宋体" w:hAnsi="宋体"/>
        </w:rPr>
        <w:t>8</w:t>
      </w:r>
      <w:r>
        <w:rPr>
          <w:rFonts w:hint="eastAsia" w:ascii="宋体" w:hAnsi="宋体"/>
        </w:rPr>
        <w:t>不同投标供应商的投标文件内容存在非正常一致；</w:t>
      </w:r>
    </w:p>
    <w:p>
      <w:pPr>
        <w:ind w:firstLine="411" w:firstLineChars="196"/>
        <w:rPr>
          <w:rFonts w:ascii="宋体" w:hAnsi="宋体"/>
        </w:rPr>
      </w:pPr>
      <w:r>
        <w:rPr>
          <w:rFonts w:hint="eastAsia" w:ascii="宋体" w:hAnsi="宋体"/>
        </w:rPr>
        <w:t>32.5.</w:t>
      </w:r>
      <w:r>
        <w:rPr>
          <w:rFonts w:ascii="宋体" w:hAnsi="宋体"/>
        </w:rPr>
        <w:t>9</w:t>
      </w:r>
      <w:r>
        <w:rPr>
          <w:rFonts w:hint="eastAsia" w:ascii="宋体" w:hAnsi="宋体"/>
        </w:rPr>
        <w:t>在同一单位工作人员为两家以上（含两家）供应商进行同一项投标活动；</w:t>
      </w:r>
    </w:p>
    <w:p>
      <w:pPr>
        <w:ind w:firstLine="411" w:firstLineChars="196"/>
        <w:rPr>
          <w:rFonts w:ascii="宋体" w:hAnsi="宋体"/>
        </w:rPr>
      </w:pPr>
      <w:r>
        <w:rPr>
          <w:rFonts w:hint="eastAsia" w:ascii="宋体" w:hAnsi="宋体"/>
        </w:rPr>
        <w:t>32.5.1</w:t>
      </w:r>
      <w:r>
        <w:rPr>
          <w:rFonts w:ascii="宋体" w:hAnsi="宋体"/>
        </w:rPr>
        <w:t>0</w:t>
      </w:r>
      <w:r>
        <w:rPr>
          <w:rFonts w:hint="eastAsia" w:ascii="宋体" w:hAnsi="宋体"/>
        </w:rPr>
        <w:t>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rPr>
      </w:pPr>
      <w:r>
        <w:rPr>
          <w:rFonts w:hint="eastAsia" w:ascii="黑体" w:hAnsi="宋体" w:eastAsia="黑体"/>
          <w:sz w:val="24"/>
        </w:rPr>
        <w:t>34．错误的修正</w:t>
      </w:r>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评审委员会将按照《深圳经济特区政府采购条例》和《深圳经济特区</w:t>
      </w:r>
      <w:r>
        <w:rPr>
          <w:rFonts w:ascii="宋体" w:hAnsi="宋体"/>
          <w:szCs w:val="21"/>
        </w:rPr>
        <w:t>政府采购条例实施细则</w:t>
      </w:r>
      <w:r>
        <w:rPr>
          <w:rFonts w:hint="eastAsia" w:ascii="宋体" w:hAnsi="宋体"/>
          <w:szCs w:val="21"/>
        </w:rPr>
        <w:t>》，参照相关法律、法规、规定，仅对通过资格性审查和符合性审查的投标文件进行综合比较与评价。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ˎ̥" w:hAnsi="ˎ̥"/>
        </w:rPr>
      </w:pPr>
      <w:r>
        <w:rPr>
          <w:rFonts w:ascii="ˎ̥" w:hAnsi="ˎ̥"/>
        </w:rPr>
        <w:t>最低评标价法，是指投标文件满足招标文件全部实质性要求，</w:t>
      </w:r>
      <w:r>
        <w:rPr>
          <w:rFonts w:hint="eastAsia" w:ascii="ˎ̥" w:hAnsi="ˎ̥"/>
        </w:rPr>
        <w:t>按报价进行排序</w:t>
      </w:r>
      <w:r>
        <w:rPr>
          <w:rFonts w:ascii="ˎ̥" w:hAnsi="ˎ̥"/>
        </w:rPr>
        <w:t>且投标报价最低的投标人为中标</w:t>
      </w:r>
      <w:r>
        <w:rPr>
          <w:rFonts w:hint="eastAsia" w:ascii="ˎ̥" w:hAnsi="ˎ̥"/>
        </w:rPr>
        <w:t>候选人</w:t>
      </w:r>
      <w:r>
        <w:rPr>
          <w:rFonts w:ascii="ˎ̥" w:hAnsi="ˎ̥"/>
        </w:rPr>
        <w:t>的评标方法（</w:t>
      </w:r>
      <w:r>
        <w:rPr>
          <w:rFonts w:hint="eastAsia" w:ascii="ˎ̥" w:hAnsi="ˎ̥"/>
        </w:rPr>
        <w:t>排名</w:t>
      </w:r>
      <w:r>
        <w:rPr>
          <w:rFonts w:ascii="ˎ̥" w:hAnsi="ˎ̥"/>
        </w:rPr>
        <w:t>第二</w:t>
      </w:r>
      <w:r>
        <w:rPr>
          <w:rFonts w:hint="eastAsia" w:ascii="ˎ̥" w:hAnsi="ˎ̥"/>
        </w:rPr>
        <w:t>的投标人为第一递补中标候选人、排名</w:t>
      </w:r>
      <w:r>
        <w:rPr>
          <w:rFonts w:ascii="ˎ̥" w:hAnsi="ˎ̥"/>
        </w:rPr>
        <w:t>第</w:t>
      </w:r>
      <w:r>
        <w:rPr>
          <w:rFonts w:hint="eastAsia" w:ascii="ˎ̥" w:hAnsi="ˎ̥"/>
        </w:rPr>
        <w:t>三的投标人为第二递补中标候选人</w:t>
      </w:r>
      <w:r>
        <w:rPr>
          <w:rFonts w:ascii="ˎ̥" w:hAnsi="ˎ̥"/>
        </w:rPr>
        <w:t>）。</w:t>
      </w:r>
    </w:p>
    <w:p>
      <w:pPr>
        <w:ind w:firstLine="413" w:firstLineChars="196"/>
        <w:rPr>
          <w:rFonts w:ascii="宋体" w:hAnsi="宋体"/>
          <w:b/>
          <w:bCs/>
          <w:szCs w:val="21"/>
        </w:rPr>
      </w:pPr>
      <w:r>
        <w:rPr>
          <w:rFonts w:hint="eastAsia" w:ascii="宋体" w:hAnsi="宋体"/>
          <w:b/>
          <w:bCs/>
          <w:szCs w:val="21"/>
        </w:rPr>
        <w:t>37.2综合评分法</w:t>
      </w:r>
    </w:p>
    <w:p>
      <w:pPr>
        <w:ind w:firstLine="411" w:firstLineChars="196"/>
        <w:rPr>
          <w:rFonts w:ascii="ˎ̥" w:hAnsi="ˎ̥"/>
        </w:rPr>
      </w:pPr>
      <w:r>
        <w:rPr>
          <w:rFonts w:ascii="ˎ̥" w:hAnsi="ˎ̥"/>
        </w:rPr>
        <w:t>综合评分法，是指投标文件满足招标文件全部实质性要求，且按照评审因素的量化指标评审得分最高的投标人为中标</w:t>
      </w:r>
      <w:r>
        <w:rPr>
          <w:rFonts w:hint="eastAsia" w:ascii="ˎ̥" w:hAnsi="ˎ̥"/>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pPr>
        <w:ind w:firstLine="413"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4</w:t>
      </w:r>
      <w:r>
        <w:rPr>
          <w:rFonts w:hint="eastAsia" w:ascii="宋体" w:hAnsi="宋体"/>
          <w:b/>
          <w:bCs/>
          <w:szCs w:val="21"/>
        </w:rPr>
        <w:t xml:space="preserve">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5</w:t>
      </w:r>
      <w:r>
        <w:rPr>
          <w:rFonts w:hint="eastAsia" w:ascii="宋体" w:hAnsi="宋体"/>
          <w:b/>
          <w:bCs/>
          <w:szCs w:val="21"/>
        </w:rPr>
        <w:t>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投标人对本条第一款情形提出质疑的，采购人或者采购机构可以组织原评审委员会进行重新评审，</w:t>
      </w:r>
      <w:r>
        <w:rPr>
          <w:rFonts w:hint="eastAsia" w:ascii="宋体" w:hAnsi="宋体" w:cs="宋体"/>
          <w:kern w:val="0"/>
          <w:szCs w:val="21"/>
        </w:rPr>
        <w:t>重新评审改变评标结果的，应当书面报告本级财政部门。</w:t>
      </w:r>
    </w:p>
    <w:p>
      <w:pPr>
        <w:ind w:firstLine="413" w:firstLineChars="196"/>
        <w:rPr>
          <w:rFonts w:ascii="宋体" w:hAnsi="宋体"/>
          <w:b/>
          <w:bCs/>
          <w:szCs w:val="21"/>
        </w:rPr>
      </w:pPr>
      <w:r>
        <w:rPr>
          <w:rFonts w:hint="eastAsia" w:ascii="宋体" w:hAnsi="宋体"/>
          <w:b/>
          <w:bCs/>
          <w:szCs w:val="21"/>
        </w:rPr>
        <w:t xml:space="preserve"> 37.</w:t>
      </w:r>
      <w:r>
        <w:rPr>
          <w:rFonts w:ascii="宋体" w:hAnsi="宋体"/>
          <w:b/>
          <w:bCs/>
          <w:szCs w:val="21"/>
        </w:rPr>
        <w:t>6</w:t>
      </w:r>
      <w:r>
        <w:rPr>
          <w:rFonts w:hint="eastAsia" w:ascii="宋体" w:hAnsi="宋体"/>
          <w:b/>
          <w:bCs/>
          <w:szCs w:val="21"/>
        </w:rPr>
        <w:t>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13"/>
        </w:numPr>
        <w:adjustRightInd w:val="0"/>
        <w:spacing w:before="120" w:beforeLines="50" w:after="120"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1评审委员会依据本项目招标文件所约定的评标方法进行评审和比较，向采购机构提交书面评标报告，并根据评标方法比较评价结果从优到劣进行排序，并推荐中标候选人或确定中标供应商。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2</w:t>
      </w:r>
      <w:r>
        <w:rPr>
          <w:rFonts w:ascii="ˎ̥" w:hAnsi="ˎ̥"/>
        </w:rPr>
        <w:t>采用最低评标价法的，评标结果按投标报价由低到高顺序排列。投标报价相同的并列。投标文件满足招标文件全部实质性要求且投标报价最低的</w:t>
      </w:r>
      <w:r>
        <w:rPr>
          <w:rFonts w:hint="eastAsia" w:ascii="ˎ̥" w:hAnsi="ˎ̥"/>
        </w:rPr>
        <w:t>投标人为</w:t>
      </w:r>
      <w:r>
        <w:rPr>
          <w:rFonts w:ascii="ˎ̥" w:hAnsi="ˎ̥"/>
        </w:rPr>
        <w:t>排名第一的中标候选人（</w:t>
      </w:r>
      <w:r>
        <w:rPr>
          <w:rFonts w:hint="eastAsia" w:ascii="ˎ̥" w:hAnsi="ˎ̥"/>
        </w:rPr>
        <w:t>排名</w:t>
      </w:r>
      <w:r>
        <w:rPr>
          <w:rFonts w:ascii="ˎ̥" w:hAnsi="ˎ̥"/>
        </w:rPr>
        <w:t>第二</w:t>
      </w:r>
      <w:r>
        <w:rPr>
          <w:rFonts w:hint="eastAsia" w:ascii="ˎ̥" w:hAnsi="ˎ̥"/>
        </w:rPr>
        <w:t>的投标人为第一递补中标候选人、排名</w:t>
      </w:r>
      <w:r>
        <w:rPr>
          <w:rFonts w:ascii="ˎ̥" w:hAnsi="ˎ̥"/>
        </w:rPr>
        <w:t>第</w:t>
      </w:r>
      <w:r>
        <w:rPr>
          <w:rFonts w:hint="eastAsia" w:ascii="ˎ̥" w:hAnsi="ˎ̥"/>
        </w:rPr>
        <w:t>三的投标人为第二递补中标候选人</w:t>
      </w:r>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hint="eastAsia" w:ascii="ˎ̥" w:hAnsi="ˎ̥"/>
        </w:rPr>
        <w:t>排名</w:t>
      </w:r>
      <w:r>
        <w:rPr>
          <w:rFonts w:ascii="ˎ̥" w:hAnsi="ˎ̥"/>
        </w:rPr>
        <w:t>第二</w:t>
      </w:r>
      <w:r>
        <w:rPr>
          <w:rFonts w:hint="eastAsia" w:ascii="ˎ̥" w:hAnsi="ˎ̥"/>
        </w:rPr>
        <w:t>的投标人为第一递补中标候选人、排名</w:t>
      </w:r>
      <w:r>
        <w:rPr>
          <w:rFonts w:ascii="ˎ̥" w:hAnsi="ˎ̥"/>
        </w:rPr>
        <w:t>第</w:t>
      </w:r>
      <w:r>
        <w:rPr>
          <w:rFonts w:hint="eastAsia" w:ascii="ˎ̥" w:hAnsi="ˎ̥"/>
        </w:rPr>
        <w:t>三的投标人为第二递补中标候选人</w:t>
      </w:r>
      <w:r>
        <w:rPr>
          <w:rFonts w:ascii="ˎ̥" w:hAnsi="ˎ̥"/>
        </w:rPr>
        <w:t>）。</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4出现并列的情况时，采取随机抽取的方式确定并列</w:t>
      </w:r>
      <w:r>
        <w:rPr>
          <w:rFonts w:ascii="宋体" w:hAnsi="宋体"/>
          <w:szCs w:val="21"/>
        </w:rPr>
        <w:t>的投标人的排序</w:t>
      </w:r>
      <w:r>
        <w:rPr>
          <w:rFonts w:hint="eastAsia" w:ascii="宋体" w:hAnsi="宋体"/>
          <w:szCs w:val="21"/>
        </w:rPr>
        <w:t>，具体操作办法及流程由评审委员会确定。</w:t>
      </w:r>
    </w:p>
    <w:p>
      <w:pPr>
        <w:ind w:firstLine="411" w:firstLineChars="196"/>
        <w:rPr>
          <w:rFonts w:ascii="宋体" w:hAnsi="宋体"/>
          <w:szCs w:val="21"/>
        </w:rPr>
      </w:pPr>
      <w:r>
        <w:rPr>
          <w:rFonts w:hint="eastAsia" w:ascii="宋体" w:hAnsi="宋体"/>
          <w:szCs w:val="21"/>
        </w:rPr>
        <w:t>38.</w:t>
      </w:r>
      <w:r>
        <w:rPr>
          <w:rFonts w:ascii="宋体" w:hAnsi="宋体"/>
          <w:szCs w:val="21"/>
        </w:rPr>
        <w:t>5</w:t>
      </w:r>
      <w:r>
        <w:rPr>
          <w:rFonts w:hint="eastAsia" w:ascii="宋体" w:hAnsi="宋体"/>
          <w:szCs w:val="21"/>
        </w:rPr>
        <w:t>专用条款另有规定的，按专用条款相关要求定标。</w:t>
      </w:r>
    </w:p>
    <w:p>
      <w:pPr>
        <w:spacing w:line="360" w:lineRule="auto"/>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40.1为体现“公开、公平、公正”的原则，评标结束后，采购机构将在“采购机构网站”（</w:t>
      </w:r>
      <w:r>
        <w:fldChar w:fldCharType="begin"/>
      </w:r>
      <w:r>
        <w:instrText xml:space="preserve"> HYPERLINK "http://bidding.szu.edu.cn/" </w:instrText>
      </w:r>
      <w:r>
        <w:fldChar w:fldCharType="separate"/>
      </w:r>
      <w:r>
        <w:rPr>
          <w:rFonts w:ascii="宋体" w:hAnsi="宋体"/>
          <w:color w:val="0000FF"/>
          <w:szCs w:val="21"/>
          <w:u w:val="single"/>
        </w:rPr>
        <w:t>http://bidding.szu.edu.cn/</w:t>
      </w:r>
      <w:r>
        <w:rPr>
          <w:rFonts w:ascii="宋体" w:hAnsi="宋体"/>
          <w:color w:val="0000FF"/>
          <w:szCs w:val="21"/>
          <w:u w:val="single"/>
        </w:rPr>
        <w:fldChar w:fldCharType="end"/>
      </w:r>
      <w:r>
        <w:rPr>
          <w:rFonts w:hint="eastAsia" w:ascii="宋体" w:hAnsi="宋体"/>
          <w:szCs w:val="21"/>
        </w:rPr>
        <w:t>）上发布中标结果公告。供应商如对评标结果有异议，可在发布公示日期起七个工作日内向采购机构提出。若在规定期限内未提出质疑，则视为认同该评标结果。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1中标公告公布以后,在公示</w:t>
      </w:r>
      <w:r>
        <w:rPr>
          <w:rFonts w:ascii="宋体" w:hAnsi="宋体"/>
          <w:szCs w:val="21"/>
        </w:rPr>
        <w:t>期</w:t>
      </w:r>
      <w:r>
        <w:rPr>
          <w:rFonts w:hint="eastAsia" w:ascii="宋体" w:hAnsi="宋体"/>
          <w:szCs w:val="21"/>
        </w:rPr>
        <w:t>内无有效质疑投诉,中标供应商和采购人可到采购机构领取《中标通知书》（咨询电话：0755—</w:t>
      </w:r>
      <w:r>
        <w:rPr>
          <w:rFonts w:hint="eastAsia" w:ascii="宋体" w:hAnsi="宋体"/>
          <w:szCs w:val="21"/>
          <w:lang w:val="en-US" w:eastAsia="zh-CN"/>
        </w:rPr>
        <w:t>26553554</w:t>
      </w:r>
      <w:r>
        <w:rPr>
          <w:rFonts w:hint="eastAsia" w:ascii="宋体" w:hAnsi="宋体"/>
          <w:szCs w:val="21"/>
        </w:rPr>
        <w:t>，</w:t>
      </w:r>
      <w:r>
        <w:rPr>
          <w:rFonts w:ascii="宋体" w:hAnsi="宋体"/>
          <w:szCs w:val="21"/>
        </w:rPr>
        <w:t>地点：</w:t>
      </w:r>
      <w:r>
        <w:rPr>
          <w:rFonts w:hint="eastAsia" w:ascii="宋体" w:hAnsi="宋体"/>
          <w:szCs w:val="21"/>
          <w:lang w:eastAsia="zh-CN"/>
        </w:rPr>
        <w:t>深圳市深大体育文化发展有限公司</w:t>
      </w:r>
      <w:r>
        <w:rPr>
          <w:rFonts w:hint="eastAsia" w:ascii="宋体" w:hAnsi="宋体"/>
          <w:szCs w:val="21"/>
        </w:rPr>
        <w:t>粤海校区</w:t>
      </w:r>
      <w:r>
        <w:rPr>
          <w:rFonts w:hint="eastAsia" w:ascii="宋体" w:hAnsi="宋体"/>
          <w:szCs w:val="21"/>
          <w:lang w:eastAsia="zh-CN"/>
        </w:rPr>
        <w:t>汇星楼</w:t>
      </w:r>
      <w:r>
        <w:rPr>
          <w:rFonts w:hint="eastAsia" w:ascii="宋体" w:hAnsi="宋体"/>
          <w:szCs w:val="21"/>
          <w:lang w:val="en-US" w:eastAsia="zh-CN"/>
        </w:rPr>
        <w:t>310</w:t>
      </w:r>
      <w:r>
        <w:rPr>
          <w:rFonts w:hint="eastAsia" w:ascii="宋体" w:hAnsi="宋体"/>
          <w:szCs w:val="21"/>
        </w:rPr>
        <w:t>室）。</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41.3因质疑投诉或其它原因导致项目结果变更或采购终止的，采购机构有权吊销中标通知书或终止采购合同。</w:t>
      </w:r>
    </w:p>
    <w:p>
      <w:pPr>
        <w:keepNext/>
        <w:keepLines/>
        <w:numPr>
          <w:ilvl w:val="0"/>
          <w:numId w:val="13"/>
        </w:numPr>
        <w:adjustRightInd w:val="0"/>
        <w:spacing w:before="120" w:beforeLines="50" w:after="120"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文件的供应商数量不足、经评审委员会评审对招标文件作实质响应的供应商不足等原因造成公开招标失败，可由采购机构重新组织采购。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（1）由采购机构重新组织公开招标；</w:t>
      </w:r>
    </w:p>
    <w:p>
      <w:pPr>
        <w:ind w:firstLine="411" w:firstLineChars="196"/>
        <w:rPr>
          <w:rFonts w:ascii="宋体" w:hAnsi="宋体"/>
        </w:rPr>
      </w:pPr>
      <w:r>
        <w:rPr>
          <w:rFonts w:hint="eastAsia" w:ascii="宋体" w:hAnsi="宋体"/>
        </w:rPr>
        <w:t>（2）根据实际情况，</w:t>
      </w:r>
      <w:r>
        <w:rPr>
          <w:rFonts w:ascii="宋体" w:hAnsi="宋体"/>
        </w:rPr>
        <w:t>依照</w:t>
      </w:r>
      <w:r>
        <w:rPr>
          <w:rFonts w:hint="eastAsia" w:ascii="宋体" w:hAnsi="宋体"/>
        </w:rPr>
        <w:t>的</w:t>
      </w:r>
      <w:r>
        <w:rPr>
          <w:rFonts w:ascii="宋体" w:hAnsi="宋体"/>
        </w:rPr>
        <w:t>有关规定申请将</w:t>
      </w:r>
      <w:r>
        <w:rPr>
          <w:rFonts w:hint="eastAsia" w:ascii="宋体" w:hAnsi="宋体"/>
        </w:rPr>
        <w:t>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42.4公开招标失败的采购项目重新组织公开招标，采购机构重新按公开招标流程组织采购活动。</w:t>
      </w:r>
    </w:p>
    <w:p>
      <w:pPr>
        <w:ind w:firstLine="411" w:firstLineChars="196"/>
        <w:rPr>
          <w:rFonts w:ascii="宋体" w:hAnsi="宋体"/>
        </w:rPr>
      </w:pPr>
      <w:r>
        <w:rPr>
          <w:rFonts w:hint="eastAsia" w:ascii="宋体" w:hAnsi="宋体"/>
        </w:rPr>
        <w:t>42.5公开招标失败的采购项目按照《</w:t>
      </w:r>
      <w:r>
        <w:rPr>
          <w:rFonts w:hint="eastAsia" w:ascii="宋体" w:hAnsi="宋体"/>
          <w:lang w:eastAsia="zh-CN"/>
        </w:rPr>
        <w:t>深圳市深大体育文化发展有限公司</w:t>
      </w:r>
      <w:r>
        <w:rPr>
          <w:rFonts w:ascii="宋体" w:hAnsi="宋体"/>
        </w:rPr>
        <w:t>采购管理办法</w:t>
      </w:r>
      <w:r>
        <w:rPr>
          <w:rFonts w:hint="eastAsia" w:ascii="宋体" w:hAnsi="宋体"/>
        </w:rPr>
        <w:t>》及</w:t>
      </w:r>
      <w:r>
        <w:rPr>
          <w:rFonts w:ascii="宋体" w:hAnsi="宋体"/>
        </w:rPr>
        <w:t>相关规定</w:t>
      </w:r>
      <w:r>
        <w:rPr>
          <w:rFonts w:hint="eastAsia" w:ascii="宋体" w:hAnsi="宋体"/>
        </w:rPr>
        <w:t>的</w:t>
      </w:r>
      <w:r>
        <w:rPr>
          <w:rFonts w:ascii="宋体" w:hAnsi="宋体"/>
        </w:rPr>
        <w:t>程序</w:t>
      </w:r>
      <w:r>
        <w:rPr>
          <w:rFonts w:hint="eastAsia" w:ascii="宋体" w:hAnsi="宋体"/>
        </w:rPr>
        <w:t>批准转为竞争性谈判或单一来源谈判方式采购的，按规定要求组织采购活动。</w:t>
      </w:r>
    </w:p>
    <w:p>
      <w:pPr>
        <w:keepNext/>
        <w:keepLines/>
        <w:numPr>
          <w:ilvl w:val="0"/>
          <w:numId w:val="13"/>
        </w:numPr>
        <w:adjustRightInd w:val="0"/>
        <w:spacing w:before="120" w:beforeLines="50" w:after="120" w:afterLines="50"/>
        <w:ind w:left="643" w:hanging="643"/>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3</w:t>
      </w:r>
      <w:r>
        <w:rPr>
          <w:rFonts w:hint="eastAsia" w:ascii="黑体" w:hAnsi="宋体" w:eastAsia="黑体"/>
          <w:sz w:val="24"/>
        </w:rPr>
        <w:t>．合同授予标准</w:t>
      </w:r>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4</w:t>
      </w:r>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5</w:t>
      </w:r>
      <w:r>
        <w:rPr>
          <w:rFonts w:hint="eastAsia" w:ascii="黑体" w:hAnsi="宋体" w:eastAsia="黑体"/>
          <w:sz w:val="24"/>
        </w:rPr>
        <w:t>．合同协议书的签订</w:t>
      </w:r>
    </w:p>
    <w:p>
      <w:pPr>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.1中标人将于中标通知书发出之日起十</w:t>
      </w:r>
      <w:r>
        <w:rPr>
          <w:rFonts w:ascii="宋体" w:hAnsi="宋体"/>
          <w:szCs w:val="21"/>
        </w:rPr>
        <w:t>个工作日</w:t>
      </w:r>
      <w:r>
        <w:rPr>
          <w:rFonts w:hint="eastAsia" w:ascii="宋体" w:hAnsi="宋体"/>
          <w:szCs w:val="21"/>
        </w:rPr>
        <w:t>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.2中标人如不按本通用条款第4</w:t>
      </w:r>
      <w:r>
        <w:rPr>
          <w:rFonts w:ascii="宋体" w:hAnsi="宋体"/>
          <w:szCs w:val="21"/>
        </w:rPr>
        <w:t>5.1</w:t>
      </w:r>
      <w:r>
        <w:rPr>
          <w:rFonts w:hint="eastAsia" w:ascii="宋体" w:hAnsi="宋体"/>
          <w:szCs w:val="21"/>
        </w:rPr>
        <w:t>款的规定与采购人签订合同，采购机构将有充分的理由取消</w:t>
      </w:r>
      <w:r>
        <w:rPr>
          <w:rFonts w:ascii="宋体" w:hAnsi="宋体"/>
          <w:szCs w:val="21"/>
        </w:rPr>
        <w:t>中标人的</w:t>
      </w:r>
      <w:r>
        <w:rPr>
          <w:rFonts w:hint="eastAsia" w:ascii="宋体" w:hAnsi="宋体"/>
          <w:szCs w:val="21"/>
        </w:rPr>
        <w:t>中标，并计入</w:t>
      </w:r>
      <w:r>
        <w:rPr>
          <w:rFonts w:ascii="宋体" w:hAnsi="宋体"/>
          <w:szCs w:val="21"/>
        </w:rPr>
        <w:t>供应商诚信档案</w:t>
      </w:r>
      <w:r>
        <w:rPr>
          <w:rFonts w:hint="eastAsia" w:ascii="宋体" w:hAnsi="宋体"/>
          <w:szCs w:val="21"/>
        </w:rPr>
        <w:t>。</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.3中标人应当按照合同约定履行义务，完成中标项目，不得将中标项目转让（转包）给他人。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6</w:t>
      </w:r>
      <w:r>
        <w:rPr>
          <w:rFonts w:hint="eastAsia" w:ascii="黑体" w:hAnsi="宋体" w:eastAsia="黑体"/>
          <w:sz w:val="24"/>
        </w:rPr>
        <w:t>．履约担保</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.1在签订项目合同的同时，中标人应按“对通用条款的补充内容”中规定的金额向采购人提交履约保证金（除现金方式外，允许供应商自主选择以支票、汇票、本票、保函等非现金方式缴纳或提交保证金）。</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.2如果中标人不能按“对</w:t>
      </w:r>
      <w:r>
        <w:rPr>
          <w:rFonts w:ascii="宋体" w:hAnsi="宋体"/>
          <w:szCs w:val="21"/>
        </w:rPr>
        <w:t>通用条款的补充内容</w:t>
      </w:r>
      <w:r>
        <w:rPr>
          <w:rFonts w:hint="eastAsia" w:ascii="宋体" w:hAnsi="宋体"/>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将有充分的理由通过采购机构取消其中标，给采购人造成</w:t>
      </w:r>
      <w:r>
        <w:rPr>
          <w:rFonts w:hint="eastAsia" w:ascii="宋体" w:hAnsi="宋体"/>
          <w:szCs w:val="21"/>
        </w:rPr>
        <w:t>的损失，中标人还应当予以赔偿。</w:t>
      </w:r>
    </w:p>
    <w:p>
      <w:pPr>
        <w:ind w:firstLine="411" w:firstLineChars="196"/>
        <w:rPr>
          <w:rFonts w:ascii="宋体" w:hAnsi="宋体"/>
          <w:szCs w:val="21"/>
        </w:rPr>
      </w:pPr>
      <w:r>
        <w:rPr>
          <w:rFonts w:hint="eastAsia" w:ascii="宋体" w:hAnsi="宋体"/>
          <w:szCs w:val="21"/>
        </w:rPr>
        <w:t>46</w:t>
      </w:r>
      <w:r>
        <w:rPr>
          <w:rFonts w:ascii="宋体" w:hAnsi="宋体"/>
          <w:szCs w:val="21"/>
        </w:rPr>
        <w:t>.</w:t>
      </w:r>
      <w:r>
        <w:rPr>
          <w:rFonts w:hint="eastAsia" w:ascii="宋体" w:hAnsi="宋体"/>
          <w:szCs w:val="21"/>
        </w:rPr>
        <w:t>3项目服务期满之后,经验收合格后，采购人在七日内办理解除履约担保手续。</w:t>
      </w:r>
    </w:p>
    <w:p>
      <w:pPr>
        <w:spacing w:line="0" w:lineRule="atLeast"/>
        <w:rPr>
          <w:rFonts w:ascii="宋体" w:hAnsi="宋体"/>
          <w:szCs w:val="21"/>
        </w:rPr>
      </w:pP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7</w:t>
      </w:r>
      <w:r>
        <w:rPr>
          <w:rFonts w:hint="eastAsia" w:ascii="黑体" w:hAnsi="宋体" w:eastAsia="黑体"/>
          <w:sz w:val="24"/>
        </w:rPr>
        <w:t>.合同的备案</w:t>
      </w:r>
    </w:p>
    <w:p>
      <w:pPr>
        <w:spacing w:line="0" w:lineRule="atLeast"/>
        <w:ind w:firstLine="411" w:firstLineChars="196"/>
        <w:rPr>
          <w:rFonts w:ascii="宋体" w:hAnsi="宋体"/>
          <w:szCs w:val="21"/>
        </w:rPr>
      </w:pPr>
      <w:r>
        <w:rPr>
          <w:rFonts w:hint="eastAsia" w:ascii="宋体" w:hAnsi="宋体"/>
          <w:szCs w:val="21"/>
        </w:rPr>
        <w:t>采购人与中标人应于合同签订之日起十0日内，由采购人或委托中标人将采购合同副本抄送采购机构备案。</w:t>
      </w:r>
    </w:p>
    <w:p>
      <w:pPr>
        <w:spacing w:line="360" w:lineRule="auto"/>
        <w:rPr>
          <w:rFonts w:ascii="黑体" w:hAnsi="宋体" w:eastAsia="黑体"/>
          <w:sz w:val="24"/>
        </w:rPr>
      </w:pPr>
      <w:r>
        <w:rPr>
          <w:rFonts w:ascii="黑体" w:hAnsi="宋体" w:eastAsia="黑体"/>
          <w:sz w:val="24"/>
        </w:rPr>
        <w:t>48</w:t>
      </w:r>
      <w:r>
        <w:rPr>
          <w:rFonts w:hint="eastAsia" w:ascii="黑体" w:hAnsi="宋体" w:eastAsia="黑体"/>
          <w:sz w:val="24"/>
        </w:rPr>
        <w:t>.履约情况的反馈</w:t>
      </w:r>
    </w:p>
    <w:p>
      <w:pPr>
        <w:spacing w:line="0" w:lineRule="atLeast"/>
        <w:ind w:firstLine="411" w:firstLineChars="196"/>
        <w:rPr>
          <w:rFonts w:ascii="宋体" w:hAnsi="宋体"/>
          <w:szCs w:val="21"/>
        </w:rPr>
      </w:pPr>
      <w:r>
        <w:rPr>
          <w:rFonts w:hint="eastAsia" w:ascii="宋体" w:hAnsi="宋体"/>
          <w:szCs w:val="21"/>
        </w:rPr>
        <w:t>采购人应及时向采购机构反馈中标人的履约情况（填写《</w:t>
      </w:r>
      <w:r>
        <w:rPr>
          <w:rFonts w:hint="eastAsia" w:ascii="宋体" w:hAnsi="宋体"/>
          <w:szCs w:val="21"/>
          <w:lang w:eastAsia="zh-CN"/>
        </w:rPr>
        <w:t>深圳市深大体育文化发展有限公司</w:t>
      </w:r>
      <w:r>
        <w:rPr>
          <w:rFonts w:hint="eastAsia"/>
        </w:rPr>
        <w:t>采购履约情况反馈表》</w:t>
      </w:r>
      <w:r>
        <w:rPr>
          <w:rFonts w:hint="eastAsia" w:ascii="宋体" w:hAnsi="宋体"/>
          <w:szCs w:val="21"/>
        </w:rPr>
        <w:t>），中标人的履约情况将作为供应商考核的重要依据，并将成为日后</w:t>
      </w:r>
      <w:r>
        <w:rPr>
          <w:rFonts w:hint="eastAsia" w:ascii="宋体" w:hAnsi="宋体"/>
          <w:szCs w:val="21"/>
          <w:lang w:eastAsia="zh-CN"/>
        </w:rPr>
        <w:t>深圳市深大体育文化发展有限公司</w:t>
      </w:r>
      <w:r>
        <w:rPr>
          <w:rFonts w:hint="eastAsia" w:ascii="宋体" w:hAnsi="宋体"/>
          <w:szCs w:val="21"/>
        </w:rPr>
        <w:t>采购活动中的项目评标依据。</w:t>
      </w:r>
    </w:p>
    <w:p>
      <w:pPr>
        <w:spacing w:line="360" w:lineRule="auto"/>
        <w:rPr>
          <w:rFonts w:ascii="黑体" w:hAnsi="宋体" w:eastAsia="黑体"/>
          <w:sz w:val="24"/>
        </w:rPr>
      </w:pPr>
      <w:r>
        <w:rPr>
          <w:rFonts w:ascii="黑体" w:hAnsi="宋体" w:eastAsia="黑体"/>
          <w:sz w:val="24"/>
        </w:rPr>
        <w:t>49</w:t>
      </w:r>
      <w:r>
        <w:rPr>
          <w:rFonts w:hint="eastAsia" w:ascii="黑体" w:hAnsi="宋体" w:eastAsia="黑体"/>
          <w:sz w:val="24"/>
        </w:rPr>
        <w:t>．供应商违法行为</w:t>
      </w:r>
    </w:p>
    <w:p>
      <w:pPr>
        <w:ind w:firstLine="411" w:firstLineChars="196"/>
        <w:rPr>
          <w:rFonts w:ascii="宋体" w:hAnsi="宋体"/>
          <w:szCs w:val="21"/>
        </w:rPr>
      </w:pP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keepNext/>
        <w:keepLines/>
        <w:numPr>
          <w:ilvl w:val="0"/>
          <w:numId w:val="13"/>
        </w:numPr>
        <w:adjustRightInd w:val="0"/>
        <w:spacing w:before="120" w:beforeLines="50" w:after="120" w:afterLines="50"/>
        <w:ind w:left="643" w:hanging="643"/>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0</w:t>
      </w:r>
      <w:r>
        <w:rPr>
          <w:rFonts w:hint="eastAsia" w:ascii="黑体" w:hAnsi="宋体" w:eastAsia="黑体"/>
          <w:sz w:val="24"/>
        </w:rPr>
        <w:t>.质疑处理原则</w:t>
      </w:r>
    </w:p>
    <w:p>
      <w:pPr>
        <w:ind w:firstLine="420" w:firstLineChars="200"/>
        <w:rPr>
          <w:rFonts w:ascii="宋体" w:hAnsi="宋体"/>
          <w:szCs w:val="21"/>
        </w:rPr>
      </w:pPr>
      <w:r>
        <w:rPr>
          <w:rFonts w:hint="eastAsia" w:ascii="宋体" w:hAnsi="宋体"/>
          <w:szCs w:val="21"/>
        </w:rPr>
        <w:t>50.1提出质疑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参与政府采购活动的供应商认为自己的权益在采购活动中受到损害的，应当自知道或者应当知道其权益受到损害之日起七个工作日内向采购人、采购机构以书面形式提出质疑。</w:t>
      </w:r>
    </w:p>
    <w:p>
      <w:pPr>
        <w:rPr>
          <w:rFonts w:ascii="宋体" w:hAnsi="宋体"/>
          <w:szCs w:val="21"/>
        </w:rPr>
      </w:pPr>
      <w:r>
        <w:rPr>
          <w:rFonts w:hint="eastAsia" w:ascii="宋体" w:hAnsi="宋体"/>
          <w:szCs w:val="21"/>
        </w:rPr>
        <w:t xml:space="preserve">    50.2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50.3质疑条件</w:t>
      </w:r>
    </w:p>
    <w:p>
      <w:pPr>
        <w:rPr>
          <w:rFonts w:ascii="宋体" w:hAnsi="宋体"/>
          <w:szCs w:val="21"/>
        </w:rPr>
      </w:pPr>
      <w:r>
        <w:rPr>
          <w:rFonts w:hint="eastAsia" w:ascii="宋体" w:hAnsi="宋体"/>
          <w:szCs w:val="21"/>
        </w:rPr>
        <w:t xml:space="preserve">    50.3.1提出质疑的供应商应当是参与所质疑项目采购活动的供应商；</w:t>
      </w:r>
    </w:p>
    <w:p>
      <w:pPr>
        <w:spacing w:line="312" w:lineRule="atLeast"/>
        <w:textAlignment w:val="center"/>
        <w:rPr>
          <w:rFonts w:ascii="Segoe UI" w:hAnsi="Segoe UI" w:cs="Segoe UI"/>
          <w:color w:val="666666"/>
          <w:kern w:val="0"/>
          <w:sz w:val="17"/>
          <w:szCs w:val="17"/>
        </w:rPr>
      </w:pPr>
      <w:r>
        <w:rPr>
          <w:rFonts w:hint="eastAsia" w:ascii="宋体" w:hAnsi="宋体"/>
          <w:szCs w:val="21"/>
        </w:rPr>
        <w:t xml:space="preserve">    50.3.2</w:t>
      </w:r>
      <w:r>
        <w:rPr>
          <w:rFonts w:hint="eastAsia" w:ascii="宋体" w:hAnsi="宋体" w:cs="Segoe UI"/>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20"/>
        <w:rPr>
          <w:rFonts w:ascii="宋体" w:hAnsi="宋体"/>
          <w:szCs w:val="21"/>
        </w:rPr>
      </w:pPr>
      <w:r>
        <w:rPr>
          <w:rFonts w:hint="eastAsia" w:ascii="宋体" w:hAnsi="宋体"/>
          <w:szCs w:val="21"/>
        </w:rPr>
        <w:t>50.3.3应提交书面质疑函，质疑函应当包括以下内容：（1）具体、明确的质疑事项和与质疑事项相关的请求；（2）合理的事实和依据；（3）必要的证明材料和法律依据。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50.4提交</w:t>
      </w:r>
      <w:r>
        <w:rPr>
          <w:rFonts w:ascii="宋体" w:hAnsi="宋体"/>
          <w:szCs w:val="21"/>
        </w:rPr>
        <w:t>材料</w:t>
      </w:r>
    </w:p>
    <w:p>
      <w:pPr>
        <w:rPr>
          <w:rFonts w:ascii="宋体" w:hAnsi="宋体"/>
          <w:szCs w:val="21"/>
        </w:rPr>
      </w:pPr>
      <w:r>
        <w:rPr>
          <w:rFonts w:hint="eastAsia" w:ascii="宋体" w:hAnsi="宋体"/>
          <w:szCs w:val="21"/>
        </w:rPr>
        <w:t xml:space="preserve">    质疑函、营业执照复印件、法定代表人证明。如委托代理人提交的，还需提交授权委托书及代理人身份证明。</w:t>
      </w:r>
    </w:p>
    <w:p>
      <w:pPr>
        <w:rPr>
          <w:rFonts w:ascii="宋体" w:hAnsi="宋体"/>
          <w:szCs w:val="21"/>
        </w:rPr>
      </w:pPr>
      <w:r>
        <w:rPr>
          <w:rFonts w:hint="eastAsia" w:ascii="宋体" w:hAnsi="宋体"/>
          <w:szCs w:val="21"/>
        </w:rPr>
        <w:t xml:space="preserve">    50.5收文部门</w:t>
      </w:r>
    </w:p>
    <w:p>
      <w:pPr>
        <w:rPr>
          <w:rFonts w:ascii="宋体" w:hAnsi="宋体"/>
          <w:szCs w:val="21"/>
        </w:rPr>
      </w:pPr>
      <w:r>
        <w:rPr>
          <w:rFonts w:hint="eastAsia" w:ascii="宋体" w:hAnsi="宋体"/>
          <w:szCs w:val="21"/>
        </w:rPr>
        <w:t xml:space="preserve">    采购机构，地址：深圳市南山区南海大道3688号 </w:t>
      </w:r>
      <w:r>
        <w:rPr>
          <w:rFonts w:hint="eastAsia" w:ascii="宋体" w:hAnsi="宋体"/>
          <w:szCs w:val="21"/>
          <w:lang w:eastAsia="zh-CN"/>
        </w:rPr>
        <w:t>深圳市深大体育文化发展有限公司</w:t>
      </w:r>
      <w:r>
        <w:rPr>
          <w:rFonts w:hint="eastAsia" w:ascii="宋体" w:hAnsi="宋体"/>
          <w:szCs w:val="21"/>
        </w:rPr>
        <w:t>粤海校区汇元楼246室，质疑咨询电话：0755-26057039。</w:t>
      </w:r>
    </w:p>
    <w:p>
      <w:pPr>
        <w:rPr>
          <w:rFonts w:ascii="宋体" w:hAnsi="宋体"/>
          <w:szCs w:val="21"/>
        </w:rPr>
      </w:pPr>
      <w:r>
        <w:rPr>
          <w:rFonts w:hint="eastAsia" w:ascii="宋体" w:hAnsi="宋体"/>
          <w:szCs w:val="21"/>
        </w:rPr>
        <w:t xml:space="preserve">    50.6收文办理</w:t>
      </w:r>
      <w:r>
        <w:rPr>
          <w:rFonts w:ascii="宋体" w:hAnsi="宋体"/>
          <w:szCs w:val="21"/>
        </w:rPr>
        <w:t>程序</w:t>
      </w:r>
    </w:p>
    <w:p>
      <w:pPr>
        <w:rPr>
          <w:rFonts w:ascii="宋体" w:hAnsi="宋体"/>
          <w:szCs w:val="21"/>
        </w:rPr>
      </w:pPr>
      <w:r>
        <w:rPr>
          <w:rFonts w:hint="eastAsia" w:ascii="宋体" w:hAnsi="宋体"/>
          <w:szCs w:val="21"/>
        </w:rPr>
        <w:t xml:space="preserve">    50.6.1供应商提交的质疑材料符合质疑条件的办理收文，出具收文回执；</w:t>
      </w:r>
    </w:p>
    <w:p>
      <w:pPr>
        <w:rPr>
          <w:rFonts w:ascii="宋体" w:hAnsi="宋体"/>
          <w:szCs w:val="21"/>
        </w:rPr>
      </w:pPr>
      <w:r>
        <w:rPr>
          <w:rFonts w:hint="eastAsia" w:ascii="宋体" w:hAnsi="宋体"/>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pPr>
        <w:rPr>
          <w:rFonts w:ascii="宋体" w:hAnsi="宋体"/>
          <w:szCs w:val="21"/>
        </w:rPr>
      </w:pPr>
      <w:r>
        <w:rPr>
          <w:rFonts w:hint="eastAsia" w:ascii="宋体" w:hAnsi="宋体"/>
          <w:szCs w:val="21"/>
        </w:rPr>
        <w:t xml:space="preserve">    50.7质疑答复时限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50.8投诉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w:t>
      </w:r>
      <w:r>
        <w:rPr>
          <w:rFonts w:hint="eastAsia" w:ascii="宋体" w:hAnsi="宋体"/>
          <w:szCs w:val="21"/>
          <w:lang w:eastAsia="zh-CN"/>
        </w:rPr>
        <w:t>深圳市深大体育文化发展有限公司</w:t>
      </w:r>
      <w:r>
        <w:rPr>
          <w:rFonts w:ascii="宋体" w:hAnsi="宋体"/>
          <w:szCs w:val="21"/>
        </w:rPr>
        <w:t>纪检、</w:t>
      </w:r>
      <w:r>
        <w:rPr>
          <w:rFonts w:hint="eastAsia" w:ascii="宋体" w:hAnsi="宋体"/>
          <w:szCs w:val="21"/>
        </w:rPr>
        <w:t>监察</w:t>
      </w:r>
      <w:r>
        <w:rPr>
          <w:rFonts w:ascii="宋体" w:hAnsi="宋体"/>
          <w:szCs w:val="21"/>
        </w:rPr>
        <w:t>部门</w:t>
      </w:r>
      <w:r>
        <w:rPr>
          <w:rFonts w:hint="eastAsia" w:ascii="宋体" w:hAnsi="宋体"/>
          <w:szCs w:val="21"/>
        </w:rPr>
        <w:t>投诉。</w:t>
      </w:r>
    </w:p>
    <w:p>
      <w:pPr>
        <w:spacing w:line="360" w:lineRule="auto"/>
        <w:rPr>
          <w:rFonts w:ascii="黑体" w:hAnsi="宋体" w:eastAsia="黑体"/>
          <w:sz w:val="24"/>
        </w:rPr>
      </w:pPr>
      <w:r>
        <w:rPr>
          <w:rFonts w:hint="eastAsia" w:ascii="黑体" w:hAnsi="宋体" w:eastAsia="黑体"/>
          <w:sz w:val="24"/>
        </w:rPr>
        <w:t>51.质疑后续处理</w:t>
      </w:r>
    </w:p>
    <w:p>
      <w:pPr>
        <w:ind w:firstLine="411" w:firstLineChars="196"/>
        <w:rPr>
          <w:rFonts w:ascii="宋体" w:hAnsi="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360" w:lineRule="auto"/>
        <w:rPr>
          <w:rFonts w:ascii="宋体" w:hAnsi="宋体"/>
          <w:szCs w:val="21"/>
        </w:rPr>
      </w:pPr>
    </w:p>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00"/>
    <w:family w:val="auto"/>
    <w:pitch w:val="default"/>
    <w:sig w:usb0="00000000" w:usb1="00000000" w:usb2="00000000" w:usb3="00000000" w:csb0="FFFFFFF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auto"/>
    <w:pitch w:val="default"/>
    <w:sig w:usb0="00000000" w:usb1="00000000" w:usb2="00000000" w:usb3="00000000" w:csb0="FFFFFFFF" w:csb1="00000000"/>
  </w:font>
  <w:font w:name="文鼎CS书宋二">
    <w:altName w:val="宋体"/>
    <w:panose1 w:val="00000000000000000000"/>
    <w:charset w:val="00"/>
    <w:family w:val="auto"/>
    <w:pitch w:val="default"/>
    <w:sig w:usb0="00000000" w:usb1="00000000" w:usb2="00000000" w:usb3="00000000" w:csb0="FFFFFFFF" w:csb1="00000000"/>
  </w:font>
  <w:font w:name="创艺简黑体">
    <w:altName w:val="黑体"/>
    <w:panose1 w:val="00000000000000000000"/>
    <w:charset w:val="00"/>
    <w:family w:val="auto"/>
    <w:pitch w:val="default"/>
    <w:sig w:usb0="00000000" w:usb1="00000000" w:usb2="00000000" w:usb3="00000000" w:csb0="FFFFFFFF" w:csb1="00000000"/>
  </w:font>
  <w:font w:name="文鼎CS大宋">
    <w:altName w:val="宋体"/>
    <w:panose1 w:val="02010609010101010101"/>
    <w:charset w:val="00"/>
    <w:family w:val="auto"/>
    <w:pitch w:val="default"/>
    <w:sig w:usb0="00000000" w:usb1="00000000" w:usb2="00000000" w:usb3="00000000" w:csb0="00000000" w:csb1="00000000"/>
  </w:font>
  <w:font w:name="文鼎CS长美黑">
    <w:altName w:val="黑体"/>
    <w:panose1 w:val="02010609010101010101"/>
    <w:charset w:val="00"/>
    <w:family w:val="auto"/>
    <w:pitch w:val="default"/>
    <w:sig w:usb0="00000000" w:usb1="00000000" w:usb2="00000000" w:usb3="00000000" w:csb0="00000000" w:csb1="00000000"/>
  </w:font>
  <w:font w:name="文鼎中楷">
    <w:altName w:val="仿宋"/>
    <w:panose1 w:val="00000000000000000000"/>
    <w:charset w:val="00"/>
    <w:family w:val="auto"/>
    <w:pitch w:val="default"/>
    <w:sig w:usb0="00000000" w:usb1="00000000" w:usb2="00000000" w:usb3="00000000" w:csb0="FFFFFFFF" w:csb1="00000000"/>
  </w:font>
  <w:font w:name="Tunga">
    <w:panose1 w:val="020B0502040204020203"/>
    <w:charset w:val="00"/>
    <w:family w:val="swiss"/>
    <w:pitch w:val="default"/>
    <w:sig w:usb0="00400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Segoe Print"/>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35</w:t>
    </w:r>
    <w:r>
      <w:rPr>
        <w:lang w:val="zh-CN"/>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0"/>
      </w:rPr>
    </w:pPr>
    <w:r>
      <w:rPr>
        <w:rStyle w:val="60"/>
      </w:rPr>
      <w:fldChar w:fldCharType="begin"/>
    </w:r>
    <w:r>
      <w:rPr>
        <w:rStyle w:val="60"/>
      </w:rPr>
      <w:instrText xml:space="preserve">PAGE  </w:instrText>
    </w:r>
    <w:r>
      <w:rPr>
        <w:rStyle w:val="60"/>
      </w:rPr>
      <w:fldChar w:fldCharType="end"/>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default" w:eastAsia="宋体"/>
        <w:lang w:val="en-US" w:eastAsia="zh-CN"/>
      </w:rPr>
    </w:pPr>
    <w:r>
      <w:rPr>
        <w:rFonts w:hint="eastAsia"/>
      </w:rPr>
      <w:t xml:space="preserve">深圳市深大体育文化发展有限公司招标文件                   </w:t>
    </w:r>
    <w:r>
      <w:rPr>
        <w:rFonts w:hint="eastAsia"/>
        <w:lang w:val="en-US" w:eastAsia="zh-CN"/>
      </w:rPr>
      <w:t xml:space="preserve">     </w:t>
    </w:r>
    <w:r>
      <w:rPr>
        <w:rFonts w:hint="eastAsia"/>
      </w:rPr>
      <w:t xml:space="preserve">    招标编号：</w:t>
    </w:r>
    <w:r>
      <w:rPr>
        <w:rFonts w:hint="eastAsia"/>
        <w:lang w:eastAsia="zh-CN"/>
      </w:rPr>
      <w:t>SZUTT202100</w:t>
    </w:r>
    <w:r>
      <w:rPr>
        <w:rFonts w:hint="eastAsia"/>
        <w:lang w:val="en-US" w:eastAsia="zh-CN"/>
      </w:rPr>
      <w:t>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88EB62"/>
    <w:multiLevelType w:val="singleLevel"/>
    <w:tmpl w:val="F788EB62"/>
    <w:lvl w:ilvl="0" w:tentative="0">
      <w:start w:val="1"/>
      <w:numFmt w:val="decimal"/>
      <w:suff w:val="nothing"/>
      <w:lvlText w:val="%1、"/>
      <w:lvlJc w:val="left"/>
    </w:lvl>
  </w:abstractNum>
  <w:abstractNum w:abstractNumId="1">
    <w:nsid w:val="FFFFFF7C"/>
    <w:multiLevelType w:val="singleLevel"/>
    <w:tmpl w:val="FFFFFF7C"/>
    <w:lvl w:ilvl="0" w:tentative="0">
      <w:start w:val="1"/>
      <w:numFmt w:val="decimal"/>
      <w:pStyle w:val="71"/>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3">
    <w:nsid w:val="00000011"/>
    <w:multiLevelType w:val="multilevel"/>
    <w:tmpl w:val="00000011"/>
    <w:lvl w:ilvl="0" w:tentative="0">
      <w:start w:val="1"/>
      <w:numFmt w:val="decimal"/>
      <w:lvlText w:val="（%1）"/>
      <w:lvlJc w:val="left"/>
      <w:pPr>
        <w:tabs>
          <w:tab w:val="left" w:pos="2279"/>
        </w:tabs>
        <w:ind w:left="2279" w:hanging="720"/>
      </w:pPr>
      <w:rPr>
        <w:rFonts w:hint="eastAsia"/>
      </w:rPr>
    </w:lvl>
    <w:lvl w:ilvl="1" w:tentative="0">
      <w:start w:val="1"/>
      <w:numFmt w:val="lowerLetter"/>
      <w:lvlText w:val="%2)"/>
      <w:lvlJc w:val="left"/>
      <w:pPr>
        <w:tabs>
          <w:tab w:val="left" w:pos="1650"/>
        </w:tabs>
        <w:ind w:left="1650" w:hanging="420"/>
      </w:pPr>
    </w:lvl>
    <w:lvl w:ilvl="2" w:tentative="0">
      <w:start w:val="1"/>
      <w:numFmt w:val="decimal"/>
      <w:lvlText w:val="%3、"/>
      <w:lvlJc w:val="left"/>
      <w:pPr>
        <w:tabs>
          <w:tab w:val="left" w:pos="2010"/>
        </w:tabs>
        <w:ind w:left="2010" w:hanging="360"/>
      </w:pPr>
      <w:rPr>
        <w:rFonts w:hint="default"/>
      </w:rPr>
    </w:lvl>
    <w:lvl w:ilvl="3" w:tentative="0">
      <w:start w:val="1"/>
      <w:numFmt w:val="upperLetter"/>
      <w:lvlText w:val="%4、"/>
      <w:lvlJc w:val="left"/>
      <w:pPr>
        <w:tabs>
          <w:tab w:val="left" w:pos="2430"/>
        </w:tabs>
        <w:ind w:left="2430" w:hanging="360"/>
      </w:pPr>
      <w:rPr>
        <w:rFonts w:hint="eastAsia"/>
      </w:rPr>
    </w:lvl>
    <w:lvl w:ilvl="4" w:tentative="0">
      <w:start w:val="1"/>
      <w:numFmt w:val="decimal"/>
      <w:lvlText w:val="%5．"/>
      <w:lvlJc w:val="left"/>
      <w:pPr>
        <w:tabs>
          <w:tab w:val="left" w:pos="2850"/>
        </w:tabs>
        <w:ind w:left="2850" w:hanging="360"/>
      </w:pPr>
      <w:rPr>
        <w:rFonts w:hint="eastAsia"/>
      </w:rPr>
    </w:lvl>
    <w:lvl w:ilvl="5" w:tentative="0">
      <w:start w:val="1"/>
      <w:numFmt w:val="japaneseCounting"/>
      <w:lvlText w:val="（%6）"/>
      <w:lvlJc w:val="left"/>
      <w:pPr>
        <w:ind w:left="3675" w:hanging="765"/>
      </w:pPr>
      <w:rPr>
        <w:rFonts w:hint="default"/>
      </w:rPr>
    </w:lvl>
    <w:lvl w:ilvl="6" w:tentative="0">
      <w:start w:val="2"/>
      <w:numFmt w:val="japaneseCounting"/>
      <w:lvlText w:val="%7、"/>
      <w:lvlJc w:val="left"/>
      <w:pPr>
        <w:ind w:left="3840" w:hanging="510"/>
      </w:pPr>
      <w:rPr>
        <w:rFonts w:hint="default"/>
      </w:rPr>
    </w:lvl>
    <w:lvl w:ilvl="7" w:tentative="0">
      <w:start w:val="1"/>
      <w:numFmt w:val="lowerLetter"/>
      <w:lvlText w:val="%8)"/>
      <w:lvlJc w:val="left"/>
      <w:pPr>
        <w:tabs>
          <w:tab w:val="left" w:pos="4170"/>
        </w:tabs>
        <w:ind w:left="4170" w:hanging="420"/>
      </w:pPr>
    </w:lvl>
    <w:lvl w:ilvl="8" w:tentative="0">
      <w:start w:val="1"/>
      <w:numFmt w:val="lowerRoman"/>
      <w:lvlText w:val="%9."/>
      <w:lvlJc w:val="right"/>
      <w:pPr>
        <w:tabs>
          <w:tab w:val="left" w:pos="4590"/>
        </w:tabs>
        <w:ind w:left="4590" w:hanging="420"/>
      </w:pPr>
    </w:lvl>
  </w:abstractNum>
  <w:abstractNum w:abstractNumId="4">
    <w:nsid w:val="00000012"/>
    <w:multiLevelType w:val="singleLevel"/>
    <w:tmpl w:val="00000012"/>
    <w:lvl w:ilvl="0" w:tentative="0">
      <w:start w:val="1"/>
      <w:numFmt w:val="chineseCountingThousand"/>
      <w:lvlText w:val="%1、"/>
      <w:lvlJc w:val="left"/>
      <w:pPr>
        <w:ind w:left="900" w:hanging="420"/>
      </w:pPr>
      <w:rPr>
        <w:rFonts w:hint="eastAsia"/>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AD927ED"/>
    <w:multiLevelType w:val="singleLevel"/>
    <w:tmpl w:val="2AD927ED"/>
    <w:lvl w:ilvl="0" w:tentative="0">
      <w:start w:val="1"/>
      <w:numFmt w:val="chineseCounting"/>
      <w:suff w:val="nothing"/>
      <w:lvlText w:val="%1、"/>
      <w:lvlJc w:val="left"/>
      <w:rPr>
        <w:rFonts w:hint="eastAsia"/>
      </w:rPr>
    </w:lvl>
  </w:abstractNum>
  <w:abstractNum w:abstractNumId="7">
    <w:nsid w:val="313AAE63"/>
    <w:multiLevelType w:val="singleLevel"/>
    <w:tmpl w:val="313AAE63"/>
    <w:lvl w:ilvl="0" w:tentative="0">
      <w:start w:val="1"/>
      <w:numFmt w:val="chineseCounting"/>
      <w:suff w:val="nothing"/>
      <w:lvlText w:val="%1、"/>
      <w:lvlJc w:val="left"/>
      <w:rPr>
        <w:rFonts w:hint="eastAsia"/>
      </w:rPr>
    </w:lvl>
  </w:abstractNum>
  <w:abstractNum w:abstractNumId="8">
    <w:nsid w:val="4A7FB3E3"/>
    <w:multiLevelType w:val="singleLevel"/>
    <w:tmpl w:val="4A7FB3E3"/>
    <w:lvl w:ilvl="0" w:tentative="0">
      <w:start w:val="3"/>
      <w:numFmt w:val="chineseCounting"/>
      <w:suff w:val="nothing"/>
      <w:lvlText w:val="%1、"/>
      <w:lvlJc w:val="left"/>
      <w:rPr>
        <w:rFonts w:hint="eastAsia"/>
      </w:rPr>
    </w:lvl>
  </w:abstractNum>
  <w:abstractNum w:abstractNumId="9">
    <w:nsid w:val="539A4327"/>
    <w:multiLevelType w:val="singleLevel"/>
    <w:tmpl w:val="539A4327"/>
    <w:lvl w:ilvl="0" w:tentative="0">
      <w:start w:val="1"/>
      <w:numFmt w:val="decimal"/>
      <w:suff w:val="nothing"/>
      <w:lvlText w:val="%1、"/>
      <w:lvlJc w:val="left"/>
    </w:lvl>
  </w:abstractNum>
  <w:abstractNum w:abstractNumId="10">
    <w:nsid w:val="662D2111"/>
    <w:multiLevelType w:val="singleLevel"/>
    <w:tmpl w:val="662D2111"/>
    <w:lvl w:ilvl="0" w:tentative="0">
      <w:start w:val="1"/>
      <w:numFmt w:val="chineseCounting"/>
      <w:suff w:val="nothing"/>
      <w:lvlText w:val="%1、"/>
      <w:lvlJc w:val="left"/>
      <w:rPr>
        <w:rFonts w:hint="eastAsia"/>
      </w:rPr>
    </w:lvl>
  </w:abstractNum>
  <w:abstractNum w:abstractNumId="11">
    <w:nsid w:val="74217A0B"/>
    <w:multiLevelType w:val="singleLevel"/>
    <w:tmpl w:val="74217A0B"/>
    <w:lvl w:ilvl="0" w:tentative="0">
      <w:start w:val="1"/>
      <w:numFmt w:val="chineseCounting"/>
      <w:suff w:val="nothing"/>
      <w:lvlText w:val="%1、"/>
      <w:lvlJc w:val="left"/>
      <w:rPr>
        <w:rFonts w:hint="eastAsia"/>
      </w:rPr>
    </w:lvl>
  </w:abstractNum>
  <w:abstractNum w:abstractNumId="12">
    <w:nsid w:val="761FFD03"/>
    <w:multiLevelType w:val="singleLevel"/>
    <w:tmpl w:val="761FFD03"/>
    <w:lvl w:ilvl="0" w:tentative="0">
      <w:start w:val="2"/>
      <w:numFmt w:val="chineseCounting"/>
      <w:suff w:val="space"/>
      <w:lvlText w:val="第%1章"/>
      <w:lvlJc w:val="left"/>
      <w:rPr>
        <w:rFonts w:hint="eastAsia"/>
      </w:rPr>
    </w:lvl>
  </w:abstractNum>
  <w:num w:numId="1">
    <w:abstractNumId w:val="2"/>
  </w:num>
  <w:num w:numId="2">
    <w:abstractNumId w:val="1"/>
  </w:num>
  <w:num w:numId="3">
    <w:abstractNumId w:val="12"/>
  </w:num>
  <w:num w:numId="4">
    <w:abstractNumId w:val="7"/>
  </w:num>
  <w:num w:numId="5">
    <w:abstractNumId w:val="8"/>
  </w:num>
  <w:num w:numId="6">
    <w:abstractNumId w:val="10"/>
  </w:num>
  <w:num w:numId="7">
    <w:abstractNumId w:val="0"/>
  </w:num>
  <w:num w:numId="8">
    <w:abstractNumId w:val="4"/>
  </w:num>
  <w:num w:numId="9">
    <w:abstractNumId w:val="3"/>
  </w:num>
  <w:num w:numId="10">
    <w:abstractNumId w:val="9"/>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1B0D"/>
    <w:rsid w:val="0000260A"/>
    <w:rsid w:val="00005215"/>
    <w:rsid w:val="0000570B"/>
    <w:rsid w:val="00005A10"/>
    <w:rsid w:val="00007C62"/>
    <w:rsid w:val="00010102"/>
    <w:rsid w:val="000123D3"/>
    <w:rsid w:val="00012D63"/>
    <w:rsid w:val="00012E8E"/>
    <w:rsid w:val="00013473"/>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03A"/>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E6B"/>
    <w:rsid w:val="00091272"/>
    <w:rsid w:val="00092FC7"/>
    <w:rsid w:val="0009376D"/>
    <w:rsid w:val="00093CC0"/>
    <w:rsid w:val="000954D5"/>
    <w:rsid w:val="0009618D"/>
    <w:rsid w:val="0009709B"/>
    <w:rsid w:val="000973C5"/>
    <w:rsid w:val="000A207D"/>
    <w:rsid w:val="000A42FD"/>
    <w:rsid w:val="000A553D"/>
    <w:rsid w:val="000A6FAC"/>
    <w:rsid w:val="000A703B"/>
    <w:rsid w:val="000B05E2"/>
    <w:rsid w:val="000B0E0D"/>
    <w:rsid w:val="000B2568"/>
    <w:rsid w:val="000B25A6"/>
    <w:rsid w:val="000B3599"/>
    <w:rsid w:val="000B3C10"/>
    <w:rsid w:val="000B4287"/>
    <w:rsid w:val="000C1EE4"/>
    <w:rsid w:val="000C381D"/>
    <w:rsid w:val="000C4425"/>
    <w:rsid w:val="000C60F0"/>
    <w:rsid w:val="000C611D"/>
    <w:rsid w:val="000C6956"/>
    <w:rsid w:val="000C7CC8"/>
    <w:rsid w:val="000D1063"/>
    <w:rsid w:val="000D1A7D"/>
    <w:rsid w:val="000D2309"/>
    <w:rsid w:val="000D32D0"/>
    <w:rsid w:val="000D38F9"/>
    <w:rsid w:val="000D5510"/>
    <w:rsid w:val="000D58F2"/>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09A"/>
    <w:rsid w:val="000F565B"/>
    <w:rsid w:val="000F5F3F"/>
    <w:rsid w:val="000F695B"/>
    <w:rsid w:val="00101486"/>
    <w:rsid w:val="00101DD0"/>
    <w:rsid w:val="00102037"/>
    <w:rsid w:val="00102555"/>
    <w:rsid w:val="00103B5D"/>
    <w:rsid w:val="00104CBB"/>
    <w:rsid w:val="001075F2"/>
    <w:rsid w:val="00107D54"/>
    <w:rsid w:val="00110ABC"/>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3C4"/>
    <w:rsid w:val="00130827"/>
    <w:rsid w:val="001308A2"/>
    <w:rsid w:val="00130B7D"/>
    <w:rsid w:val="00132D9C"/>
    <w:rsid w:val="00133107"/>
    <w:rsid w:val="001360C0"/>
    <w:rsid w:val="00136684"/>
    <w:rsid w:val="00141752"/>
    <w:rsid w:val="00143653"/>
    <w:rsid w:val="00143B3A"/>
    <w:rsid w:val="00146978"/>
    <w:rsid w:val="0014765D"/>
    <w:rsid w:val="001477BF"/>
    <w:rsid w:val="00147DA2"/>
    <w:rsid w:val="001503A4"/>
    <w:rsid w:val="00150480"/>
    <w:rsid w:val="00151E27"/>
    <w:rsid w:val="001557E9"/>
    <w:rsid w:val="00156C5D"/>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4B07"/>
    <w:rsid w:val="00195110"/>
    <w:rsid w:val="00196B4E"/>
    <w:rsid w:val="00196C66"/>
    <w:rsid w:val="001A027A"/>
    <w:rsid w:val="001A0D2C"/>
    <w:rsid w:val="001A422B"/>
    <w:rsid w:val="001A440A"/>
    <w:rsid w:val="001A4A55"/>
    <w:rsid w:val="001A62E5"/>
    <w:rsid w:val="001A67DD"/>
    <w:rsid w:val="001A6A1A"/>
    <w:rsid w:val="001A6A4F"/>
    <w:rsid w:val="001A7098"/>
    <w:rsid w:val="001A73D0"/>
    <w:rsid w:val="001A7502"/>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08FE"/>
    <w:rsid w:val="001D17DC"/>
    <w:rsid w:val="001D2333"/>
    <w:rsid w:val="001D3543"/>
    <w:rsid w:val="001D48E2"/>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41AF"/>
    <w:rsid w:val="00205F25"/>
    <w:rsid w:val="00205F9C"/>
    <w:rsid w:val="00210771"/>
    <w:rsid w:val="00211885"/>
    <w:rsid w:val="002122B8"/>
    <w:rsid w:val="00213010"/>
    <w:rsid w:val="00215699"/>
    <w:rsid w:val="002159DE"/>
    <w:rsid w:val="00215E99"/>
    <w:rsid w:val="0021645F"/>
    <w:rsid w:val="002166A6"/>
    <w:rsid w:val="00216BB6"/>
    <w:rsid w:val="00216C18"/>
    <w:rsid w:val="0022048B"/>
    <w:rsid w:val="00221A9C"/>
    <w:rsid w:val="00222261"/>
    <w:rsid w:val="00222421"/>
    <w:rsid w:val="0022634D"/>
    <w:rsid w:val="00227D49"/>
    <w:rsid w:val="00227FC7"/>
    <w:rsid w:val="002336B7"/>
    <w:rsid w:val="00233B02"/>
    <w:rsid w:val="00236A81"/>
    <w:rsid w:val="00236E72"/>
    <w:rsid w:val="0023735E"/>
    <w:rsid w:val="00250F42"/>
    <w:rsid w:val="00254518"/>
    <w:rsid w:val="00254B44"/>
    <w:rsid w:val="00254E99"/>
    <w:rsid w:val="00254EBC"/>
    <w:rsid w:val="00255F3B"/>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663BA"/>
    <w:rsid w:val="00272C2E"/>
    <w:rsid w:val="00273A19"/>
    <w:rsid w:val="00273B80"/>
    <w:rsid w:val="00275641"/>
    <w:rsid w:val="002816B2"/>
    <w:rsid w:val="002821E9"/>
    <w:rsid w:val="00282C70"/>
    <w:rsid w:val="002842BE"/>
    <w:rsid w:val="00286F0F"/>
    <w:rsid w:val="0028720B"/>
    <w:rsid w:val="0028787B"/>
    <w:rsid w:val="002908A7"/>
    <w:rsid w:val="00291796"/>
    <w:rsid w:val="00292D0E"/>
    <w:rsid w:val="00292F66"/>
    <w:rsid w:val="0029315D"/>
    <w:rsid w:val="00293CA5"/>
    <w:rsid w:val="00294309"/>
    <w:rsid w:val="0029449E"/>
    <w:rsid w:val="00295866"/>
    <w:rsid w:val="0029659D"/>
    <w:rsid w:val="002969C6"/>
    <w:rsid w:val="00296F46"/>
    <w:rsid w:val="00296F8A"/>
    <w:rsid w:val="002A180F"/>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1973"/>
    <w:rsid w:val="002C1EA7"/>
    <w:rsid w:val="002C257A"/>
    <w:rsid w:val="002C3550"/>
    <w:rsid w:val="002C7DAA"/>
    <w:rsid w:val="002D0356"/>
    <w:rsid w:val="002D07C0"/>
    <w:rsid w:val="002D1DFB"/>
    <w:rsid w:val="002D1F5C"/>
    <w:rsid w:val="002D2FE0"/>
    <w:rsid w:val="002D45BF"/>
    <w:rsid w:val="002D45FF"/>
    <w:rsid w:val="002D4A85"/>
    <w:rsid w:val="002D64DF"/>
    <w:rsid w:val="002D68B6"/>
    <w:rsid w:val="002E38DB"/>
    <w:rsid w:val="002E455D"/>
    <w:rsid w:val="002E4BAF"/>
    <w:rsid w:val="002E7510"/>
    <w:rsid w:val="002E7EC5"/>
    <w:rsid w:val="002F027E"/>
    <w:rsid w:val="002F0CC0"/>
    <w:rsid w:val="002F1DB6"/>
    <w:rsid w:val="002F2B7A"/>
    <w:rsid w:val="002F3105"/>
    <w:rsid w:val="002F3248"/>
    <w:rsid w:val="002F3FEC"/>
    <w:rsid w:val="002F41A5"/>
    <w:rsid w:val="002F4C44"/>
    <w:rsid w:val="002F6614"/>
    <w:rsid w:val="002F72FF"/>
    <w:rsid w:val="00301BCD"/>
    <w:rsid w:val="0030463E"/>
    <w:rsid w:val="003047A3"/>
    <w:rsid w:val="00304ED6"/>
    <w:rsid w:val="00306FF4"/>
    <w:rsid w:val="00307A5F"/>
    <w:rsid w:val="003126EA"/>
    <w:rsid w:val="0031399D"/>
    <w:rsid w:val="00314B50"/>
    <w:rsid w:val="00315A06"/>
    <w:rsid w:val="0031644B"/>
    <w:rsid w:val="00317D36"/>
    <w:rsid w:val="00320740"/>
    <w:rsid w:val="003219B7"/>
    <w:rsid w:val="003221D3"/>
    <w:rsid w:val="0032257B"/>
    <w:rsid w:val="003225FB"/>
    <w:rsid w:val="00322F68"/>
    <w:rsid w:val="00323034"/>
    <w:rsid w:val="003238CB"/>
    <w:rsid w:val="00323A7C"/>
    <w:rsid w:val="00323BE9"/>
    <w:rsid w:val="00323C32"/>
    <w:rsid w:val="003243F6"/>
    <w:rsid w:val="00324A1D"/>
    <w:rsid w:val="0032526A"/>
    <w:rsid w:val="00325524"/>
    <w:rsid w:val="00325742"/>
    <w:rsid w:val="0032759F"/>
    <w:rsid w:val="00327948"/>
    <w:rsid w:val="00327AB3"/>
    <w:rsid w:val="0033477B"/>
    <w:rsid w:val="0033739F"/>
    <w:rsid w:val="00340804"/>
    <w:rsid w:val="00342DC1"/>
    <w:rsid w:val="0034314D"/>
    <w:rsid w:val="003438AA"/>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CEE"/>
    <w:rsid w:val="00373D40"/>
    <w:rsid w:val="0037450A"/>
    <w:rsid w:val="003778D4"/>
    <w:rsid w:val="00380094"/>
    <w:rsid w:val="00381172"/>
    <w:rsid w:val="0038165D"/>
    <w:rsid w:val="00382879"/>
    <w:rsid w:val="00383071"/>
    <w:rsid w:val="00384C69"/>
    <w:rsid w:val="0038560D"/>
    <w:rsid w:val="00385F39"/>
    <w:rsid w:val="003868EF"/>
    <w:rsid w:val="00386ACD"/>
    <w:rsid w:val="00391FAB"/>
    <w:rsid w:val="00392539"/>
    <w:rsid w:val="00392677"/>
    <w:rsid w:val="00394981"/>
    <w:rsid w:val="00394AA6"/>
    <w:rsid w:val="003953A8"/>
    <w:rsid w:val="003955C9"/>
    <w:rsid w:val="0039788E"/>
    <w:rsid w:val="003A0E20"/>
    <w:rsid w:val="003A1F6A"/>
    <w:rsid w:val="003A21D7"/>
    <w:rsid w:val="003A33B5"/>
    <w:rsid w:val="003A34B2"/>
    <w:rsid w:val="003A3551"/>
    <w:rsid w:val="003A38F0"/>
    <w:rsid w:val="003A3B5D"/>
    <w:rsid w:val="003A443D"/>
    <w:rsid w:val="003A6A5A"/>
    <w:rsid w:val="003A72E9"/>
    <w:rsid w:val="003B036A"/>
    <w:rsid w:val="003B0D27"/>
    <w:rsid w:val="003B3629"/>
    <w:rsid w:val="003B390F"/>
    <w:rsid w:val="003B5A08"/>
    <w:rsid w:val="003B5EF3"/>
    <w:rsid w:val="003C0177"/>
    <w:rsid w:val="003C274D"/>
    <w:rsid w:val="003C3AF3"/>
    <w:rsid w:val="003C77EA"/>
    <w:rsid w:val="003D03BB"/>
    <w:rsid w:val="003D0F8A"/>
    <w:rsid w:val="003D2333"/>
    <w:rsid w:val="003D5413"/>
    <w:rsid w:val="003D582B"/>
    <w:rsid w:val="003D615A"/>
    <w:rsid w:val="003D6FF4"/>
    <w:rsid w:val="003E37AA"/>
    <w:rsid w:val="003E3C43"/>
    <w:rsid w:val="003E47DE"/>
    <w:rsid w:val="003E67F8"/>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1450E"/>
    <w:rsid w:val="00415370"/>
    <w:rsid w:val="00415781"/>
    <w:rsid w:val="00416F40"/>
    <w:rsid w:val="00417769"/>
    <w:rsid w:val="00421EF2"/>
    <w:rsid w:val="00422668"/>
    <w:rsid w:val="004232BA"/>
    <w:rsid w:val="0042602D"/>
    <w:rsid w:val="00430054"/>
    <w:rsid w:val="00431AC1"/>
    <w:rsid w:val="00431C7E"/>
    <w:rsid w:val="004329C9"/>
    <w:rsid w:val="00432A55"/>
    <w:rsid w:val="00432CD5"/>
    <w:rsid w:val="00436088"/>
    <w:rsid w:val="004363FA"/>
    <w:rsid w:val="004364CC"/>
    <w:rsid w:val="004370CE"/>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6C75"/>
    <w:rsid w:val="004578F0"/>
    <w:rsid w:val="00457AF7"/>
    <w:rsid w:val="004603D6"/>
    <w:rsid w:val="004608AC"/>
    <w:rsid w:val="00462097"/>
    <w:rsid w:val="00463F8B"/>
    <w:rsid w:val="00464D72"/>
    <w:rsid w:val="0046687B"/>
    <w:rsid w:val="00467961"/>
    <w:rsid w:val="00470418"/>
    <w:rsid w:val="004727C4"/>
    <w:rsid w:val="00472C1D"/>
    <w:rsid w:val="00473579"/>
    <w:rsid w:val="00475AFA"/>
    <w:rsid w:val="004768AE"/>
    <w:rsid w:val="00481819"/>
    <w:rsid w:val="004822BF"/>
    <w:rsid w:val="0048231B"/>
    <w:rsid w:val="0048233B"/>
    <w:rsid w:val="00482D59"/>
    <w:rsid w:val="004838D4"/>
    <w:rsid w:val="004845AC"/>
    <w:rsid w:val="004850BA"/>
    <w:rsid w:val="0048557F"/>
    <w:rsid w:val="00485E3C"/>
    <w:rsid w:val="004864F8"/>
    <w:rsid w:val="00486609"/>
    <w:rsid w:val="0048706E"/>
    <w:rsid w:val="004915C1"/>
    <w:rsid w:val="004925C9"/>
    <w:rsid w:val="004926DF"/>
    <w:rsid w:val="00492735"/>
    <w:rsid w:val="00494FC9"/>
    <w:rsid w:val="00495122"/>
    <w:rsid w:val="00495A2D"/>
    <w:rsid w:val="00497A59"/>
    <w:rsid w:val="004A1BC0"/>
    <w:rsid w:val="004A201B"/>
    <w:rsid w:val="004A204A"/>
    <w:rsid w:val="004A2673"/>
    <w:rsid w:val="004A3423"/>
    <w:rsid w:val="004A3717"/>
    <w:rsid w:val="004A4377"/>
    <w:rsid w:val="004A57EB"/>
    <w:rsid w:val="004A5824"/>
    <w:rsid w:val="004A6717"/>
    <w:rsid w:val="004A7625"/>
    <w:rsid w:val="004A76D9"/>
    <w:rsid w:val="004A788D"/>
    <w:rsid w:val="004B107E"/>
    <w:rsid w:val="004B1CAB"/>
    <w:rsid w:val="004B2F18"/>
    <w:rsid w:val="004B36ED"/>
    <w:rsid w:val="004B3F79"/>
    <w:rsid w:val="004B612E"/>
    <w:rsid w:val="004B623B"/>
    <w:rsid w:val="004B63D5"/>
    <w:rsid w:val="004B7ECD"/>
    <w:rsid w:val="004C010E"/>
    <w:rsid w:val="004C1289"/>
    <w:rsid w:val="004C1690"/>
    <w:rsid w:val="004C343E"/>
    <w:rsid w:val="004C3E02"/>
    <w:rsid w:val="004C422D"/>
    <w:rsid w:val="004C4CEB"/>
    <w:rsid w:val="004C600A"/>
    <w:rsid w:val="004C601E"/>
    <w:rsid w:val="004C76D6"/>
    <w:rsid w:val="004D000F"/>
    <w:rsid w:val="004D26F0"/>
    <w:rsid w:val="004D35B5"/>
    <w:rsid w:val="004D4AE0"/>
    <w:rsid w:val="004D7A6D"/>
    <w:rsid w:val="004D7B71"/>
    <w:rsid w:val="004D7BF4"/>
    <w:rsid w:val="004D7C92"/>
    <w:rsid w:val="004E0B6C"/>
    <w:rsid w:val="004E0F36"/>
    <w:rsid w:val="004E1A92"/>
    <w:rsid w:val="004E2C67"/>
    <w:rsid w:val="004E38B2"/>
    <w:rsid w:val="004E3936"/>
    <w:rsid w:val="004E57F7"/>
    <w:rsid w:val="004E5D9C"/>
    <w:rsid w:val="004E6434"/>
    <w:rsid w:val="004E6B8E"/>
    <w:rsid w:val="004F0543"/>
    <w:rsid w:val="004F298B"/>
    <w:rsid w:val="004F4ECA"/>
    <w:rsid w:val="00500389"/>
    <w:rsid w:val="00500F7A"/>
    <w:rsid w:val="005012AD"/>
    <w:rsid w:val="005017C1"/>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3C15"/>
    <w:rsid w:val="00535324"/>
    <w:rsid w:val="00536587"/>
    <w:rsid w:val="00536816"/>
    <w:rsid w:val="00540DDD"/>
    <w:rsid w:val="00541484"/>
    <w:rsid w:val="00541505"/>
    <w:rsid w:val="0054163E"/>
    <w:rsid w:val="0054216F"/>
    <w:rsid w:val="0054217F"/>
    <w:rsid w:val="00542F18"/>
    <w:rsid w:val="00544059"/>
    <w:rsid w:val="0054441F"/>
    <w:rsid w:val="00544853"/>
    <w:rsid w:val="005450E2"/>
    <w:rsid w:val="0054512B"/>
    <w:rsid w:val="00546741"/>
    <w:rsid w:val="00546BC1"/>
    <w:rsid w:val="00547F86"/>
    <w:rsid w:val="00550457"/>
    <w:rsid w:val="0055232C"/>
    <w:rsid w:val="00553ED2"/>
    <w:rsid w:val="00556A44"/>
    <w:rsid w:val="00556A77"/>
    <w:rsid w:val="00556FA6"/>
    <w:rsid w:val="0055764E"/>
    <w:rsid w:val="00560528"/>
    <w:rsid w:val="005608A8"/>
    <w:rsid w:val="00561774"/>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87AF0"/>
    <w:rsid w:val="005903E4"/>
    <w:rsid w:val="0059059E"/>
    <w:rsid w:val="005909BC"/>
    <w:rsid w:val="00590C1C"/>
    <w:rsid w:val="005926BC"/>
    <w:rsid w:val="005950D6"/>
    <w:rsid w:val="00595F05"/>
    <w:rsid w:val="0059751C"/>
    <w:rsid w:val="00597919"/>
    <w:rsid w:val="005A0B9F"/>
    <w:rsid w:val="005A1F4D"/>
    <w:rsid w:val="005A2A90"/>
    <w:rsid w:val="005A2C02"/>
    <w:rsid w:val="005A3508"/>
    <w:rsid w:val="005A5B60"/>
    <w:rsid w:val="005A63D8"/>
    <w:rsid w:val="005A7DBE"/>
    <w:rsid w:val="005A7E8A"/>
    <w:rsid w:val="005B1F19"/>
    <w:rsid w:val="005B213F"/>
    <w:rsid w:val="005B3606"/>
    <w:rsid w:val="005B49B6"/>
    <w:rsid w:val="005B4A04"/>
    <w:rsid w:val="005B666B"/>
    <w:rsid w:val="005B6C14"/>
    <w:rsid w:val="005B7733"/>
    <w:rsid w:val="005B7A22"/>
    <w:rsid w:val="005C0602"/>
    <w:rsid w:val="005C1BC0"/>
    <w:rsid w:val="005C40C7"/>
    <w:rsid w:val="005C5285"/>
    <w:rsid w:val="005C58B5"/>
    <w:rsid w:val="005C643E"/>
    <w:rsid w:val="005D4CF7"/>
    <w:rsid w:val="005D5347"/>
    <w:rsid w:val="005D53C8"/>
    <w:rsid w:val="005D5CC5"/>
    <w:rsid w:val="005D61EA"/>
    <w:rsid w:val="005D787B"/>
    <w:rsid w:val="005D7B2B"/>
    <w:rsid w:val="005E04B5"/>
    <w:rsid w:val="005E12BE"/>
    <w:rsid w:val="005E3FDD"/>
    <w:rsid w:val="005E6E2A"/>
    <w:rsid w:val="005E7ECB"/>
    <w:rsid w:val="005F2EA8"/>
    <w:rsid w:val="005F64C6"/>
    <w:rsid w:val="005F784E"/>
    <w:rsid w:val="006008F1"/>
    <w:rsid w:val="00600AA1"/>
    <w:rsid w:val="00601735"/>
    <w:rsid w:val="00602761"/>
    <w:rsid w:val="00602BD2"/>
    <w:rsid w:val="00604A05"/>
    <w:rsid w:val="00605C53"/>
    <w:rsid w:val="006101EC"/>
    <w:rsid w:val="006105FE"/>
    <w:rsid w:val="0061060A"/>
    <w:rsid w:val="0061104C"/>
    <w:rsid w:val="00613C47"/>
    <w:rsid w:val="00615021"/>
    <w:rsid w:val="0061518E"/>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434"/>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46D83"/>
    <w:rsid w:val="00650271"/>
    <w:rsid w:val="006508BE"/>
    <w:rsid w:val="0065106B"/>
    <w:rsid w:val="00651ADF"/>
    <w:rsid w:val="00652064"/>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4A68"/>
    <w:rsid w:val="00676572"/>
    <w:rsid w:val="00680936"/>
    <w:rsid w:val="00680D8C"/>
    <w:rsid w:val="00680F89"/>
    <w:rsid w:val="006818BA"/>
    <w:rsid w:val="00681B9E"/>
    <w:rsid w:val="00682292"/>
    <w:rsid w:val="00682725"/>
    <w:rsid w:val="006827B8"/>
    <w:rsid w:val="00682ED3"/>
    <w:rsid w:val="00685494"/>
    <w:rsid w:val="00686AD3"/>
    <w:rsid w:val="006879BA"/>
    <w:rsid w:val="006901EE"/>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2E29"/>
    <w:rsid w:val="006B6F32"/>
    <w:rsid w:val="006B7130"/>
    <w:rsid w:val="006B74B5"/>
    <w:rsid w:val="006C1004"/>
    <w:rsid w:val="006C16B0"/>
    <w:rsid w:val="006C1941"/>
    <w:rsid w:val="006C1A41"/>
    <w:rsid w:val="006C4150"/>
    <w:rsid w:val="006C5683"/>
    <w:rsid w:val="006C56C2"/>
    <w:rsid w:val="006C5E33"/>
    <w:rsid w:val="006C5E48"/>
    <w:rsid w:val="006C6434"/>
    <w:rsid w:val="006C6639"/>
    <w:rsid w:val="006C6CD8"/>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F19B0"/>
    <w:rsid w:val="006F2627"/>
    <w:rsid w:val="006F3F77"/>
    <w:rsid w:val="006F4D10"/>
    <w:rsid w:val="006F5031"/>
    <w:rsid w:val="006F6D4C"/>
    <w:rsid w:val="006F6E67"/>
    <w:rsid w:val="006F7157"/>
    <w:rsid w:val="006F78E0"/>
    <w:rsid w:val="006F7E41"/>
    <w:rsid w:val="00701604"/>
    <w:rsid w:val="00702B1B"/>
    <w:rsid w:val="00703865"/>
    <w:rsid w:val="00704164"/>
    <w:rsid w:val="0070619F"/>
    <w:rsid w:val="00706282"/>
    <w:rsid w:val="00706A58"/>
    <w:rsid w:val="007110E1"/>
    <w:rsid w:val="00714394"/>
    <w:rsid w:val="00716162"/>
    <w:rsid w:val="00716BDE"/>
    <w:rsid w:val="00721C26"/>
    <w:rsid w:val="00721F7E"/>
    <w:rsid w:val="007221FA"/>
    <w:rsid w:val="0072242F"/>
    <w:rsid w:val="00722E29"/>
    <w:rsid w:val="007238B5"/>
    <w:rsid w:val="00724606"/>
    <w:rsid w:val="00724E85"/>
    <w:rsid w:val="00725595"/>
    <w:rsid w:val="007258E3"/>
    <w:rsid w:val="00731391"/>
    <w:rsid w:val="007322CD"/>
    <w:rsid w:val="0073313B"/>
    <w:rsid w:val="00734887"/>
    <w:rsid w:val="0073559C"/>
    <w:rsid w:val="007365B6"/>
    <w:rsid w:val="007401E2"/>
    <w:rsid w:val="00740C05"/>
    <w:rsid w:val="007411E5"/>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1434"/>
    <w:rsid w:val="00761FD5"/>
    <w:rsid w:val="00764B86"/>
    <w:rsid w:val="00765DD8"/>
    <w:rsid w:val="007662F4"/>
    <w:rsid w:val="007664FE"/>
    <w:rsid w:val="00766D36"/>
    <w:rsid w:val="00766E5A"/>
    <w:rsid w:val="00767607"/>
    <w:rsid w:val="00770CB5"/>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374D"/>
    <w:rsid w:val="007A4A53"/>
    <w:rsid w:val="007A4E17"/>
    <w:rsid w:val="007A65C1"/>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BD7"/>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8A4"/>
    <w:rsid w:val="00803B66"/>
    <w:rsid w:val="00803F32"/>
    <w:rsid w:val="00804653"/>
    <w:rsid w:val="00804BF6"/>
    <w:rsid w:val="00804C13"/>
    <w:rsid w:val="00806041"/>
    <w:rsid w:val="00806A84"/>
    <w:rsid w:val="00807C6C"/>
    <w:rsid w:val="00807C84"/>
    <w:rsid w:val="00807EAC"/>
    <w:rsid w:val="00810B5A"/>
    <w:rsid w:val="0081340B"/>
    <w:rsid w:val="00813FF6"/>
    <w:rsid w:val="00817BB4"/>
    <w:rsid w:val="00817C18"/>
    <w:rsid w:val="00820503"/>
    <w:rsid w:val="00821021"/>
    <w:rsid w:val="0082103F"/>
    <w:rsid w:val="008214BB"/>
    <w:rsid w:val="00821B48"/>
    <w:rsid w:val="00821B58"/>
    <w:rsid w:val="00822D4E"/>
    <w:rsid w:val="00823222"/>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620E"/>
    <w:rsid w:val="00857D29"/>
    <w:rsid w:val="00860060"/>
    <w:rsid w:val="00860D06"/>
    <w:rsid w:val="008623BC"/>
    <w:rsid w:val="008629A8"/>
    <w:rsid w:val="00862FEB"/>
    <w:rsid w:val="00863DEF"/>
    <w:rsid w:val="008660F7"/>
    <w:rsid w:val="0086646A"/>
    <w:rsid w:val="00870CB6"/>
    <w:rsid w:val="008710E8"/>
    <w:rsid w:val="00871311"/>
    <w:rsid w:val="00873514"/>
    <w:rsid w:val="00873730"/>
    <w:rsid w:val="008738A4"/>
    <w:rsid w:val="00873FEA"/>
    <w:rsid w:val="0087419B"/>
    <w:rsid w:val="00874592"/>
    <w:rsid w:val="008776D4"/>
    <w:rsid w:val="00877936"/>
    <w:rsid w:val="008818F6"/>
    <w:rsid w:val="008833C3"/>
    <w:rsid w:val="0088398E"/>
    <w:rsid w:val="008839A9"/>
    <w:rsid w:val="00885182"/>
    <w:rsid w:val="008858E3"/>
    <w:rsid w:val="00886776"/>
    <w:rsid w:val="0088798E"/>
    <w:rsid w:val="00887E02"/>
    <w:rsid w:val="00891106"/>
    <w:rsid w:val="00891AB0"/>
    <w:rsid w:val="00893479"/>
    <w:rsid w:val="00896884"/>
    <w:rsid w:val="00897A5D"/>
    <w:rsid w:val="008A0D86"/>
    <w:rsid w:val="008A0F85"/>
    <w:rsid w:val="008A1957"/>
    <w:rsid w:val="008A1C47"/>
    <w:rsid w:val="008A37A4"/>
    <w:rsid w:val="008A5290"/>
    <w:rsid w:val="008A52EC"/>
    <w:rsid w:val="008A593A"/>
    <w:rsid w:val="008A6C5A"/>
    <w:rsid w:val="008B2032"/>
    <w:rsid w:val="008B28C8"/>
    <w:rsid w:val="008B29D0"/>
    <w:rsid w:val="008B2DF3"/>
    <w:rsid w:val="008B376A"/>
    <w:rsid w:val="008B7220"/>
    <w:rsid w:val="008B72EB"/>
    <w:rsid w:val="008C08A5"/>
    <w:rsid w:val="008C1DD7"/>
    <w:rsid w:val="008C2582"/>
    <w:rsid w:val="008C5770"/>
    <w:rsid w:val="008C64E3"/>
    <w:rsid w:val="008C6978"/>
    <w:rsid w:val="008C7C0B"/>
    <w:rsid w:val="008D0CB3"/>
    <w:rsid w:val="008D0D1E"/>
    <w:rsid w:val="008D0FD7"/>
    <w:rsid w:val="008D10BC"/>
    <w:rsid w:val="008D6DF0"/>
    <w:rsid w:val="008E14EA"/>
    <w:rsid w:val="008E1E54"/>
    <w:rsid w:val="008E221C"/>
    <w:rsid w:val="008E3C88"/>
    <w:rsid w:val="008E3F00"/>
    <w:rsid w:val="008E406F"/>
    <w:rsid w:val="008E4F22"/>
    <w:rsid w:val="008E6FCB"/>
    <w:rsid w:val="008E78F2"/>
    <w:rsid w:val="008F022C"/>
    <w:rsid w:val="008F0D6A"/>
    <w:rsid w:val="008F1645"/>
    <w:rsid w:val="008F1BB9"/>
    <w:rsid w:val="008F3B22"/>
    <w:rsid w:val="008F5181"/>
    <w:rsid w:val="008F6622"/>
    <w:rsid w:val="009001CB"/>
    <w:rsid w:val="009012A3"/>
    <w:rsid w:val="00901DE1"/>
    <w:rsid w:val="00903BC3"/>
    <w:rsid w:val="00903F34"/>
    <w:rsid w:val="009041E5"/>
    <w:rsid w:val="009054E0"/>
    <w:rsid w:val="009076CC"/>
    <w:rsid w:val="009112BB"/>
    <w:rsid w:val="00911E3E"/>
    <w:rsid w:val="00912115"/>
    <w:rsid w:val="00912859"/>
    <w:rsid w:val="00914C1B"/>
    <w:rsid w:val="00916225"/>
    <w:rsid w:val="0091746C"/>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C"/>
    <w:rsid w:val="0093740F"/>
    <w:rsid w:val="00937B4A"/>
    <w:rsid w:val="00937C1D"/>
    <w:rsid w:val="00940FC3"/>
    <w:rsid w:val="0094131D"/>
    <w:rsid w:val="00941FAA"/>
    <w:rsid w:val="00942120"/>
    <w:rsid w:val="009425F7"/>
    <w:rsid w:val="00942DEC"/>
    <w:rsid w:val="00944BF0"/>
    <w:rsid w:val="00944C25"/>
    <w:rsid w:val="009453CC"/>
    <w:rsid w:val="00945A91"/>
    <w:rsid w:val="00946136"/>
    <w:rsid w:val="00947046"/>
    <w:rsid w:val="00947EFF"/>
    <w:rsid w:val="00947F64"/>
    <w:rsid w:val="0095031F"/>
    <w:rsid w:val="00952842"/>
    <w:rsid w:val="00952AE2"/>
    <w:rsid w:val="00954282"/>
    <w:rsid w:val="00954427"/>
    <w:rsid w:val="00956683"/>
    <w:rsid w:val="00956DC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21CF"/>
    <w:rsid w:val="009926AB"/>
    <w:rsid w:val="00993A2E"/>
    <w:rsid w:val="0099502D"/>
    <w:rsid w:val="00995768"/>
    <w:rsid w:val="00996326"/>
    <w:rsid w:val="009967C7"/>
    <w:rsid w:val="00996D0D"/>
    <w:rsid w:val="00997D43"/>
    <w:rsid w:val="009A07D5"/>
    <w:rsid w:val="009A3970"/>
    <w:rsid w:val="009A44E8"/>
    <w:rsid w:val="009A7CE0"/>
    <w:rsid w:val="009B1DA5"/>
    <w:rsid w:val="009B1F5C"/>
    <w:rsid w:val="009B28FD"/>
    <w:rsid w:val="009B2AD6"/>
    <w:rsid w:val="009B4C84"/>
    <w:rsid w:val="009B5594"/>
    <w:rsid w:val="009B6AF2"/>
    <w:rsid w:val="009B729E"/>
    <w:rsid w:val="009B7498"/>
    <w:rsid w:val="009C14AD"/>
    <w:rsid w:val="009C1E35"/>
    <w:rsid w:val="009C2E70"/>
    <w:rsid w:val="009C3D84"/>
    <w:rsid w:val="009C5B08"/>
    <w:rsid w:val="009C5FDE"/>
    <w:rsid w:val="009C6099"/>
    <w:rsid w:val="009C6872"/>
    <w:rsid w:val="009C7B1D"/>
    <w:rsid w:val="009D03F1"/>
    <w:rsid w:val="009D090D"/>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E7CF9"/>
    <w:rsid w:val="009F0BD9"/>
    <w:rsid w:val="009F10ED"/>
    <w:rsid w:val="009F16C7"/>
    <w:rsid w:val="009F2035"/>
    <w:rsid w:val="009F33FA"/>
    <w:rsid w:val="009F4C9B"/>
    <w:rsid w:val="009F5324"/>
    <w:rsid w:val="00A00EB4"/>
    <w:rsid w:val="00A01C1F"/>
    <w:rsid w:val="00A01C98"/>
    <w:rsid w:val="00A06A54"/>
    <w:rsid w:val="00A07077"/>
    <w:rsid w:val="00A078FA"/>
    <w:rsid w:val="00A10423"/>
    <w:rsid w:val="00A13C2D"/>
    <w:rsid w:val="00A14073"/>
    <w:rsid w:val="00A15A52"/>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4343"/>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67E6C"/>
    <w:rsid w:val="00A70320"/>
    <w:rsid w:val="00A7331D"/>
    <w:rsid w:val="00A750C1"/>
    <w:rsid w:val="00A76063"/>
    <w:rsid w:val="00A76BCE"/>
    <w:rsid w:val="00A77139"/>
    <w:rsid w:val="00A771BF"/>
    <w:rsid w:val="00A77AEC"/>
    <w:rsid w:val="00A8052C"/>
    <w:rsid w:val="00A80C37"/>
    <w:rsid w:val="00A81953"/>
    <w:rsid w:val="00A82B34"/>
    <w:rsid w:val="00A83DEB"/>
    <w:rsid w:val="00A85BD2"/>
    <w:rsid w:val="00A85CF2"/>
    <w:rsid w:val="00A861F3"/>
    <w:rsid w:val="00A87FB1"/>
    <w:rsid w:val="00A90789"/>
    <w:rsid w:val="00A90DB1"/>
    <w:rsid w:val="00A9147B"/>
    <w:rsid w:val="00A91974"/>
    <w:rsid w:val="00A91BA8"/>
    <w:rsid w:val="00A91EDB"/>
    <w:rsid w:val="00A91EF1"/>
    <w:rsid w:val="00A91EF2"/>
    <w:rsid w:val="00A9325C"/>
    <w:rsid w:val="00A9509A"/>
    <w:rsid w:val="00A96FC6"/>
    <w:rsid w:val="00A97B61"/>
    <w:rsid w:val="00A97F51"/>
    <w:rsid w:val="00AA01DA"/>
    <w:rsid w:val="00AA0AE8"/>
    <w:rsid w:val="00AA3077"/>
    <w:rsid w:val="00AA31CC"/>
    <w:rsid w:val="00AA38AF"/>
    <w:rsid w:val="00AA450C"/>
    <w:rsid w:val="00AA60C6"/>
    <w:rsid w:val="00AA6D7D"/>
    <w:rsid w:val="00AA7F68"/>
    <w:rsid w:val="00AB1287"/>
    <w:rsid w:val="00AB1CE8"/>
    <w:rsid w:val="00AB6DFC"/>
    <w:rsid w:val="00AB7AC0"/>
    <w:rsid w:val="00AC3DB7"/>
    <w:rsid w:val="00AC41EB"/>
    <w:rsid w:val="00AC4D32"/>
    <w:rsid w:val="00AC7260"/>
    <w:rsid w:val="00AC7899"/>
    <w:rsid w:val="00AD2035"/>
    <w:rsid w:val="00AD20F8"/>
    <w:rsid w:val="00AD2CDD"/>
    <w:rsid w:val="00AD54F4"/>
    <w:rsid w:val="00AD6627"/>
    <w:rsid w:val="00AD752F"/>
    <w:rsid w:val="00AD7ECC"/>
    <w:rsid w:val="00AD7EE5"/>
    <w:rsid w:val="00AE41F2"/>
    <w:rsid w:val="00AE55BC"/>
    <w:rsid w:val="00AE62CB"/>
    <w:rsid w:val="00AE686D"/>
    <w:rsid w:val="00AE6B27"/>
    <w:rsid w:val="00AE6F87"/>
    <w:rsid w:val="00AF013A"/>
    <w:rsid w:val="00AF0F96"/>
    <w:rsid w:val="00AF1D3F"/>
    <w:rsid w:val="00AF21D7"/>
    <w:rsid w:val="00AF28EB"/>
    <w:rsid w:val="00AF36B6"/>
    <w:rsid w:val="00AF4715"/>
    <w:rsid w:val="00AF4803"/>
    <w:rsid w:val="00AF62ED"/>
    <w:rsid w:val="00AF6A12"/>
    <w:rsid w:val="00B0091F"/>
    <w:rsid w:val="00B00ED5"/>
    <w:rsid w:val="00B01A1E"/>
    <w:rsid w:val="00B01ED2"/>
    <w:rsid w:val="00B02804"/>
    <w:rsid w:val="00B02BF0"/>
    <w:rsid w:val="00B03AB4"/>
    <w:rsid w:val="00B05B91"/>
    <w:rsid w:val="00B069CE"/>
    <w:rsid w:val="00B077CC"/>
    <w:rsid w:val="00B07DCF"/>
    <w:rsid w:val="00B10F25"/>
    <w:rsid w:val="00B130EB"/>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577DA"/>
    <w:rsid w:val="00B608F1"/>
    <w:rsid w:val="00B60F79"/>
    <w:rsid w:val="00B6150A"/>
    <w:rsid w:val="00B62A80"/>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B55"/>
    <w:rsid w:val="00B9065F"/>
    <w:rsid w:val="00B9082C"/>
    <w:rsid w:val="00B9116C"/>
    <w:rsid w:val="00B91818"/>
    <w:rsid w:val="00B93EBF"/>
    <w:rsid w:val="00B94045"/>
    <w:rsid w:val="00B9480C"/>
    <w:rsid w:val="00B94AE5"/>
    <w:rsid w:val="00B94BE5"/>
    <w:rsid w:val="00B95AB4"/>
    <w:rsid w:val="00B97E47"/>
    <w:rsid w:val="00BA0A76"/>
    <w:rsid w:val="00BA1197"/>
    <w:rsid w:val="00BA20C2"/>
    <w:rsid w:val="00BA280D"/>
    <w:rsid w:val="00BA30FE"/>
    <w:rsid w:val="00BA42EA"/>
    <w:rsid w:val="00BA7890"/>
    <w:rsid w:val="00BB0423"/>
    <w:rsid w:val="00BB4484"/>
    <w:rsid w:val="00BB6ECF"/>
    <w:rsid w:val="00BB725F"/>
    <w:rsid w:val="00BB74B3"/>
    <w:rsid w:val="00BB7671"/>
    <w:rsid w:val="00BB777A"/>
    <w:rsid w:val="00BC1765"/>
    <w:rsid w:val="00BC178F"/>
    <w:rsid w:val="00BC263E"/>
    <w:rsid w:val="00BC4B00"/>
    <w:rsid w:val="00BC50C9"/>
    <w:rsid w:val="00BC5454"/>
    <w:rsid w:val="00BC56EB"/>
    <w:rsid w:val="00BD0B34"/>
    <w:rsid w:val="00BD219A"/>
    <w:rsid w:val="00BD2C42"/>
    <w:rsid w:val="00BD4BA7"/>
    <w:rsid w:val="00BD68E3"/>
    <w:rsid w:val="00BD6EF9"/>
    <w:rsid w:val="00BD754C"/>
    <w:rsid w:val="00BD7B4F"/>
    <w:rsid w:val="00BE20F5"/>
    <w:rsid w:val="00BE2683"/>
    <w:rsid w:val="00BE40DE"/>
    <w:rsid w:val="00BE60B2"/>
    <w:rsid w:val="00BE682A"/>
    <w:rsid w:val="00BE6EA3"/>
    <w:rsid w:val="00BE72FD"/>
    <w:rsid w:val="00BF1952"/>
    <w:rsid w:val="00BF1EF8"/>
    <w:rsid w:val="00BF2DE5"/>
    <w:rsid w:val="00BF2E83"/>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1275"/>
    <w:rsid w:val="00C21498"/>
    <w:rsid w:val="00C22B54"/>
    <w:rsid w:val="00C23520"/>
    <w:rsid w:val="00C238CA"/>
    <w:rsid w:val="00C24E0D"/>
    <w:rsid w:val="00C25082"/>
    <w:rsid w:val="00C265D4"/>
    <w:rsid w:val="00C265E1"/>
    <w:rsid w:val="00C275FC"/>
    <w:rsid w:val="00C30145"/>
    <w:rsid w:val="00C30D84"/>
    <w:rsid w:val="00C311E7"/>
    <w:rsid w:val="00C317A7"/>
    <w:rsid w:val="00C32E69"/>
    <w:rsid w:val="00C33AEC"/>
    <w:rsid w:val="00C3648D"/>
    <w:rsid w:val="00C3742C"/>
    <w:rsid w:val="00C377FC"/>
    <w:rsid w:val="00C40CA9"/>
    <w:rsid w:val="00C410D2"/>
    <w:rsid w:val="00C42A78"/>
    <w:rsid w:val="00C437D6"/>
    <w:rsid w:val="00C4601D"/>
    <w:rsid w:val="00C51927"/>
    <w:rsid w:val="00C51CCA"/>
    <w:rsid w:val="00C524F4"/>
    <w:rsid w:val="00C533F6"/>
    <w:rsid w:val="00C54473"/>
    <w:rsid w:val="00C55D94"/>
    <w:rsid w:val="00C56D5B"/>
    <w:rsid w:val="00C57582"/>
    <w:rsid w:val="00C57C81"/>
    <w:rsid w:val="00C608EF"/>
    <w:rsid w:val="00C612BB"/>
    <w:rsid w:val="00C612BF"/>
    <w:rsid w:val="00C61302"/>
    <w:rsid w:val="00C6207E"/>
    <w:rsid w:val="00C62BF2"/>
    <w:rsid w:val="00C637EF"/>
    <w:rsid w:val="00C64FAE"/>
    <w:rsid w:val="00C66344"/>
    <w:rsid w:val="00C674F7"/>
    <w:rsid w:val="00C67B2F"/>
    <w:rsid w:val="00C706C4"/>
    <w:rsid w:val="00C731E1"/>
    <w:rsid w:val="00C73686"/>
    <w:rsid w:val="00C745D7"/>
    <w:rsid w:val="00C75001"/>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979C3"/>
    <w:rsid w:val="00CA0EE8"/>
    <w:rsid w:val="00CA1FB0"/>
    <w:rsid w:val="00CA24D1"/>
    <w:rsid w:val="00CA39CC"/>
    <w:rsid w:val="00CA4631"/>
    <w:rsid w:val="00CA4743"/>
    <w:rsid w:val="00CA5A97"/>
    <w:rsid w:val="00CA67D8"/>
    <w:rsid w:val="00CA6AE5"/>
    <w:rsid w:val="00CA6E58"/>
    <w:rsid w:val="00CA729B"/>
    <w:rsid w:val="00CA735E"/>
    <w:rsid w:val="00CB138F"/>
    <w:rsid w:val="00CB13E0"/>
    <w:rsid w:val="00CB154C"/>
    <w:rsid w:val="00CB1740"/>
    <w:rsid w:val="00CB1B5F"/>
    <w:rsid w:val="00CB2161"/>
    <w:rsid w:val="00CB3914"/>
    <w:rsid w:val="00CB479F"/>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D0F20"/>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AA6"/>
    <w:rsid w:val="00CE6EAE"/>
    <w:rsid w:val="00CE71AE"/>
    <w:rsid w:val="00CE7EB9"/>
    <w:rsid w:val="00CF115C"/>
    <w:rsid w:val="00CF1B36"/>
    <w:rsid w:val="00CF35B2"/>
    <w:rsid w:val="00CF38D4"/>
    <w:rsid w:val="00CF6394"/>
    <w:rsid w:val="00CF6D1E"/>
    <w:rsid w:val="00CF75B8"/>
    <w:rsid w:val="00D00B66"/>
    <w:rsid w:val="00D00D3D"/>
    <w:rsid w:val="00D04970"/>
    <w:rsid w:val="00D05197"/>
    <w:rsid w:val="00D05B9B"/>
    <w:rsid w:val="00D11565"/>
    <w:rsid w:val="00D12840"/>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34F0"/>
    <w:rsid w:val="00D353D1"/>
    <w:rsid w:val="00D367FC"/>
    <w:rsid w:val="00D36DC8"/>
    <w:rsid w:val="00D375F4"/>
    <w:rsid w:val="00D404B1"/>
    <w:rsid w:val="00D41496"/>
    <w:rsid w:val="00D43014"/>
    <w:rsid w:val="00D43988"/>
    <w:rsid w:val="00D43B85"/>
    <w:rsid w:val="00D441A4"/>
    <w:rsid w:val="00D45AB4"/>
    <w:rsid w:val="00D46231"/>
    <w:rsid w:val="00D4707E"/>
    <w:rsid w:val="00D477CF"/>
    <w:rsid w:val="00D47867"/>
    <w:rsid w:val="00D47EAF"/>
    <w:rsid w:val="00D5013C"/>
    <w:rsid w:val="00D52D7F"/>
    <w:rsid w:val="00D53034"/>
    <w:rsid w:val="00D541A8"/>
    <w:rsid w:val="00D54300"/>
    <w:rsid w:val="00D55475"/>
    <w:rsid w:val="00D55A05"/>
    <w:rsid w:val="00D562A8"/>
    <w:rsid w:val="00D579DD"/>
    <w:rsid w:val="00D60F56"/>
    <w:rsid w:val="00D6143E"/>
    <w:rsid w:val="00D61A9F"/>
    <w:rsid w:val="00D61EDD"/>
    <w:rsid w:val="00D628AF"/>
    <w:rsid w:val="00D6294B"/>
    <w:rsid w:val="00D637BF"/>
    <w:rsid w:val="00D63952"/>
    <w:rsid w:val="00D65B72"/>
    <w:rsid w:val="00D66697"/>
    <w:rsid w:val="00D67ACA"/>
    <w:rsid w:val="00D67F69"/>
    <w:rsid w:val="00D67FC4"/>
    <w:rsid w:val="00D700E6"/>
    <w:rsid w:val="00D70E04"/>
    <w:rsid w:val="00D71103"/>
    <w:rsid w:val="00D72211"/>
    <w:rsid w:val="00D72FAD"/>
    <w:rsid w:val="00D73AF1"/>
    <w:rsid w:val="00D74504"/>
    <w:rsid w:val="00D74639"/>
    <w:rsid w:val="00D76842"/>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2C1"/>
    <w:rsid w:val="00D9740F"/>
    <w:rsid w:val="00D97B37"/>
    <w:rsid w:val="00D97BA1"/>
    <w:rsid w:val="00DA09FC"/>
    <w:rsid w:val="00DA1220"/>
    <w:rsid w:val="00DA3DE7"/>
    <w:rsid w:val="00DA4FCE"/>
    <w:rsid w:val="00DA50BA"/>
    <w:rsid w:val="00DA50F2"/>
    <w:rsid w:val="00DA59D2"/>
    <w:rsid w:val="00DA61D7"/>
    <w:rsid w:val="00DB24BE"/>
    <w:rsid w:val="00DB2B7E"/>
    <w:rsid w:val="00DB5719"/>
    <w:rsid w:val="00DB624E"/>
    <w:rsid w:val="00DC02EA"/>
    <w:rsid w:val="00DC1CA6"/>
    <w:rsid w:val="00DC20CF"/>
    <w:rsid w:val="00DC22DF"/>
    <w:rsid w:val="00DC2C3E"/>
    <w:rsid w:val="00DC7E69"/>
    <w:rsid w:val="00DD2033"/>
    <w:rsid w:val="00DD25EC"/>
    <w:rsid w:val="00DD2AD7"/>
    <w:rsid w:val="00DD3316"/>
    <w:rsid w:val="00DD4050"/>
    <w:rsid w:val="00DD5E57"/>
    <w:rsid w:val="00DE1D3B"/>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2353"/>
    <w:rsid w:val="00DF2654"/>
    <w:rsid w:val="00DF3AB2"/>
    <w:rsid w:val="00DF46C0"/>
    <w:rsid w:val="00DF6BF0"/>
    <w:rsid w:val="00E00898"/>
    <w:rsid w:val="00E014C7"/>
    <w:rsid w:val="00E0628E"/>
    <w:rsid w:val="00E06460"/>
    <w:rsid w:val="00E0650E"/>
    <w:rsid w:val="00E069AE"/>
    <w:rsid w:val="00E073CF"/>
    <w:rsid w:val="00E12E45"/>
    <w:rsid w:val="00E12E46"/>
    <w:rsid w:val="00E12F63"/>
    <w:rsid w:val="00E14205"/>
    <w:rsid w:val="00E16337"/>
    <w:rsid w:val="00E176A4"/>
    <w:rsid w:val="00E17F53"/>
    <w:rsid w:val="00E21058"/>
    <w:rsid w:val="00E228D0"/>
    <w:rsid w:val="00E23B6B"/>
    <w:rsid w:val="00E2474B"/>
    <w:rsid w:val="00E24B07"/>
    <w:rsid w:val="00E25124"/>
    <w:rsid w:val="00E25405"/>
    <w:rsid w:val="00E2559F"/>
    <w:rsid w:val="00E261F8"/>
    <w:rsid w:val="00E26E25"/>
    <w:rsid w:val="00E30772"/>
    <w:rsid w:val="00E324AD"/>
    <w:rsid w:val="00E3342D"/>
    <w:rsid w:val="00E33683"/>
    <w:rsid w:val="00E33734"/>
    <w:rsid w:val="00E3525A"/>
    <w:rsid w:val="00E363CC"/>
    <w:rsid w:val="00E370C4"/>
    <w:rsid w:val="00E41580"/>
    <w:rsid w:val="00E41D04"/>
    <w:rsid w:val="00E44175"/>
    <w:rsid w:val="00E44CD4"/>
    <w:rsid w:val="00E45AD1"/>
    <w:rsid w:val="00E45B91"/>
    <w:rsid w:val="00E46C57"/>
    <w:rsid w:val="00E46DDB"/>
    <w:rsid w:val="00E470D7"/>
    <w:rsid w:val="00E5176B"/>
    <w:rsid w:val="00E528BA"/>
    <w:rsid w:val="00E529E7"/>
    <w:rsid w:val="00E534DF"/>
    <w:rsid w:val="00E565C2"/>
    <w:rsid w:val="00E60269"/>
    <w:rsid w:val="00E60C32"/>
    <w:rsid w:val="00E6171A"/>
    <w:rsid w:val="00E627F6"/>
    <w:rsid w:val="00E63F1D"/>
    <w:rsid w:val="00E64364"/>
    <w:rsid w:val="00E646D5"/>
    <w:rsid w:val="00E71A5A"/>
    <w:rsid w:val="00E734C7"/>
    <w:rsid w:val="00E741E3"/>
    <w:rsid w:val="00E75A9D"/>
    <w:rsid w:val="00E767FC"/>
    <w:rsid w:val="00E77512"/>
    <w:rsid w:val="00E808D8"/>
    <w:rsid w:val="00E81B8E"/>
    <w:rsid w:val="00E81ED7"/>
    <w:rsid w:val="00E83005"/>
    <w:rsid w:val="00E8377F"/>
    <w:rsid w:val="00E84FB0"/>
    <w:rsid w:val="00E86533"/>
    <w:rsid w:val="00E86C69"/>
    <w:rsid w:val="00E86F2A"/>
    <w:rsid w:val="00E878E8"/>
    <w:rsid w:val="00E87A04"/>
    <w:rsid w:val="00E9222C"/>
    <w:rsid w:val="00E92D33"/>
    <w:rsid w:val="00E9558B"/>
    <w:rsid w:val="00E95A9E"/>
    <w:rsid w:val="00E95D1B"/>
    <w:rsid w:val="00E966CE"/>
    <w:rsid w:val="00EA0F22"/>
    <w:rsid w:val="00EA15A4"/>
    <w:rsid w:val="00EA1DCA"/>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FD7"/>
    <w:rsid w:val="00EB66A4"/>
    <w:rsid w:val="00EB7844"/>
    <w:rsid w:val="00EC1406"/>
    <w:rsid w:val="00EC2677"/>
    <w:rsid w:val="00EC28E4"/>
    <w:rsid w:val="00EC2A60"/>
    <w:rsid w:val="00EC362F"/>
    <w:rsid w:val="00EC36F2"/>
    <w:rsid w:val="00EC4F33"/>
    <w:rsid w:val="00EC75FE"/>
    <w:rsid w:val="00ED3980"/>
    <w:rsid w:val="00ED43A6"/>
    <w:rsid w:val="00ED61FE"/>
    <w:rsid w:val="00ED701D"/>
    <w:rsid w:val="00ED7371"/>
    <w:rsid w:val="00ED7619"/>
    <w:rsid w:val="00EE246F"/>
    <w:rsid w:val="00EE2862"/>
    <w:rsid w:val="00EE2F9A"/>
    <w:rsid w:val="00EE4C7E"/>
    <w:rsid w:val="00EE542E"/>
    <w:rsid w:val="00EE556D"/>
    <w:rsid w:val="00EE6184"/>
    <w:rsid w:val="00EE6574"/>
    <w:rsid w:val="00EE7A2C"/>
    <w:rsid w:val="00EF05D1"/>
    <w:rsid w:val="00EF2240"/>
    <w:rsid w:val="00EF2426"/>
    <w:rsid w:val="00EF6556"/>
    <w:rsid w:val="00EF7E1A"/>
    <w:rsid w:val="00F01961"/>
    <w:rsid w:val="00F0319D"/>
    <w:rsid w:val="00F03A40"/>
    <w:rsid w:val="00F06882"/>
    <w:rsid w:val="00F104B9"/>
    <w:rsid w:val="00F123BD"/>
    <w:rsid w:val="00F12D86"/>
    <w:rsid w:val="00F13B05"/>
    <w:rsid w:val="00F13E79"/>
    <w:rsid w:val="00F15AF2"/>
    <w:rsid w:val="00F16573"/>
    <w:rsid w:val="00F16F33"/>
    <w:rsid w:val="00F17135"/>
    <w:rsid w:val="00F21149"/>
    <w:rsid w:val="00F21290"/>
    <w:rsid w:val="00F258B9"/>
    <w:rsid w:val="00F307CC"/>
    <w:rsid w:val="00F30B34"/>
    <w:rsid w:val="00F30BBA"/>
    <w:rsid w:val="00F30CA4"/>
    <w:rsid w:val="00F31071"/>
    <w:rsid w:val="00F31630"/>
    <w:rsid w:val="00F342CC"/>
    <w:rsid w:val="00F34C99"/>
    <w:rsid w:val="00F34F7D"/>
    <w:rsid w:val="00F35FEF"/>
    <w:rsid w:val="00F405F3"/>
    <w:rsid w:val="00F43671"/>
    <w:rsid w:val="00F439BB"/>
    <w:rsid w:val="00F449D7"/>
    <w:rsid w:val="00F461AE"/>
    <w:rsid w:val="00F467F9"/>
    <w:rsid w:val="00F47ADF"/>
    <w:rsid w:val="00F515B6"/>
    <w:rsid w:val="00F51B88"/>
    <w:rsid w:val="00F534D3"/>
    <w:rsid w:val="00F53612"/>
    <w:rsid w:val="00F5421D"/>
    <w:rsid w:val="00F57CEB"/>
    <w:rsid w:val="00F60DF3"/>
    <w:rsid w:val="00F62057"/>
    <w:rsid w:val="00F67816"/>
    <w:rsid w:val="00F67C01"/>
    <w:rsid w:val="00F7114B"/>
    <w:rsid w:val="00F721EF"/>
    <w:rsid w:val="00F72AC2"/>
    <w:rsid w:val="00F737AE"/>
    <w:rsid w:val="00F74168"/>
    <w:rsid w:val="00F742F1"/>
    <w:rsid w:val="00F76037"/>
    <w:rsid w:val="00F77724"/>
    <w:rsid w:val="00F77839"/>
    <w:rsid w:val="00F81A86"/>
    <w:rsid w:val="00F81FD6"/>
    <w:rsid w:val="00F81FF8"/>
    <w:rsid w:val="00F82080"/>
    <w:rsid w:val="00F84FF3"/>
    <w:rsid w:val="00F85487"/>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5919"/>
    <w:rsid w:val="00FA69C3"/>
    <w:rsid w:val="00FA6AAC"/>
    <w:rsid w:val="00FA6CBC"/>
    <w:rsid w:val="00FA6D48"/>
    <w:rsid w:val="00FA6D89"/>
    <w:rsid w:val="00FA7EC0"/>
    <w:rsid w:val="00FB127D"/>
    <w:rsid w:val="00FB30A2"/>
    <w:rsid w:val="00FB59DF"/>
    <w:rsid w:val="00FB5DD1"/>
    <w:rsid w:val="00FB6084"/>
    <w:rsid w:val="00FB6684"/>
    <w:rsid w:val="00FB7C10"/>
    <w:rsid w:val="00FC072E"/>
    <w:rsid w:val="00FC095A"/>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3F8E"/>
    <w:rsid w:val="00FE47ED"/>
    <w:rsid w:val="00FE61DC"/>
    <w:rsid w:val="00FE6519"/>
    <w:rsid w:val="00FE67D0"/>
    <w:rsid w:val="00FE6F99"/>
    <w:rsid w:val="00FE753C"/>
    <w:rsid w:val="00FF081E"/>
    <w:rsid w:val="00FF145C"/>
    <w:rsid w:val="00FF20D7"/>
    <w:rsid w:val="00FF26EE"/>
    <w:rsid w:val="00FF44E2"/>
    <w:rsid w:val="00FF47A3"/>
    <w:rsid w:val="00FF59B4"/>
    <w:rsid w:val="043C0FF5"/>
    <w:rsid w:val="05AC1156"/>
    <w:rsid w:val="076562F5"/>
    <w:rsid w:val="09D94445"/>
    <w:rsid w:val="09DA61EF"/>
    <w:rsid w:val="0BFD2C58"/>
    <w:rsid w:val="0CB13260"/>
    <w:rsid w:val="0D745B4D"/>
    <w:rsid w:val="0E791E44"/>
    <w:rsid w:val="17D76DD9"/>
    <w:rsid w:val="183A183B"/>
    <w:rsid w:val="1A4111CC"/>
    <w:rsid w:val="1A9B3BCF"/>
    <w:rsid w:val="1C8833B4"/>
    <w:rsid w:val="237F2058"/>
    <w:rsid w:val="29625E62"/>
    <w:rsid w:val="327C1CBD"/>
    <w:rsid w:val="34222573"/>
    <w:rsid w:val="3E7D27CA"/>
    <w:rsid w:val="3F64373F"/>
    <w:rsid w:val="4166794E"/>
    <w:rsid w:val="44F2225A"/>
    <w:rsid w:val="457075BD"/>
    <w:rsid w:val="4962472C"/>
    <w:rsid w:val="4A0239FC"/>
    <w:rsid w:val="4C6A25EE"/>
    <w:rsid w:val="4D8970DC"/>
    <w:rsid w:val="55ED3F42"/>
    <w:rsid w:val="566213C7"/>
    <w:rsid w:val="57CC681D"/>
    <w:rsid w:val="5A64353F"/>
    <w:rsid w:val="5ADB4085"/>
    <w:rsid w:val="5CE14936"/>
    <w:rsid w:val="5ED52119"/>
    <w:rsid w:val="602B409C"/>
    <w:rsid w:val="65B92B18"/>
    <w:rsid w:val="69C1628F"/>
    <w:rsid w:val="6A2810D1"/>
    <w:rsid w:val="6AEE557D"/>
    <w:rsid w:val="6FE54DE5"/>
    <w:rsid w:val="71BF3FB6"/>
    <w:rsid w:val="748C5844"/>
    <w:rsid w:val="74922103"/>
    <w:rsid w:val="7716468C"/>
    <w:rsid w:val="78237375"/>
    <w:rsid w:val="7A3E2279"/>
    <w:rsid w:val="7D952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8"/>
    <w:qFormat/>
    <w:uiPriority w:val="0"/>
    <w:pPr>
      <w:spacing w:before="340" w:after="330" w:line="360" w:lineRule="auto"/>
      <w:jc w:val="center"/>
      <w:outlineLvl w:val="0"/>
    </w:pPr>
    <w:rPr>
      <w:rFonts w:eastAsia="黑体"/>
      <w:bCs/>
      <w:kern w:val="44"/>
      <w:sz w:val="44"/>
      <w:szCs w:val="44"/>
    </w:rPr>
  </w:style>
  <w:style w:type="paragraph" w:styleId="2">
    <w:name w:val="heading 2"/>
    <w:basedOn w:val="1"/>
    <w:next w:val="1"/>
    <w:link w:val="88"/>
    <w:qFormat/>
    <w:uiPriority w:val="0"/>
    <w:pPr>
      <w:adjustRightInd w:val="0"/>
      <w:jc w:val="center"/>
      <w:textAlignment w:val="baseline"/>
      <w:outlineLvl w:val="1"/>
    </w:pPr>
    <w:rPr>
      <w:bCs/>
      <w:kern w:val="0"/>
      <w:sz w:val="24"/>
      <w:szCs w:val="20"/>
    </w:rPr>
  </w:style>
  <w:style w:type="paragraph" w:styleId="4">
    <w:name w:val="heading 3"/>
    <w:basedOn w:val="5"/>
    <w:next w:val="1"/>
    <w:link w:val="67"/>
    <w:qFormat/>
    <w:uiPriority w:val="0"/>
    <w:pPr>
      <w:spacing w:before="260" w:after="260" w:line="240" w:lineRule="auto"/>
      <w:outlineLvl w:val="2"/>
    </w:pPr>
    <w:rPr>
      <w:rFonts w:ascii="宋体" w:hAnsi="宋体" w:eastAsia="宋体"/>
      <w:bCs w:val="0"/>
      <w:szCs w:val="32"/>
    </w:rPr>
  </w:style>
  <w:style w:type="paragraph" w:styleId="5">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177"/>
    <w:semiHidden/>
    <w:qFormat/>
    <w:uiPriority w:val="0"/>
    <w:pPr>
      <w:shd w:val="clear" w:color="auto" w:fill="000080"/>
    </w:pPr>
  </w:style>
  <w:style w:type="paragraph" w:styleId="18">
    <w:name w:val="annotation text"/>
    <w:basedOn w:val="1"/>
    <w:link w:val="166"/>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next w:val="23"/>
    <w:link w:val="104"/>
    <w:qFormat/>
    <w:uiPriority w:val="0"/>
    <w:pPr>
      <w:spacing w:line="360" w:lineRule="auto"/>
    </w:pPr>
    <w:rPr>
      <w:b/>
      <w:bCs/>
      <w:sz w:val="24"/>
    </w:rPr>
  </w:style>
  <w:style w:type="paragraph" w:styleId="23">
    <w:name w:val="Body Text First Indent"/>
    <w:basedOn w:val="22"/>
    <w:link w:val="105"/>
    <w:qFormat/>
    <w:uiPriority w:val="0"/>
    <w:pPr>
      <w:spacing w:after="120" w:line="240" w:lineRule="auto"/>
      <w:ind w:firstLine="420" w:firstLineChars="100"/>
    </w:pPr>
    <w:rPr>
      <w:b w:val="0"/>
      <w:bCs w:val="0"/>
      <w:sz w:val="21"/>
    </w:rPr>
  </w:style>
  <w:style w:type="paragraph" w:styleId="24">
    <w:name w:val="Body Text Indent"/>
    <w:basedOn w:val="1"/>
    <w:link w:val="96"/>
    <w:qFormat/>
    <w:uiPriority w:val="0"/>
    <w:pPr>
      <w:spacing w:line="360" w:lineRule="auto"/>
      <w:ind w:firstLine="420" w:firstLineChars="200"/>
    </w:pPr>
  </w:style>
  <w:style w:type="paragraph" w:styleId="25">
    <w:name w:val="List 2"/>
    <w:basedOn w:val="26"/>
    <w:qFormat/>
    <w:uiPriority w:val="0"/>
    <w:pPr>
      <w:ind w:left="1080"/>
    </w:pPr>
  </w:style>
  <w:style w:type="paragraph" w:styleId="26">
    <w:name w:val="List"/>
    <w:basedOn w:val="22"/>
    <w:qFormat/>
    <w:uiPriority w:val="0"/>
    <w:pPr>
      <w:spacing w:after="220" w:line="220" w:lineRule="atLeast"/>
      <w:ind w:left="720" w:hanging="360"/>
    </w:pPr>
    <w:rPr>
      <w:b w:val="0"/>
      <w:bCs w:val="0"/>
      <w:sz w:val="21"/>
      <w:szCs w:val="20"/>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tabs>
        <w:tab w:val="left" w:pos="780"/>
      </w:tabs>
      <w:ind w:left="780" w:leftChars="200" w:hanging="360" w:hangingChars="200"/>
    </w:pPr>
  </w:style>
  <w:style w:type="paragraph" w:styleId="29">
    <w:name w:val="toc 5"/>
    <w:basedOn w:val="1"/>
    <w:next w:val="1"/>
    <w:semiHidden/>
    <w:qFormat/>
    <w:uiPriority w:val="0"/>
    <w:pPr>
      <w:ind w:left="840"/>
      <w:jc w:val="left"/>
    </w:pPr>
    <w:rPr>
      <w:szCs w:val="21"/>
    </w:rPr>
  </w:style>
  <w:style w:type="paragraph" w:styleId="30">
    <w:name w:val="toc 3"/>
    <w:basedOn w:val="1"/>
    <w:next w:val="1"/>
    <w:semiHidden/>
    <w:qFormat/>
    <w:uiPriority w:val="39"/>
    <w:pPr>
      <w:ind w:left="420"/>
      <w:jc w:val="left"/>
    </w:pPr>
    <w:rPr>
      <w:i/>
      <w:iCs/>
    </w:rPr>
  </w:style>
  <w:style w:type="paragraph" w:styleId="31">
    <w:name w:val="Plain Text"/>
    <w:basedOn w:val="1"/>
    <w:link w:val="83"/>
    <w:qFormat/>
    <w:uiPriority w:val="0"/>
    <w:rPr>
      <w:rFonts w:ascii="宋体" w:hAnsi="Courier New"/>
      <w:szCs w:val="20"/>
    </w:rPr>
  </w:style>
  <w:style w:type="paragraph" w:styleId="32">
    <w:name w:val="List Bullet 5"/>
    <w:basedOn w:val="1"/>
    <w:qFormat/>
    <w:uiPriority w:val="0"/>
    <w:pPr>
      <w:tabs>
        <w:tab w:val="left" w:pos="2040"/>
      </w:tabs>
      <w:ind w:left="2040" w:leftChars="800" w:hanging="360" w:hangingChars="200"/>
    </w:pPr>
  </w:style>
  <w:style w:type="paragraph" w:styleId="33">
    <w:name w:val="toc 8"/>
    <w:basedOn w:val="1"/>
    <w:next w:val="1"/>
    <w:semiHidden/>
    <w:qFormat/>
    <w:uiPriority w:val="0"/>
    <w:pPr>
      <w:ind w:left="1470"/>
      <w:jc w:val="left"/>
    </w:pPr>
    <w:rPr>
      <w:szCs w:val="21"/>
    </w:rPr>
  </w:style>
  <w:style w:type="paragraph" w:styleId="34">
    <w:name w:val="Date"/>
    <w:basedOn w:val="1"/>
    <w:next w:val="1"/>
    <w:qFormat/>
    <w:uiPriority w:val="0"/>
    <w:rPr>
      <w:rFonts w:ascii="宋体" w:hAnsi="Courier New"/>
      <w:sz w:val="32"/>
      <w:szCs w:val="20"/>
    </w:rPr>
  </w:style>
  <w:style w:type="paragraph" w:styleId="35">
    <w:name w:val="Body Text Indent 2"/>
    <w:basedOn w:val="1"/>
    <w:qFormat/>
    <w:uiPriority w:val="0"/>
    <w:pPr>
      <w:spacing w:beforeLines="50" w:afterLines="50" w:line="120" w:lineRule="auto"/>
      <w:ind w:firstLine="840" w:firstLineChars="400"/>
      <w:jc w:val="left"/>
    </w:pPr>
    <w:rPr>
      <w:rFonts w:ascii="宋体" w:hAnsi="宋体"/>
    </w:rPr>
  </w:style>
  <w:style w:type="paragraph" w:styleId="36">
    <w:name w:val="Balloon Text"/>
    <w:basedOn w:val="1"/>
    <w:link w:val="89"/>
    <w:qFormat/>
    <w:uiPriority w:val="0"/>
    <w:rPr>
      <w:sz w:val="18"/>
      <w:szCs w:val="18"/>
    </w:rPr>
  </w:style>
  <w:style w:type="paragraph" w:styleId="37">
    <w:name w:val="footer"/>
    <w:basedOn w:val="1"/>
    <w:link w:val="92"/>
    <w:qFormat/>
    <w:uiPriority w:val="0"/>
    <w:pPr>
      <w:tabs>
        <w:tab w:val="center" w:pos="4153"/>
        <w:tab w:val="right" w:pos="8306"/>
      </w:tabs>
      <w:snapToGrid w:val="0"/>
      <w:jc w:val="left"/>
    </w:pPr>
    <w:rPr>
      <w:sz w:val="18"/>
      <w:szCs w:val="18"/>
    </w:rPr>
  </w:style>
  <w:style w:type="paragraph" w:styleId="38">
    <w:name w:val="header"/>
    <w:basedOn w:val="1"/>
    <w:link w:val="175"/>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semiHidden/>
    <w:qFormat/>
    <w:uiPriority w:val="0"/>
    <w:pPr>
      <w:spacing w:before="120" w:after="120"/>
      <w:jc w:val="left"/>
    </w:pPr>
    <w:rPr>
      <w:b/>
      <w:bCs/>
      <w:caps/>
    </w:rPr>
  </w:style>
  <w:style w:type="paragraph" w:styleId="40">
    <w:name w:val="toc 4"/>
    <w:basedOn w:val="1"/>
    <w:next w:val="1"/>
    <w:semiHidden/>
    <w:qFormat/>
    <w:uiPriority w:val="0"/>
    <w:pPr>
      <w:ind w:left="630"/>
      <w:jc w:val="left"/>
    </w:pPr>
    <w:rPr>
      <w:szCs w:val="21"/>
    </w:rPr>
  </w:style>
  <w:style w:type="paragraph" w:styleId="41">
    <w:name w:val="index heading"/>
    <w:basedOn w:val="1"/>
    <w:next w:val="42"/>
    <w:qFormat/>
    <w:uiPriority w:val="0"/>
  </w:style>
  <w:style w:type="paragraph" w:styleId="42">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3">
    <w:name w:val="toc 6"/>
    <w:basedOn w:val="1"/>
    <w:next w:val="1"/>
    <w:semiHidden/>
    <w:qFormat/>
    <w:uiPriority w:val="0"/>
    <w:pPr>
      <w:ind w:left="1050"/>
      <w:jc w:val="left"/>
    </w:pPr>
    <w:rPr>
      <w:szCs w:val="21"/>
    </w:rPr>
  </w:style>
  <w:style w:type="paragraph" w:styleId="44">
    <w:name w:val="Body Text Indent 3"/>
    <w:basedOn w:val="1"/>
    <w:qFormat/>
    <w:uiPriority w:val="0"/>
    <w:pPr>
      <w:spacing w:line="360" w:lineRule="auto"/>
      <w:ind w:firstLine="482" w:firstLineChars="200"/>
    </w:pPr>
    <w:rPr>
      <w:rFonts w:ascii="宋体"/>
      <w:b/>
      <w:bCs/>
      <w:sz w:val="24"/>
    </w:r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qFormat/>
    <w:uiPriority w:val="0"/>
    <w:pPr>
      <w:spacing w:line="360" w:lineRule="auto"/>
    </w:pPr>
    <w:rPr>
      <w:sz w:val="24"/>
    </w:r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0"/>
    <w:rPr>
      <w:sz w:val="24"/>
    </w:rPr>
  </w:style>
  <w:style w:type="paragraph" w:styleId="50">
    <w:name w:val="index 2"/>
    <w:basedOn w:val="1"/>
    <w:next w:val="1"/>
    <w:qFormat/>
    <w:uiPriority w:val="0"/>
    <w:pPr>
      <w:adjustRightInd w:val="0"/>
      <w:spacing w:line="315" w:lineRule="atLeast"/>
      <w:ind w:left="420"/>
      <w:jc w:val="left"/>
      <w:textAlignment w:val="baseline"/>
    </w:pPr>
    <w:rPr>
      <w:rFonts w:ascii="宋体"/>
      <w:kern w:val="0"/>
    </w:rPr>
  </w:style>
  <w:style w:type="paragraph" w:styleId="51">
    <w:name w:val="Title"/>
    <w:basedOn w:val="1"/>
    <w:qFormat/>
    <w:uiPriority w:val="0"/>
    <w:pPr>
      <w:spacing w:before="240" w:after="60"/>
      <w:jc w:val="center"/>
      <w:outlineLvl w:val="0"/>
    </w:pPr>
    <w:rPr>
      <w:rFonts w:ascii="Arial" w:hAnsi="Arial" w:eastAsia="隶书" w:cs="Arial"/>
      <w:b/>
      <w:bCs/>
      <w:sz w:val="32"/>
      <w:szCs w:val="32"/>
    </w:rPr>
  </w:style>
  <w:style w:type="paragraph" w:styleId="52">
    <w:name w:val="annotation subject"/>
    <w:basedOn w:val="18"/>
    <w:next w:val="18"/>
    <w:link w:val="167"/>
    <w:qFormat/>
    <w:uiPriority w:val="0"/>
    <w:pPr>
      <w:autoSpaceDE/>
      <w:autoSpaceDN/>
      <w:adjustRightInd/>
      <w:textAlignment w:val="auto"/>
    </w:pPr>
    <w:rPr>
      <w:rFonts w:ascii="Times New Roman"/>
      <w:b/>
      <w:bCs/>
      <w:kern w:val="2"/>
      <w:sz w:val="21"/>
    </w:rPr>
  </w:style>
  <w:style w:type="paragraph" w:styleId="53">
    <w:name w:val="Body Text First Indent 2"/>
    <w:basedOn w:val="24"/>
    <w:link w:val="97"/>
    <w:qFormat/>
    <w:uiPriority w:val="0"/>
    <w:pPr>
      <w:spacing w:after="120" w:line="240" w:lineRule="auto"/>
      <w:ind w:left="420" w:firstLine="210" w:firstLineChars="0"/>
    </w:pPr>
    <w:rPr>
      <w:szCs w:val="20"/>
    </w:rPr>
  </w:style>
  <w:style w:type="table" w:styleId="55">
    <w:name w:val="Table Grid"/>
    <w:basedOn w:val="5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2"/>
    <w:basedOn w:val="54"/>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yperlink"/>
    <w:qFormat/>
    <w:uiPriority w:val="0"/>
    <w:rPr>
      <w:color w:val="0000FF"/>
      <w:u w:val="single"/>
    </w:rPr>
  </w:style>
  <w:style w:type="character" w:styleId="64">
    <w:name w:val="annotation reference"/>
    <w:qFormat/>
    <w:uiPriority w:val="0"/>
    <w:rPr>
      <w:sz w:val="21"/>
      <w:szCs w:val="21"/>
    </w:rPr>
  </w:style>
  <w:style w:type="character" w:customStyle="1" w:styleId="65">
    <w:name w:val="标题 4 字符"/>
    <w:link w:val="5"/>
    <w:qFormat/>
    <w:uiPriority w:val="0"/>
    <w:rPr>
      <w:rFonts w:ascii="Arial" w:hAnsi="Arial" w:eastAsia="黑体"/>
      <w:b/>
      <w:bCs/>
      <w:kern w:val="2"/>
      <w:sz w:val="28"/>
      <w:szCs w:val="28"/>
      <w:lang w:val="en-US" w:eastAsia="zh-CN" w:bidi="ar-SA"/>
    </w:rPr>
  </w:style>
  <w:style w:type="paragraph" w:customStyle="1" w:styleId="66">
    <w:name w:val="Char Char8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标题 3 字符"/>
    <w:link w:val="4"/>
    <w:qFormat/>
    <w:uiPriority w:val="0"/>
    <w:rPr>
      <w:rFonts w:ascii="宋体" w:hAnsi="宋体" w:eastAsia="宋体"/>
      <w:b/>
      <w:bCs/>
      <w:kern w:val="2"/>
      <w:sz w:val="28"/>
      <w:szCs w:val="32"/>
      <w:lang w:val="en-US" w:eastAsia="zh-CN" w:bidi="ar-SA"/>
    </w:rPr>
  </w:style>
  <w:style w:type="character" w:customStyle="1" w:styleId="68">
    <w:name w:val="标题 1 字符"/>
    <w:link w:val="3"/>
    <w:qFormat/>
    <w:uiPriority w:val="0"/>
    <w:rPr>
      <w:rFonts w:ascii="宋体" w:hAnsi="宋体" w:eastAsia="黑体"/>
      <w:b/>
      <w:bCs/>
      <w:kern w:val="44"/>
      <w:sz w:val="44"/>
      <w:szCs w:val="44"/>
    </w:rPr>
  </w:style>
  <w:style w:type="character" w:customStyle="1" w:styleId="69">
    <w:name w:val="正文缩进 字符"/>
    <w:link w:val="7"/>
    <w:qFormat/>
    <w:uiPriority w:val="0"/>
    <w:rPr>
      <w:rFonts w:eastAsia="宋体"/>
      <w:kern w:val="2"/>
      <w:sz w:val="21"/>
      <w:lang w:val="en-US" w:eastAsia="zh-CN" w:bidi="ar-SA"/>
    </w:rPr>
  </w:style>
  <w:style w:type="character" w:customStyle="1" w:styleId="70">
    <w:name w:val="标题 3 Char"/>
    <w:qFormat/>
    <w:uiPriority w:val="0"/>
    <w:rPr>
      <w:rFonts w:ascii="黑体" w:eastAsia="黑体"/>
      <w:bCs/>
      <w:sz w:val="30"/>
    </w:rPr>
  </w:style>
  <w:style w:type="paragraph" w:customStyle="1" w:styleId="71">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3">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8">
    <w:name w:val="自定义正文"/>
    <w:basedOn w:val="1"/>
    <w:qFormat/>
    <w:uiPriority w:val="0"/>
    <w:pPr>
      <w:spacing w:afterLines="50"/>
      <w:ind w:left="600" w:leftChars="600"/>
    </w:pPr>
  </w:style>
  <w:style w:type="paragraph" w:customStyle="1" w:styleId="79">
    <w:name w:val="Char Char Char Char Char"/>
    <w:basedOn w:val="1"/>
    <w:qFormat/>
    <w:uiPriority w:val="0"/>
    <w:rPr>
      <w:rFonts w:ascii="Tahoma" w:hAnsi="Tahoma"/>
      <w:sz w:val="24"/>
      <w:szCs w:val="20"/>
    </w:rPr>
  </w:style>
  <w:style w:type="paragraph" w:customStyle="1" w:styleId="80">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1">
    <w:name w:val="Char Char"/>
    <w:basedOn w:val="1"/>
    <w:qFormat/>
    <w:uiPriority w:val="0"/>
    <w:rPr>
      <w:rFonts w:ascii="Tahoma" w:hAnsi="Tahoma"/>
      <w:sz w:val="24"/>
      <w:szCs w:val="20"/>
    </w:rPr>
  </w:style>
  <w:style w:type="paragraph" w:customStyle="1" w:styleId="82">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3">
    <w:name w:val="纯文本 字符"/>
    <w:link w:val="31"/>
    <w:qFormat/>
    <w:uiPriority w:val="0"/>
    <w:rPr>
      <w:rFonts w:ascii="宋体" w:hAnsi="Courier New" w:eastAsia="宋体"/>
      <w:kern w:val="2"/>
      <w:sz w:val="21"/>
      <w:lang w:val="en-US" w:eastAsia="zh-CN" w:bidi="ar-SA"/>
    </w:rPr>
  </w:style>
  <w:style w:type="paragraph" w:customStyle="1" w:styleId="8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86">
    <w:name w:val="表格内文"/>
    <w:basedOn w:val="1"/>
    <w:qFormat/>
    <w:uiPriority w:val="0"/>
    <w:pPr>
      <w:spacing w:before="60" w:after="60"/>
      <w:jc w:val="center"/>
    </w:pPr>
    <w:rPr>
      <w:rFonts w:eastAsia="文鼎CS书宋二"/>
      <w:w w:val="95"/>
      <w:sz w:val="18"/>
      <w:szCs w:val="20"/>
    </w:rPr>
  </w:style>
  <w:style w:type="paragraph" w:customStyle="1" w:styleId="87">
    <w:name w:val="内正文"/>
    <w:basedOn w:val="1"/>
    <w:qFormat/>
    <w:uiPriority w:val="0"/>
    <w:pPr>
      <w:ind w:firstLine="420"/>
    </w:pPr>
    <w:rPr>
      <w:rFonts w:eastAsia="文鼎CS书宋二"/>
      <w:szCs w:val="20"/>
    </w:rPr>
  </w:style>
  <w:style w:type="character" w:customStyle="1" w:styleId="88">
    <w:name w:val="标题 2 字符"/>
    <w:link w:val="2"/>
    <w:qFormat/>
    <w:uiPriority w:val="0"/>
    <w:rPr>
      <w:rFonts w:ascii="宋体" w:hAnsi="宋体" w:eastAsia="宋体"/>
      <w:b/>
      <w:bCs/>
      <w:sz w:val="24"/>
      <w:lang w:val="en-US" w:eastAsia="zh-CN" w:bidi="ar-SA"/>
    </w:rPr>
  </w:style>
  <w:style w:type="character" w:customStyle="1" w:styleId="89">
    <w:name w:val="批注框文本 字符"/>
    <w:link w:val="36"/>
    <w:qFormat/>
    <w:uiPriority w:val="0"/>
    <w:rPr>
      <w:rFonts w:eastAsia="宋体"/>
      <w:kern w:val="2"/>
      <w:sz w:val="18"/>
      <w:szCs w:val="18"/>
      <w:lang w:val="en-US" w:eastAsia="zh-CN" w:bidi="ar-SA"/>
    </w:rPr>
  </w:style>
  <w:style w:type="paragraph" w:customStyle="1" w:styleId="90">
    <w:name w:val="样式1"/>
    <w:basedOn w:val="51"/>
    <w:qFormat/>
    <w:uiPriority w:val="0"/>
    <w:pPr>
      <w:spacing w:before="120" w:after="120"/>
    </w:pPr>
    <w:rPr>
      <w:rFonts w:eastAsia="黑体"/>
      <w:b w:val="0"/>
      <w:sz w:val="30"/>
      <w:szCs w:val="21"/>
    </w:rPr>
  </w:style>
  <w:style w:type="paragraph" w:customStyle="1" w:styleId="91">
    <w:name w:val="样式2"/>
    <w:basedOn w:val="51"/>
    <w:next w:val="90"/>
    <w:qFormat/>
    <w:uiPriority w:val="0"/>
    <w:pPr>
      <w:spacing w:before="120" w:after="120"/>
    </w:pPr>
    <w:rPr>
      <w:rFonts w:eastAsia="黑体"/>
      <w:b w:val="0"/>
      <w:sz w:val="30"/>
      <w:szCs w:val="30"/>
    </w:rPr>
  </w:style>
  <w:style w:type="character" w:customStyle="1" w:styleId="92">
    <w:name w:val="页脚 字符"/>
    <w:link w:val="37"/>
    <w:qFormat/>
    <w:uiPriority w:val="99"/>
    <w:rPr>
      <w:rFonts w:eastAsia="宋体"/>
      <w:kern w:val="2"/>
      <w:sz w:val="18"/>
      <w:szCs w:val="18"/>
      <w:lang w:val="en-US" w:eastAsia="zh-CN" w:bidi="ar-SA"/>
    </w:rPr>
  </w:style>
  <w:style w:type="paragraph" w:customStyle="1" w:styleId="93">
    <w:name w:val="内正文篇标"/>
    <w:basedOn w:val="87"/>
    <w:qFormat/>
    <w:uiPriority w:val="0"/>
    <w:pPr>
      <w:ind w:firstLine="2354" w:firstLineChars="654"/>
      <w:jc w:val="left"/>
    </w:pPr>
    <w:rPr>
      <w:rFonts w:ascii="宋体" w:hAnsi="宋体" w:eastAsia="宋体"/>
      <w:w w:val="90"/>
      <w:sz w:val="40"/>
    </w:rPr>
  </w:style>
  <w:style w:type="paragraph" w:customStyle="1" w:styleId="94">
    <w:name w:val="内正文加粗"/>
    <w:basedOn w:val="87"/>
    <w:qFormat/>
    <w:uiPriority w:val="0"/>
    <w:pPr>
      <w:spacing w:before="60" w:after="60"/>
    </w:pPr>
    <w:rPr>
      <w:b/>
    </w:rPr>
  </w:style>
  <w:style w:type="paragraph" w:customStyle="1" w:styleId="95">
    <w:name w:val="正文未缩进"/>
    <w:basedOn w:val="1"/>
    <w:qFormat/>
    <w:uiPriority w:val="0"/>
    <w:rPr>
      <w:rFonts w:eastAsia="文鼎CS书宋二"/>
      <w:szCs w:val="20"/>
    </w:rPr>
  </w:style>
  <w:style w:type="character" w:customStyle="1" w:styleId="96">
    <w:name w:val="正文文本缩进 字符"/>
    <w:link w:val="24"/>
    <w:qFormat/>
    <w:uiPriority w:val="0"/>
    <w:rPr>
      <w:rFonts w:eastAsia="宋体"/>
      <w:kern w:val="2"/>
      <w:sz w:val="21"/>
      <w:szCs w:val="24"/>
      <w:lang w:val="en-US" w:eastAsia="zh-CN" w:bidi="ar-SA"/>
    </w:rPr>
  </w:style>
  <w:style w:type="character" w:customStyle="1" w:styleId="97">
    <w:name w:val="正文文本首行缩进 2 字符"/>
    <w:basedOn w:val="96"/>
    <w:link w:val="53"/>
    <w:qFormat/>
    <w:uiPriority w:val="0"/>
    <w:rPr>
      <w:rFonts w:eastAsia="宋体"/>
      <w:kern w:val="2"/>
      <w:sz w:val="21"/>
      <w:szCs w:val="24"/>
      <w:lang w:val="en-US" w:eastAsia="zh-CN" w:bidi="ar-SA"/>
    </w:rPr>
  </w:style>
  <w:style w:type="paragraph" w:customStyle="1" w:styleId="98">
    <w:name w:val="小标题"/>
    <w:basedOn w:val="1"/>
    <w:qFormat/>
    <w:uiPriority w:val="0"/>
    <w:pPr>
      <w:spacing w:before="240" w:after="240"/>
      <w:jc w:val="center"/>
    </w:pPr>
    <w:rPr>
      <w:rFonts w:eastAsia="创艺简黑体"/>
      <w:b/>
      <w:w w:val="95"/>
      <w:szCs w:val="20"/>
    </w:rPr>
  </w:style>
  <w:style w:type="paragraph" w:customStyle="1" w:styleId="99">
    <w:name w:val="表格标题"/>
    <w:basedOn w:val="98"/>
    <w:qFormat/>
    <w:uiPriority w:val="0"/>
    <w:pPr>
      <w:spacing w:before="120" w:after="60"/>
    </w:pPr>
    <w:rPr>
      <w:rFonts w:eastAsia="文鼎CS大宋"/>
      <w:b w:val="0"/>
      <w:sz w:val="28"/>
    </w:rPr>
  </w:style>
  <w:style w:type="paragraph" w:customStyle="1" w:styleId="100">
    <w:name w:val="节标题"/>
    <w:basedOn w:val="1"/>
    <w:qFormat/>
    <w:uiPriority w:val="0"/>
    <w:pPr>
      <w:spacing w:before="240" w:after="240"/>
      <w:jc w:val="center"/>
    </w:pPr>
    <w:rPr>
      <w:rFonts w:eastAsia="文鼎CS长美黑"/>
      <w:w w:val="95"/>
      <w:sz w:val="32"/>
      <w:szCs w:val="20"/>
    </w:rPr>
  </w:style>
  <w:style w:type="paragraph" w:customStyle="1" w:styleId="101">
    <w:name w:val="说明"/>
    <w:basedOn w:val="98"/>
    <w:qFormat/>
    <w:uiPriority w:val="0"/>
    <w:pPr>
      <w:spacing w:before="0" w:after="0" w:line="288" w:lineRule="auto"/>
      <w:ind w:firstLine="420"/>
      <w:jc w:val="both"/>
    </w:pPr>
    <w:rPr>
      <w:rFonts w:ascii="文鼎中楷" w:eastAsia="文鼎中楷"/>
      <w:b w:val="0"/>
    </w:rPr>
  </w:style>
  <w:style w:type="character" w:customStyle="1" w:styleId="102">
    <w:name w:val="p121"/>
    <w:qFormat/>
    <w:uiPriority w:val="0"/>
    <w:rPr>
      <w:rFonts w:hint="default"/>
      <w:sz w:val="24"/>
      <w:szCs w:val="24"/>
    </w:rPr>
  </w:style>
  <w:style w:type="paragraph" w:customStyle="1" w:styleId="103">
    <w:name w:val="Definition Term"/>
    <w:basedOn w:val="1"/>
    <w:next w:val="1"/>
    <w:qFormat/>
    <w:uiPriority w:val="0"/>
    <w:pPr>
      <w:autoSpaceDE w:val="0"/>
      <w:autoSpaceDN w:val="0"/>
      <w:adjustRightInd w:val="0"/>
      <w:jc w:val="left"/>
    </w:pPr>
    <w:rPr>
      <w:kern w:val="0"/>
      <w:sz w:val="24"/>
      <w:szCs w:val="20"/>
    </w:rPr>
  </w:style>
  <w:style w:type="character" w:customStyle="1" w:styleId="104">
    <w:name w:val="正文文本 字符"/>
    <w:link w:val="22"/>
    <w:qFormat/>
    <w:uiPriority w:val="0"/>
    <w:rPr>
      <w:rFonts w:eastAsia="宋体"/>
      <w:b/>
      <w:bCs/>
      <w:kern w:val="2"/>
      <w:sz w:val="24"/>
      <w:szCs w:val="24"/>
      <w:lang w:val="en-US" w:eastAsia="zh-CN" w:bidi="ar-SA"/>
    </w:rPr>
  </w:style>
  <w:style w:type="character" w:customStyle="1" w:styleId="105">
    <w:name w:val="正文文本首行缩进 字符"/>
    <w:link w:val="23"/>
    <w:qFormat/>
    <w:uiPriority w:val="0"/>
    <w:rPr>
      <w:rFonts w:eastAsia="宋体"/>
      <w:b/>
      <w:bCs/>
      <w:kern w:val="2"/>
      <w:sz w:val="21"/>
      <w:szCs w:val="24"/>
      <w:lang w:val="en-US" w:eastAsia="zh-CN" w:bidi="ar-SA"/>
    </w:rPr>
  </w:style>
  <w:style w:type="paragraph" w:customStyle="1" w:styleId="10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7">
    <w:name w:val="font7"/>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09">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110">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11">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12">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13">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14">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15">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16">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17">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18">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1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0">
    <w:name w:val="xl36"/>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1">
    <w:name w:val="xl37"/>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2">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23">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2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25">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26">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27">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28">
    <w:name w:val="xl44"/>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29">
    <w:name w:val="char"/>
    <w:basedOn w:val="4"/>
    <w:qFormat/>
    <w:uiPriority w:val="0"/>
    <w:pPr>
      <w:spacing w:line="360" w:lineRule="auto"/>
      <w:ind w:firstLine="2560" w:firstLineChars="800"/>
    </w:pPr>
    <w:rPr>
      <w:b w:val="0"/>
      <w:bCs/>
      <w:sz w:val="32"/>
      <w:szCs w:val="20"/>
    </w:rPr>
  </w:style>
  <w:style w:type="paragraph" w:customStyle="1" w:styleId="130">
    <w:name w:val="标题4 Char"/>
    <w:basedOn w:val="1"/>
    <w:qFormat/>
    <w:uiPriority w:val="0"/>
    <w:pPr>
      <w:spacing w:line="360" w:lineRule="auto"/>
      <w:ind w:firstLine="538" w:firstLineChars="192"/>
      <w:jc w:val="left"/>
    </w:pPr>
    <w:rPr>
      <w:rFonts w:ascii="宋体" w:hAnsi="宋体"/>
      <w:color w:val="000000"/>
      <w:sz w:val="28"/>
      <w:szCs w:val="28"/>
    </w:rPr>
  </w:style>
  <w:style w:type="paragraph" w:customStyle="1" w:styleId="131">
    <w:name w:val="投标人须知1"/>
    <w:basedOn w:val="1"/>
    <w:qFormat/>
    <w:uiPriority w:val="0"/>
    <w:pPr>
      <w:spacing w:line="480" w:lineRule="auto"/>
      <w:ind w:left="833" w:hanging="113"/>
      <w:jc w:val="left"/>
    </w:pPr>
    <w:rPr>
      <w:b/>
      <w:sz w:val="24"/>
    </w:rPr>
  </w:style>
  <w:style w:type="paragraph" w:customStyle="1" w:styleId="132">
    <w:name w:val="投标人须知2"/>
    <w:basedOn w:val="1"/>
    <w:qFormat/>
    <w:uiPriority w:val="0"/>
    <w:pPr>
      <w:spacing w:line="300" w:lineRule="auto"/>
      <w:ind w:left="653" w:hanging="113"/>
      <w:jc w:val="left"/>
    </w:pPr>
    <w:rPr>
      <w:szCs w:val="21"/>
    </w:rPr>
  </w:style>
  <w:style w:type="paragraph" w:customStyle="1" w:styleId="133">
    <w:name w:val="投标人须知3"/>
    <w:basedOn w:val="1"/>
    <w:qFormat/>
    <w:uiPriority w:val="0"/>
    <w:pPr>
      <w:spacing w:line="300" w:lineRule="auto"/>
      <w:ind w:left="679" w:hanging="225"/>
      <w:jc w:val="left"/>
    </w:pPr>
  </w:style>
  <w:style w:type="paragraph" w:customStyle="1" w:styleId="134">
    <w:name w:val="投标人须知4"/>
    <w:basedOn w:val="1"/>
    <w:qFormat/>
    <w:uiPriority w:val="0"/>
    <w:pPr>
      <w:spacing w:line="300" w:lineRule="auto"/>
      <w:ind w:left="794" w:hanging="340"/>
      <w:jc w:val="left"/>
    </w:pPr>
  </w:style>
  <w:style w:type="paragraph" w:customStyle="1" w:styleId="135">
    <w:name w:val="样式 投标人须知1 + (符号) 宋体"/>
    <w:basedOn w:val="131"/>
    <w:qFormat/>
    <w:uiPriority w:val="0"/>
    <w:pPr>
      <w:tabs>
        <w:tab w:val="left" w:pos="360"/>
      </w:tabs>
      <w:ind w:left="360" w:hanging="360"/>
      <w:outlineLvl w:val="1"/>
    </w:pPr>
    <w:rPr>
      <w:bCs/>
    </w:rPr>
  </w:style>
  <w:style w:type="paragraph" w:customStyle="1" w:styleId="136">
    <w:name w:val="Char Char Char Char Char1 Char Char Char Char Char Char Char Char Char Char"/>
    <w:basedOn w:val="1"/>
    <w:qFormat/>
    <w:uiPriority w:val="0"/>
    <w:rPr>
      <w:rFonts w:ascii="仿宋_GB2312" w:eastAsia="仿宋_GB2312"/>
      <w:b/>
      <w:sz w:val="32"/>
      <w:szCs w:val="32"/>
    </w:rPr>
  </w:style>
  <w:style w:type="paragraph" w:customStyle="1" w:styleId="137">
    <w:name w:val="表格内文1"/>
    <w:basedOn w:val="86"/>
    <w:qFormat/>
    <w:uiPriority w:val="0"/>
  </w:style>
  <w:style w:type="paragraph" w:customStyle="1" w:styleId="138">
    <w:name w:val="001"/>
    <w:basedOn w:val="139"/>
    <w:qFormat/>
    <w:uiPriority w:val="0"/>
  </w:style>
  <w:style w:type="paragraph" w:customStyle="1" w:styleId="139">
    <w:name w:val="05"/>
    <w:basedOn w:val="140"/>
    <w:qFormat/>
    <w:uiPriority w:val="0"/>
  </w:style>
  <w:style w:type="paragraph" w:customStyle="1" w:styleId="140">
    <w:name w:val="01"/>
    <w:basedOn w:val="141"/>
    <w:qFormat/>
    <w:uiPriority w:val="0"/>
  </w:style>
  <w:style w:type="paragraph" w:customStyle="1" w:styleId="141">
    <w:name w:val="表格内文2"/>
    <w:basedOn w:val="86"/>
    <w:qFormat/>
    <w:uiPriority w:val="0"/>
  </w:style>
  <w:style w:type="paragraph" w:customStyle="1" w:styleId="142">
    <w:name w:val="002"/>
    <w:basedOn w:val="87"/>
    <w:qFormat/>
    <w:uiPriority w:val="0"/>
    <w:pPr>
      <w:spacing w:before="62" w:after="62"/>
      <w:jc w:val="center"/>
    </w:pPr>
  </w:style>
  <w:style w:type="paragraph" w:customStyle="1" w:styleId="143">
    <w:name w:val="表格下注"/>
    <w:basedOn w:val="87"/>
    <w:qFormat/>
    <w:uiPriority w:val="0"/>
    <w:pPr>
      <w:ind w:left="798" w:hanging="378"/>
    </w:pPr>
    <w:rPr>
      <w:sz w:val="18"/>
    </w:rPr>
  </w:style>
  <w:style w:type="paragraph" w:customStyle="1" w:styleId="144">
    <w:name w:val="正文A"/>
    <w:basedOn w:val="87"/>
    <w:qFormat/>
    <w:uiPriority w:val="0"/>
    <w:pPr>
      <w:tabs>
        <w:tab w:val="center" w:pos="3780"/>
        <w:tab w:val="left" w:pos="7140"/>
      </w:tabs>
      <w:spacing w:before="120"/>
      <w:ind w:right="196"/>
      <w:jc w:val="right"/>
    </w:pPr>
    <w:rPr>
      <w:rFonts w:eastAsia="宋体"/>
      <w:b/>
      <w:bCs/>
      <w:w w:val="95"/>
    </w:rPr>
  </w:style>
  <w:style w:type="paragraph" w:customStyle="1" w:styleId="145">
    <w:name w:val="font8"/>
    <w:basedOn w:val="1"/>
    <w:qFormat/>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46">
    <w:name w:val="font9"/>
    <w:basedOn w:val="1"/>
    <w:qFormat/>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47">
    <w:name w:val="font10"/>
    <w:basedOn w:val="1"/>
    <w:qFormat/>
    <w:uiPriority w:val="0"/>
    <w:pPr>
      <w:widowControl/>
      <w:spacing w:before="100" w:beforeAutospacing="1" w:after="100" w:afterAutospacing="1"/>
      <w:jc w:val="left"/>
    </w:pPr>
    <w:rPr>
      <w:b/>
      <w:bCs/>
      <w:kern w:val="0"/>
      <w:sz w:val="20"/>
      <w:szCs w:val="20"/>
      <w:u w:val="single"/>
    </w:rPr>
  </w:style>
  <w:style w:type="paragraph" w:customStyle="1" w:styleId="148">
    <w:name w:val="font11"/>
    <w:basedOn w:val="1"/>
    <w:qFormat/>
    <w:uiPriority w:val="0"/>
    <w:pPr>
      <w:widowControl/>
      <w:spacing w:before="100" w:beforeAutospacing="1" w:after="100" w:afterAutospacing="1"/>
      <w:jc w:val="left"/>
    </w:pPr>
    <w:rPr>
      <w:kern w:val="0"/>
      <w:sz w:val="20"/>
      <w:szCs w:val="20"/>
    </w:rPr>
  </w:style>
  <w:style w:type="paragraph" w:customStyle="1" w:styleId="149">
    <w:name w:val="font12"/>
    <w:basedOn w:val="1"/>
    <w:qFormat/>
    <w:uiPriority w:val="0"/>
    <w:pPr>
      <w:widowControl/>
      <w:spacing w:before="100" w:beforeAutospacing="1" w:after="100" w:afterAutospacing="1"/>
      <w:jc w:val="left"/>
    </w:pPr>
    <w:rPr>
      <w:kern w:val="0"/>
      <w:sz w:val="20"/>
      <w:szCs w:val="20"/>
    </w:rPr>
  </w:style>
  <w:style w:type="paragraph" w:customStyle="1" w:styleId="150">
    <w:name w:val="xl22"/>
    <w:basedOn w:val="1"/>
    <w:qFormat/>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51">
    <w:name w:val="xl23"/>
    <w:basedOn w:val="1"/>
    <w:qFormat/>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5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5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54">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5">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8">
    <w:name w:val="样式 三号 加粗 居中"/>
    <w:basedOn w:val="51"/>
    <w:qFormat/>
    <w:uiPriority w:val="0"/>
    <w:rPr>
      <w:rFonts w:eastAsia="宋体" w:cs="宋体"/>
      <w:b w:val="0"/>
      <w:bCs w:val="0"/>
    </w:rPr>
  </w:style>
  <w:style w:type="paragraph" w:customStyle="1" w:styleId="159">
    <w:name w:val="样式 章标题"/>
    <w:basedOn w:val="51"/>
    <w:qFormat/>
    <w:uiPriority w:val="0"/>
    <w:pPr>
      <w:tabs>
        <w:tab w:val="left" w:pos="1590"/>
      </w:tabs>
      <w:ind w:left="1590" w:hanging="1590"/>
    </w:pPr>
    <w:rPr>
      <w:rFonts w:eastAsia="宋体"/>
      <w:b w:val="0"/>
      <w:bCs w:val="0"/>
    </w:rPr>
  </w:style>
  <w:style w:type="paragraph" w:customStyle="1" w:styleId="160">
    <w:name w:val="样式 章标题 20 加粗 居中"/>
    <w:basedOn w:val="159"/>
    <w:qFormat/>
    <w:uiPriority w:val="0"/>
    <w:rPr>
      <w:rFonts w:cs="宋体"/>
      <w:b/>
      <w:bCs/>
      <w:sz w:val="40"/>
    </w:rPr>
  </w:style>
  <w:style w:type="paragraph" w:customStyle="1" w:styleId="161">
    <w:name w:val="样式 章标题 + 宋体 加粗 倾斜 黑色"/>
    <w:basedOn w:val="2"/>
    <w:qFormat/>
    <w:uiPriority w:val="0"/>
    <w:pPr>
      <w:keepNext w:val="0"/>
      <w:keepLines w:val="0"/>
      <w:adjustRightInd/>
      <w:spacing w:before="480" w:after="120"/>
      <w:textAlignment w:val="auto"/>
      <w:outlineLvl w:val="9"/>
    </w:pPr>
    <w:rPr>
      <w:i/>
      <w:iCs/>
      <w:color w:val="000000"/>
      <w:w w:val="80"/>
      <w:kern w:val="2"/>
      <w:sz w:val="40"/>
    </w:rPr>
  </w:style>
  <w:style w:type="paragraph" w:customStyle="1" w:styleId="162">
    <w:name w:val="样式 小标题 + 宋体 黑色 首行缩进:  0.74 厘米"/>
    <w:basedOn w:val="22"/>
    <w:qFormat/>
    <w:uiPriority w:val="0"/>
    <w:pPr>
      <w:spacing w:after="120" w:line="240" w:lineRule="auto"/>
      <w:ind w:firstLine="420"/>
    </w:pPr>
    <w:rPr>
      <w:rFonts w:ascii="宋体" w:hAnsi="宋体" w:cs="宋体"/>
      <w:b w:val="0"/>
      <w:bCs w:val="0"/>
      <w:color w:val="000000"/>
      <w:sz w:val="21"/>
      <w:szCs w:val="20"/>
    </w:rPr>
  </w:style>
  <w:style w:type="paragraph" w:customStyle="1" w:styleId="163">
    <w:name w:val="样式 小标题 + (中文) 宋体 加粗 黑色 段前: 0 磅 段后: 0 磅 行距: 多倍行距 1.25 字行"/>
    <w:basedOn w:val="98"/>
    <w:next w:val="22"/>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64">
    <w:name w:val="样式 小标题 + (中文) 宋体 加粗 黑色 段前: 0 磅 段后: 0 磅 行距: 多倍行距 1.25 字行1"/>
    <w:basedOn w:val="98"/>
    <w:next w:val="53"/>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65">
    <w:name w:val="样式 样式 小标题 + (中文) 宋体 加粗 黑色 段前: 0 磅 段后: 0 磅 行距: 多倍行距 1.25 字行1 + 非加..."/>
    <w:basedOn w:val="164"/>
    <w:next w:val="53"/>
    <w:qFormat/>
    <w:uiPriority w:val="0"/>
    <w:pPr>
      <w:ind w:firstLine="420"/>
    </w:pPr>
    <w:rPr>
      <w:b w:val="0"/>
      <w:bCs w:val="0"/>
    </w:rPr>
  </w:style>
  <w:style w:type="character" w:customStyle="1" w:styleId="166">
    <w:name w:val="批注文字 字符"/>
    <w:link w:val="18"/>
    <w:qFormat/>
    <w:uiPriority w:val="0"/>
    <w:rPr>
      <w:rFonts w:ascii="宋体" w:eastAsia="宋体"/>
      <w:sz w:val="34"/>
      <w:lang w:val="en-US" w:eastAsia="zh-CN" w:bidi="ar-SA"/>
    </w:rPr>
  </w:style>
  <w:style w:type="character" w:customStyle="1" w:styleId="167">
    <w:name w:val="批注主题 字符"/>
    <w:link w:val="52"/>
    <w:qFormat/>
    <w:uiPriority w:val="0"/>
    <w:rPr>
      <w:rFonts w:ascii="宋体" w:eastAsia="宋体"/>
      <w:b/>
      <w:bCs/>
      <w:kern w:val="2"/>
      <w:sz w:val="21"/>
      <w:lang w:val="en-US" w:eastAsia="zh-CN" w:bidi="ar-SA"/>
    </w:rPr>
  </w:style>
  <w:style w:type="paragraph" w:customStyle="1" w:styleId="168">
    <w:name w:val="前言、引言标题"/>
    <w:next w:val="1"/>
    <w:qFormat/>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69">
    <w:name w:val="列项●（二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70">
    <w:name w:val="二级条标题"/>
    <w:basedOn w:val="1"/>
    <w:next w:val="1"/>
    <w:qFormat/>
    <w:uiPriority w:val="0"/>
    <w:pPr>
      <w:widowControl/>
      <w:tabs>
        <w:tab w:val="left" w:pos="1680"/>
      </w:tabs>
      <w:ind w:left="1680" w:hanging="420"/>
      <w:jc w:val="left"/>
      <w:outlineLvl w:val="3"/>
    </w:pPr>
    <w:rPr>
      <w:rFonts w:eastAsia="黑体"/>
      <w:kern w:val="0"/>
      <w:szCs w:val="20"/>
    </w:rPr>
  </w:style>
  <w:style w:type="character" w:customStyle="1" w:styleId="171">
    <w:name w:val="fo Char"/>
    <w:qFormat/>
    <w:uiPriority w:val="0"/>
    <w:rPr>
      <w:rFonts w:eastAsia="宋体"/>
      <w:kern w:val="2"/>
      <w:sz w:val="18"/>
      <w:szCs w:val="18"/>
      <w:lang w:val="en-US" w:eastAsia="zh-CN" w:bidi="ar-SA"/>
    </w:rPr>
  </w:style>
  <w:style w:type="paragraph" w:customStyle="1" w:styleId="172">
    <w:name w:val="明显引用1"/>
    <w:basedOn w:val="1"/>
    <w:next w:val="1"/>
    <w:link w:val="173"/>
    <w:qFormat/>
    <w:uiPriority w:val="0"/>
    <w:pPr>
      <w:pBdr>
        <w:bottom w:val="single" w:color="4F81BD" w:sz="4" w:space="4"/>
      </w:pBdr>
      <w:spacing w:before="200" w:after="280"/>
      <w:ind w:left="936" w:right="936"/>
    </w:pPr>
    <w:rPr>
      <w:b/>
      <w:bCs/>
      <w:i/>
      <w:iCs/>
      <w:color w:val="4F81BD"/>
    </w:rPr>
  </w:style>
  <w:style w:type="character" w:customStyle="1" w:styleId="173">
    <w:name w:val="明显引用 Char"/>
    <w:link w:val="172"/>
    <w:qFormat/>
    <w:uiPriority w:val="0"/>
    <w:rPr>
      <w:rFonts w:eastAsia="宋体"/>
      <w:b/>
      <w:bCs/>
      <w:i/>
      <w:iCs/>
      <w:color w:val="4F81BD"/>
      <w:kern w:val="2"/>
      <w:sz w:val="21"/>
      <w:szCs w:val="24"/>
      <w:lang w:val="en-US" w:eastAsia="zh-CN" w:bidi="ar-SA"/>
    </w:rPr>
  </w:style>
  <w:style w:type="character" w:customStyle="1" w:styleId="174">
    <w:name w:val="Char Char3"/>
    <w:qFormat/>
    <w:locked/>
    <w:uiPriority w:val="0"/>
    <w:rPr>
      <w:rFonts w:ascii="Arial" w:hAnsi="Arial" w:eastAsia="黑体"/>
      <w:b/>
      <w:bCs/>
      <w:kern w:val="2"/>
      <w:sz w:val="32"/>
      <w:szCs w:val="32"/>
      <w:lang w:val="en-US" w:eastAsia="zh-CN" w:bidi="ar-SA"/>
    </w:rPr>
  </w:style>
  <w:style w:type="character" w:customStyle="1" w:styleId="175">
    <w:name w:val="页眉 字符"/>
    <w:link w:val="38"/>
    <w:qFormat/>
    <w:locked/>
    <w:uiPriority w:val="0"/>
    <w:rPr>
      <w:rFonts w:eastAsia="宋体"/>
      <w:kern w:val="2"/>
      <w:sz w:val="18"/>
      <w:szCs w:val="18"/>
      <w:lang w:val="en-US" w:eastAsia="zh-CN" w:bidi="ar-SA"/>
    </w:rPr>
  </w:style>
  <w:style w:type="character" w:customStyle="1" w:styleId="176">
    <w:name w:val="Char Char1"/>
    <w:qFormat/>
    <w:locked/>
    <w:uiPriority w:val="0"/>
    <w:rPr>
      <w:rFonts w:ascii="宋体" w:hAnsi="宋体" w:eastAsia="宋体"/>
      <w:kern w:val="2"/>
      <w:sz w:val="18"/>
      <w:szCs w:val="18"/>
      <w:lang w:val="en-US" w:eastAsia="zh-CN" w:bidi="ar-SA"/>
    </w:rPr>
  </w:style>
  <w:style w:type="character" w:customStyle="1" w:styleId="177">
    <w:name w:val="文档结构图 字符"/>
    <w:link w:val="17"/>
    <w:semiHidden/>
    <w:qFormat/>
    <w:locked/>
    <w:uiPriority w:val="0"/>
    <w:rPr>
      <w:rFonts w:eastAsia="宋体"/>
      <w:kern w:val="2"/>
      <w:sz w:val="21"/>
      <w:szCs w:val="24"/>
      <w:lang w:val="en-US" w:eastAsia="zh-CN" w:bidi="ar-SA"/>
    </w:rPr>
  </w:style>
  <w:style w:type="character" w:customStyle="1" w:styleId="178">
    <w:name w:val="Char Char2"/>
    <w:qFormat/>
    <w:uiPriority w:val="0"/>
    <w:rPr>
      <w:rFonts w:eastAsia="宋体"/>
      <w:kern w:val="2"/>
      <w:sz w:val="18"/>
      <w:szCs w:val="18"/>
      <w:lang w:val="en-US" w:eastAsia="zh-CN" w:bidi="ar-SA"/>
    </w:rPr>
  </w:style>
  <w:style w:type="paragraph" w:customStyle="1" w:styleId="179">
    <w:name w:val="Char1 Char Char Char Char Char Char Char Char Char Char Char Char"/>
    <w:basedOn w:val="1"/>
    <w:qFormat/>
    <w:uiPriority w:val="0"/>
    <w:rPr>
      <w:rFonts w:ascii="仿宋_GB2312" w:eastAsia="仿宋_GB2312"/>
      <w:b/>
      <w:sz w:val="32"/>
      <w:szCs w:val="32"/>
    </w:rPr>
  </w:style>
  <w:style w:type="character" w:customStyle="1" w:styleId="180">
    <w:name w:val="Char Char9"/>
    <w:qFormat/>
    <w:uiPriority w:val="0"/>
    <w:rPr>
      <w:rFonts w:eastAsia="宋体"/>
      <w:b/>
      <w:bCs/>
      <w:kern w:val="2"/>
      <w:sz w:val="24"/>
      <w:szCs w:val="24"/>
      <w:lang w:val="en-US" w:eastAsia="zh-CN" w:bidi="ar-SA"/>
    </w:rPr>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TOC 标题1"/>
    <w:basedOn w:val="3"/>
    <w:next w:val="1"/>
    <w:qFormat/>
    <w:uiPriority w:val="39"/>
    <w:pPr>
      <w:widowControl/>
      <w:spacing w:before="480" w:after="0" w:line="276" w:lineRule="auto"/>
      <w:jc w:val="left"/>
      <w:outlineLvl w:val="9"/>
    </w:pPr>
    <w:rPr>
      <w:rFonts w:ascii="Cambria" w:hAnsi="Cambria" w:eastAsia="宋体"/>
      <w:color w:val="365F91"/>
      <w:kern w:val="0"/>
      <w:szCs w:val="28"/>
    </w:rPr>
  </w:style>
  <w:style w:type="paragraph" w:customStyle="1" w:styleId="18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h Char"/>
    <w:qFormat/>
    <w:locked/>
    <w:uiPriority w:val="0"/>
    <w:rPr>
      <w:rFonts w:eastAsia="宋体"/>
      <w:kern w:val="2"/>
      <w:sz w:val="18"/>
      <w:szCs w:val="18"/>
      <w:lang w:val="en-US" w:eastAsia="zh-CN" w:bidi="ar-SA"/>
    </w:rPr>
  </w:style>
  <w:style w:type="character" w:customStyle="1" w:styleId="186">
    <w:name w:val="H2 Char1"/>
    <w:qFormat/>
    <w:uiPriority w:val="0"/>
    <w:rPr>
      <w:rFonts w:ascii="宋体" w:hAnsi="宋体" w:eastAsia="宋体"/>
      <w:b/>
      <w:bCs/>
      <w:sz w:val="24"/>
      <w:lang w:val="en-US" w:eastAsia="zh-CN" w:bidi="ar-SA"/>
    </w:rPr>
  </w:style>
  <w:style w:type="character" w:customStyle="1" w:styleId="187">
    <w:name w:val="EHPT Char1"/>
    <w:qFormat/>
    <w:uiPriority w:val="0"/>
    <w:rPr>
      <w:rFonts w:eastAsia="宋体"/>
      <w:b/>
      <w:bCs/>
      <w:kern w:val="2"/>
      <w:sz w:val="24"/>
      <w:szCs w:val="24"/>
      <w:lang w:val="en-US" w:eastAsia="zh-CN" w:bidi="ar-SA"/>
    </w:rPr>
  </w:style>
  <w:style w:type="paragraph" w:customStyle="1" w:styleId="188">
    <w:name w:val="列出段落1"/>
    <w:basedOn w:val="1"/>
    <w:qFormat/>
    <w:uiPriority w:val="0"/>
    <w:pPr>
      <w:spacing w:line="360" w:lineRule="auto"/>
      <w:ind w:firstLine="420" w:firstLineChars="200"/>
    </w:pPr>
    <w:rPr>
      <w:sz w:val="24"/>
    </w:rPr>
  </w:style>
  <w:style w:type="character" w:customStyle="1" w:styleId="189">
    <w:name w:val="批注框文本 Char"/>
    <w:semiHidden/>
    <w:qFormat/>
    <w:uiPriority w:val="0"/>
    <w:rPr>
      <w:rFonts w:ascii="Times New Roman" w:hAnsi="Times New Roman"/>
      <w:kern w:val="2"/>
      <w:sz w:val="18"/>
      <w:szCs w:val="18"/>
    </w:rPr>
  </w:style>
  <w:style w:type="character" w:customStyle="1" w:styleId="190">
    <w:name w:val="正文1"/>
    <w:qFormat/>
    <w:uiPriority w:val="0"/>
    <w:rPr>
      <w:rFonts w:hint="eastAsia" w:ascii="宋体" w:hAnsi="宋体" w:eastAsia="宋体"/>
      <w:color w:val="000000"/>
      <w:sz w:val="24"/>
      <w:szCs w:val="24"/>
    </w:rPr>
  </w:style>
  <w:style w:type="paragraph" w:customStyle="1" w:styleId="191">
    <w:name w:val="默认段落字体 Para Char Char Char Char Char Char Char Char Char"/>
    <w:basedOn w:val="1"/>
    <w:qFormat/>
    <w:uiPriority w:val="0"/>
    <w:rPr>
      <w:rFonts w:ascii="Tahoma" w:hAnsi="Tahoma"/>
      <w:sz w:val="24"/>
      <w:szCs w:val="20"/>
    </w:rPr>
  </w:style>
  <w:style w:type="paragraph" w:customStyle="1" w:styleId="192">
    <w:name w:val="Char Char8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93">
    <w:name w:val="网格型1"/>
    <w:basedOn w:val="5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4">
    <w:name w:val="List Paragraph"/>
    <w:basedOn w:val="1"/>
    <w:qFormat/>
    <w:uiPriority w:val="99"/>
    <w:pPr>
      <w:ind w:firstLine="420" w:firstLineChars="200"/>
    </w:pPr>
  </w:style>
  <w:style w:type="character" w:customStyle="1" w:styleId="195">
    <w:name w:val="明显强调1"/>
    <w:basedOn w:val="58"/>
    <w:qFormat/>
    <w:uiPriority w:val="21"/>
    <w:rPr>
      <w:i/>
      <w:iCs/>
      <w:color w:val="5B9BD5" w:themeColor="accent1"/>
      <w14:textFill>
        <w14:solidFill>
          <w14:schemeClr w14:val="accent1"/>
        </w14:solidFill>
      </w14:textFill>
    </w:rPr>
  </w:style>
  <w:style w:type="paragraph" w:customStyle="1" w:styleId="196">
    <w:name w:val="正文缩进1"/>
    <w:basedOn w:val="1"/>
    <w:qFormat/>
    <w:uiPriority w:val="0"/>
    <w:pPr>
      <w:ind w:firstLine="420"/>
    </w:pPr>
    <w:rPr>
      <w:rFonts w:ascii="宋体"/>
      <w:szCs w:val="20"/>
    </w:rPr>
  </w:style>
  <w:style w:type="paragraph" w:customStyle="1" w:styleId="197">
    <w:name w:val="正文文本缩进2"/>
    <w:basedOn w:val="1"/>
    <w:qFormat/>
    <w:uiPriority w:val="0"/>
    <w:pPr>
      <w:spacing w:line="360" w:lineRule="auto"/>
      <w:ind w:left="716" w:leftChars="341" w:firstLine="2"/>
    </w:pPr>
    <w:rPr>
      <w:rFonts w:ascii="宋体" w:hAnsi="宋体"/>
      <w:bCs/>
    </w:rPr>
  </w:style>
  <w:style w:type="paragraph" w:customStyle="1" w:styleId="198">
    <w:name w:val="表格文字"/>
    <w:basedOn w:val="1"/>
    <w:qFormat/>
    <w:uiPriority w:val="0"/>
    <w:pPr>
      <w:spacing w:before="25" w:beforeLines="0" w:after="25" w:afterLines="0"/>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深圳市清华斯维尔软件科技有限公司</Company>
  <Pages>49</Pages>
  <Words>5254</Words>
  <Characters>29954</Characters>
  <Lines>249</Lines>
  <Paragraphs>70</Paragraphs>
  <TotalTime>79</TotalTime>
  <ScaleCrop>false</ScaleCrop>
  <LinksUpToDate>false</LinksUpToDate>
  <CharactersWithSpaces>35138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2021-01-11T06:41:00Z</dcterms:created>
  <dc:creator>thsware</dc:creator>
  <cp:lastModifiedBy>李旭东</cp:lastModifiedBy>
  <cp:lastPrinted>2021-02-22T02:40:00Z</cp:lastPrinted>
  <dcterms:modified xsi:type="dcterms:W3CDTF">2021-02-22T06:40:51Z</dcterms:modified>
  <dc:title>招  标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