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imes New Roman"/>
          <w:color w:val="0000FF"/>
          <w:sz w:val="52"/>
          <w:szCs w:val="52"/>
        </w:rPr>
      </w:pPr>
      <w:r>
        <w:rPr>
          <w:rFonts w:hint="eastAsia" w:ascii="宋体" w:hAnsi="宋体" w:eastAsia="宋体" w:cs="Times New Roman"/>
          <w:color w:val="0000FF"/>
          <w:sz w:val="52"/>
          <w:szCs w:val="52"/>
        </w:rPr>
        <w:t>深圳大学</w:t>
      </w:r>
    </w:p>
    <w:p>
      <w:pPr>
        <w:jc w:val="center"/>
        <w:rPr>
          <w:rFonts w:ascii="宋体" w:hAnsi="宋体" w:eastAsia="宋体" w:cs="Times New Roman"/>
          <w:color w:val="FF0000"/>
          <w:sz w:val="52"/>
          <w:szCs w:val="52"/>
        </w:rPr>
      </w:pPr>
    </w:p>
    <w:p>
      <w:pPr>
        <w:jc w:val="center"/>
        <w:rPr>
          <w:rFonts w:ascii="宋体" w:hAnsi="宋体" w:eastAsia="宋体" w:cs="Times New Roman"/>
          <w:color w:val="FF0000"/>
          <w:sz w:val="52"/>
          <w:szCs w:val="52"/>
        </w:rPr>
      </w:pPr>
      <w:r>
        <w:rPr>
          <w:rFonts w:hint="eastAsia" w:ascii="宋体" w:hAnsi="宋体" w:eastAsia="宋体" w:cs="Times New Roman"/>
          <w:color w:val="FF0000"/>
          <w:sz w:val="52"/>
          <w:szCs w:val="52"/>
        </w:rPr>
        <w:t>丽湖校区服务大厅、会议室二次装修设计</w:t>
      </w:r>
    </w:p>
    <w:p>
      <w:pPr>
        <w:jc w:val="center"/>
        <w:rPr>
          <w:rFonts w:ascii="宋体" w:hAnsi="宋体" w:eastAsia="宋体" w:cs="Times New Roman"/>
          <w:color w:val="FF0000"/>
          <w:sz w:val="52"/>
          <w:szCs w:val="52"/>
        </w:rPr>
      </w:pPr>
    </w:p>
    <w:p>
      <w:pPr>
        <w:jc w:val="center"/>
        <w:rPr>
          <w:rFonts w:ascii="宋体" w:hAnsi="宋体" w:eastAsia="宋体" w:cs="Times New Roman"/>
          <w:color w:val="0000FF"/>
          <w:sz w:val="52"/>
          <w:szCs w:val="52"/>
        </w:rPr>
      </w:pPr>
      <w:r>
        <w:rPr>
          <w:rFonts w:hint="eastAsia" w:ascii="宋体" w:hAnsi="宋体" w:eastAsia="宋体" w:cs="Times New Roman"/>
          <w:color w:val="0000FF"/>
          <w:sz w:val="52"/>
          <w:szCs w:val="52"/>
        </w:rPr>
        <w:t>服务</w:t>
      </w:r>
      <w:r>
        <w:rPr>
          <w:rFonts w:ascii="宋体" w:hAnsi="宋体" w:eastAsia="宋体" w:cs="Times New Roman"/>
          <w:color w:val="0000FF"/>
          <w:sz w:val="52"/>
          <w:szCs w:val="52"/>
        </w:rPr>
        <w:t>项目</w:t>
      </w:r>
    </w:p>
    <w:p>
      <w:pPr>
        <w:jc w:val="center"/>
        <w:rPr>
          <w:rFonts w:ascii="宋体" w:hAnsi="宋体" w:eastAsia="宋体" w:cs="Times New Roman"/>
          <w:b/>
          <w:color w:val="000000"/>
          <w:sz w:val="90"/>
          <w:szCs w:val="24"/>
        </w:rPr>
      </w:pPr>
      <w:r>
        <w:rPr>
          <w:rFonts w:hint="eastAsia" w:ascii="宋体" w:hAnsi="宋体" w:eastAsia="宋体" w:cs="Times New Roman"/>
          <w:b/>
          <w:color w:val="000000"/>
          <w:sz w:val="90"/>
          <w:szCs w:val="24"/>
        </w:rPr>
        <w:t>采 购 文 件</w:t>
      </w:r>
    </w:p>
    <w:p>
      <w:pPr>
        <w:jc w:val="center"/>
        <w:rPr>
          <w:rFonts w:ascii="宋体" w:hAnsi="宋体" w:eastAsia="宋体" w:cs="Times New Roman"/>
          <w:color w:val="000000"/>
          <w:sz w:val="30"/>
          <w:szCs w:val="24"/>
        </w:rPr>
      </w:pPr>
      <w:r>
        <w:rPr>
          <w:rFonts w:hint="eastAsia" w:ascii="宋体" w:hAnsi="宋体" w:eastAsia="宋体" w:cs="Times New Roman"/>
          <w:color w:val="000000"/>
          <w:sz w:val="30"/>
          <w:szCs w:val="24"/>
        </w:rPr>
        <w:t>（项目编号：</w:t>
      </w:r>
      <w:r>
        <w:rPr>
          <w:rFonts w:hint="eastAsia" w:ascii="宋体" w:hAnsi="宋体" w:eastAsia="宋体" w:cs="Times New Roman"/>
          <w:color w:val="FF0000"/>
          <w:sz w:val="30"/>
          <w:szCs w:val="24"/>
        </w:rPr>
        <w:t>SZUCG20210029FW</w:t>
      </w:r>
      <w:r>
        <w:rPr>
          <w:rFonts w:hint="eastAsia" w:ascii="宋体" w:hAnsi="宋体" w:eastAsia="宋体" w:cs="Times New Roman"/>
          <w:color w:val="000000"/>
          <w:sz w:val="30"/>
          <w:szCs w:val="24"/>
        </w:rPr>
        <w:t>）</w:t>
      </w:r>
    </w:p>
    <w:p>
      <w:pPr>
        <w:jc w:val="center"/>
        <w:rPr>
          <w:rFonts w:ascii="宋体" w:hAnsi="宋体" w:eastAsia="宋体" w:cs="Times New Roman"/>
          <w:color w:val="000000"/>
          <w:sz w:val="90"/>
          <w:szCs w:val="24"/>
        </w:rPr>
      </w:pPr>
    </w:p>
    <w:p>
      <w:pPr>
        <w:jc w:val="center"/>
        <w:rPr>
          <w:rFonts w:ascii="宋体" w:hAnsi="宋体" w:eastAsia="宋体" w:cs="Times New Roman"/>
          <w:color w:val="000000"/>
          <w:sz w:val="90"/>
          <w:szCs w:val="24"/>
        </w:rPr>
      </w:pPr>
    </w:p>
    <w:p>
      <w:pPr>
        <w:jc w:val="center"/>
        <w:rPr>
          <w:rFonts w:ascii="宋体" w:hAnsi="宋体" w:eastAsia="宋体" w:cs="Times New Roman"/>
          <w:color w:val="000000"/>
          <w:sz w:val="90"/>
          <w:szCs w:val="24"/>
        </w:rPr>
      </w:pPr>
    </w:p>
    <w:p>
      <w:pPr>
        <w:jc w:val="center"/>
        <w:rPr>
          <w:rFonts w:ascii="宋体" w:hAnsi="宋体" w:eastAsia="宋体" w:cs="Times New Roman"/>
          <w:color w:val="000000"/>
          <w:sz w:val="90"/>
          <w:szCs w:val="24"/>
        </w:rPr>
      </w:pPr>
    </w:p>
    <w:p>
      <w:pPr>
        <w:jc w:val="center"/>
        <w:rPr>
          <w:rFonts w:ascii="宋体" w:hAnsi="宋体" w:eastAsia="宋体" w:cs="Times New Roman"/>
          <w:color w:val="000000"/>
          <w:sz w:val="30"/>
          <w:szCs w:val="24"/>
        </w:rPr>
      </w:pPr>
      <w:r>
        <w:rPr>
          <w:rFonts w:hint="eastAsia" w:ascii="宋体" w:hAnsi="宋体" w:eastAsia="宋体" w:cs="Times New Roman"/>
          <w:color w:val="000000"/>
          <w:sz w:val="30"/>
          <w:szCs w:val="24"/>
        </w:rPr>
        <w:t>深圳大学招投标管理中心</w:t>
      </w:r>
    </w:p>
    <w:p>
      <w:pPr>
        <w:jc w:val="center"/>
        <w:rPr>
          <w:rFonts w:ascii="宋体" w:hAnsi="宋体" w:eastAsia="宋体" w:cs="Times New Roman"/>
          <w:color w:val="000000"/>
          <w:sz w:val="30"/>
          <w:szCs w:val="24"/>
        </w:rPr>
      </w:pPr>
      <w:r>
        <w:rPr>
          <w:rFonts w:hint="eastAsia" w:ascii="宋体" w:hAnsi="宋体" w:eastAsia="宋体" w:cs="Times New Roman"/>
          <w:color w:val="FF0000"/>
          <w:sz w:val="30"/>
          <w:szCs w:val="24"/>
        </w:rPr>
        <w:t>二零二一年三月</w:t>
      </w:r>
    </w:p>
    <w:p>
      <w:pPr>
        <w:keepNext/>
        <w:keepLines/>
        <w:spacing w:before="340" w:after="330" w:line="360" w:lineRule="auto"/>
        <w:jc w:val="center"/>
        <w:outlineLvl w:val="0"/>
        <w:rPr>
          <w:rFonts w:ascii="宋体" w:hAnsi="宋体" w:eastAsia="黑体" w:cs="Times New Roman"/>
          <w:b/>
          <w:bCs/>
          <w:kern w:val="44"/>
          <w:sz w:val="36"/>
          <w:szCs w:val="44"/>
        </w:rPr>
      </w:pPr>
      <w:r>
        <w:rPr>
          <w:rFonts w:hint="eastAsia" w:ascii="宋体" w:hAnsi="宋体" w:eastAsia="黑体" w:cs="Times New Roman"/>
          <w:b/>
          <w:bCs/>
          <w:kern w:val="44"/>
          <w:sz w:val="36"/>
          <w:szCs w:val="44"/>
        </w:rPr>
        <w:t>关键信息</w:t>
      </w:r>
    </w:p>
    <w:p>
      <w:pPr>
        <w:keepNext/>
        <w:keepLines/>
        <w:spacing w:before="340" w:after="330" w:line="360" w:lineRule="auto"/>
        <w:jc w:val="center"/>
        <w:outlineLvl w:val="0"/>
        <w:rPr>
          <w:rFonts w:ascii="Times New Roman" w:hAnsi="Times New Roman" w:eastAsia="宋体" w:cs="Times New Roman"/>
          <w:szCs w:val="24"/>
        </w:rPr>
      </w:pPr>
    </w:p>
    <w:p>
      <w:pPr>
        <w:keepNext/>
        <w:keepLines/>
        <w:adjustRightInd w:val="0"/>
        <w:spacing w:before="260" w:after="260"/>
        <w:jc w:val="center"/>
        <w:textAlignment w:val="baseline"/>
        <w:outlineLvl w:val="1"/>
        <w:rPr>
          <w:rFonts w:ascii="宋体" w:hAnsi="宋体" w:eastAsia="宋体" w:cs="Times New Roman"/>
          <w:b/>
          <w:bCs/>
          <w:kern w:val="0"/>
          <w:sz w:val="24"/>
          <w:szCs w:val="20"/>
        </w:rPr>
      </w:pPr>
      <w:r>
        <w:rPr>
          <w:rFonts w:hint="eastAsia" w:ascii="宋体" w:hAnsi="宋体" w:eastAsia="宋体" w:cs="Times New Roman"/>
          <w:b/>
          <w:bCs/>
          <w:kern w:val="0"/>
          <w:sz w:val="24"/>
          <w:szCs w:val="20"/>
        </w:rPr>
        <w:t>项目信息</w:t>
      </w:r>
    </w:p>
    <w:p>
      <w:pPr>
        <w:rPr>
          <w:rFonts w:ascii="宋体" w:hAnsi="宋体" w:eastAsia="宋体" w:cs="Times New Roman"/>
          <w:sz w:val="32"/>
          <w:szCs w:val="24"/>
        </w:rPr>
      </w:pPr>
      <w:r>
        <w:rPr>
          <w:rFonts w:ascii="宋体" w:hAnsi="宋体" w:eastAsia="宋体" w:cs="Times New Roman"/>
          <w:sz w:val="32"/>
          <w:szCs w:val="24"/>
        </w:rPr>
        <w:t xml:space="preserve">      项目编号：  </w:t>
      </w:r>
      <w:r>
        <w:rPr>
          <w:rFonts w:hint="eastAsia" w:ascii="宋体" w:hAnsi="宋体" w:eastAsia="宋体" w:cs="Times New Roman"/>
          <w:sz w:val="32"/>
          <w:szCs w:val="24"/>
        </w:rPr>
        <w:t>SZUCG20210029FW</w:t>
      </w:r>
    </w:p>
    <w:p>
      <w:pPr>
        <w:ind w:left="2880" w:hanging="2880" w:hangingChars="900"/>
        <w:rPr>
          <w:rFonts w:ascii="宋体" w:hAnsi="宋体" w:eastAsia="宋体" w:cs="Times New Roman"/>
          <w:sz w:val="32"/>
          <w:szCs w:val="24"/>
        </w:rPr>
      </w:pPr>
      <w:r>
        <w:rPr>
          <w:rFonts w:ascii="宋体" w:hAnsi="宋体" w:eastAsia="宋体" w:cs="Times New Roman"/>
          <w:sz w:val="32"/>
          <w:szCs w:val="24"/>
        </w:rPr>
        <w:t xml:space="preserve">      项目名称：  </w:t>
      </w:r>
      <w:r>
        <w:rPr>
          <w:rFonts w:hint="eastAsia" w:ascii="宋体" w:hAnsi="宋体" w:eastAsia="宋体" w:cs="Times New Roman"/>
          <w:sz w:val="32"/>
          <w:szCs w:val="24"/>
        </w:rPr>
        <w:t>丽湖校区服务大厅、会议室二次装修设计</w:t>
      </w:r>
    </w:p>
    <w:p>
      <w:pPr>
        <w:rPr>
          <w:rFonts w:ascii="宋体" w:hAnsi="宋体" w:eastAsia="宋体" w:cs="Times New Roman"/>
          <w:sz w:val="32"/>
          <w:szCs w:val="24"/>
        </w:rPr>
      </w:pPr>
      <w:r>
        <w:rPr>
          <w:rFonts w:ascii="宋体" w:hAnsi="宋体" w:eastAsia="宋体" w:cs="Times New Roman"/>
          <w:sz w:val="32"/>
          <w:szCs w:val="24"/>
        </w:rPr>
        <w:t xml:space="preserve">      项目类型：  服务类</w:t>
      </w:r>
    </w:p>
    <w:p>
      <w:pPr>
        <w:rPr>
          <w:rFonts w:ascii="宋体" w:hAnsi="宋体" w:eastAsia="宋体" w:cs="Times New Roman"/>
          <w:sz w:val="32"/>
          <w:szCs w:val="24"/>
        </w:rPr>
      </w:pPr>
      <w:r>
        <w:rPr>
          <w:rFonts w:ascii="宋体" w:hAnsi="宋体" w:eastAsia="宋体" w:cs="Times New Roman"/>
          <w:sz w:val="32"/>
          <w:szCs w:val="24"/>
        </w:rPr>
        <w:t xml:space="preserve">      采购方式：  公开招标</w:t>
      </w:r>
    </w:p>
    <w:p>
      <w:pPr>
        <w:rPr>
          <w:rFonts w:ascii="宋体" w:hAnsi="宋体" w:eastAsia="宋体" w:cs="Times New Roman"/>
          <w:sz w:val="32"/>
          <w:szCs w:val="24"/>
        </w:rPr>
      </w:pPr>
      <w:r>
        <w:rPr>
          <w:rFonts w:ascii="宋体" w:hAnsi="宋体" w:eastAsia="宋体" w:cs="Times New Roman"/>
          <w:sz w:val="32"/>
          <w:szCs w:val="24"/>
        </w:rPr>
        <w:t xml:space="preserve">      货币类型：  人民币</w:t>
      </w:r>
    </w:p>
    <w:p>
      <w:pPr>
        <w:rPr>
          <w:rFonts w:ascii="宋体" w:hAnsi="宋体" w:eastAsia="宋体" w:cs="Times New Roman"/>
          <w:sz w:val="32"/>
          <w:szCs w:val="24"/>
        </w:rPr>
      </w:pPr>
    </w:p>
    <w:p>
      <w:pPr>
        <w:keepNext/>
        <w:keepLines/>
        <w:adjustRightInd w:val="0"/>
        <w:spacing w:before="260" w:after="260"/>
        <w:jc w:val="center"/>
        <w:textAlignment w:val="baseline"/>
        <w:outlineLvl w:val="1"/>
        <w:rPr>
          <w:rFonts w:ascii="宋体" w:hAnsi="宋体" w:eastAsia="宋体" w:cs="Times New Roman"/>
          <w:b/>
          <w:bCs/>
          <w:kern w:val="0"/>
          <w:sz w:val="36"/>
          <w:szCs w:val="20"/>
        </w:rPr>
      </w:pPr>
      <w:r>
        <w:rPr>
          <w:rFonts w:hint="eastAsia" w:ascii="宋体" w:hAnsi="宋体" w:eastAsia="宋体" w:cs="Times New Roman"/>
          <w:b/>
          <w:bCs/>
          <w:kern w:val="0"/>
          <w:sz w:val="36"/>
          <w:szCs w:val="20"/>
        </w:rPr>
        <w:t>投标文件初审表</w:t>
      </w:r>
    </w:p>
    <w:p>
      <w:pPr>
        <w:jc w:val="center"/>
        <w:rPr>
          <w:rFonts w:ascii="Times New Roman" w:hAnsi="Times New Roman" w:eastAsia="宋体" w:cs="Times New Roman"/>
          <w:b/>
          <w:szCs w:val="24"/>
        </w:rPr>
      </w:pPr>
      <w:r>
        <w:rPr>
          <w:rFonts w:hint="eastAsia" w:ascii="Times New Roman" w:hAnsi="Times New Roman" w:eastAsia="宋体" w:cs="Times New Roman"/>
          <w:b/>
          <w:szCs w:val="24"/>
        </w:rPr>
        <w:t>（凡有下列情形之一的，投标文件无效，投标作投标</w:t>
      </w:r>
      <w:r>
        <w:rPr>
          <w:rFonts w:ascii="Times New Roman" w:hAnsi="Times New Roman" w:eastAsia="宋体" w:cs="Times New Roman"/>
          <w:b/>
          <w:szCs w:val="24"/>
        </w:rPr>
        <w:t>无效</w:t>
      </w:r>
      <w:r>
        <w:rPr>
          <w:rFonts w:hint="eastAsia" w:ascii="Times New Roman" w:hAnsi="Times New Roman" w:eastAsia="宋体" w:cs="Times New Roman"/>
          <w:b/>
          <w:szCs w:val="24"/>
        </w:rPr>
        <w:t>处理）</w:t>
      </w:r>
    </w:p>
    <w:tbl>
      <w:tblPr>
        <w:tblStyle w:val="4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6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pPr>
              <w:jc w:val="center"/>
              <w:rPr>
                <w:rFonts w:ascii="Times New Roman" w:hAnsi="Times New Roman" w:eastAsia="宋体" w:cs="Times New Roman"/>
                <w:szCs w:val="24"/>
              </w:rPr>
            </w:pPr>
            <w:r>
              <w:rPr>
                <w:rFonts w:hint="eastAsia" w:ascii="Times New Roman" w:hAnsi="Times New Roman" w:eastAsia="宋体" w:cs="Times New Roman"/>
                <w:szCs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1</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投标人不具备招标文件所列的资格要求，并未提交相应的资格证明资料（详见招标公告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pPr>
              <w:jc w:val="center"/>
              <w:rPr>
                <w:rFonts w:ascii="Times New Roman" w:hAnsi="Times New Roman" w:eastAsia="宋体" w:cs="Times New Roman"/>
                <w:szCs w:val="24"/>
              </w:rPr>
            </w:pPr>
            <w:r>
              <w:rPr>
                <w:rFonts w:hint="eastAsia" w:ascii="Times New Roman" w:hAnsi="Times New Roman" w:eastAsia="宋体" w:cs="Times New Roman"/>
                <w:szCs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2</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将一个包或一个标段的内容拆开投标；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3</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招标文件未规定允许有替代方案时，对同一服务投标时，提供两套以上的投标方案；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4</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投标总价或分项报价高于财政预算限额的；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5</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同一项目出现两个以上报价；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hint="eastAsia" w:ascii="Times New Roman" w:hAnsi="Times New Roman" w:eastAsia="宋体" w:cs="Times New Roman"/>
                <w:szCs w:val="24"/>
              </w:rPr>
              <w:t>6</w:t>
            </w:r>
          </w:p>
        </w:tc>
        <w:tc>
          <w:tcPr>
            <w:tcW w:w="6907" w:type="dxa"/>
          </w:tcPr>
          <w:p>
            <w:pPr>
              <w:rPr>
                <w:rFonts w:ascii="Times New Roman" w:hAnsi="Times New Roman" w:eastAsia="宋体" w:cs="Times New Roman"/>
                <w:szCs w:val="24"/>
              </w:rPr>
            </w:pPr>
            <w:r>
              <w:rPr>
                <w:rFonts w:ascii="Times New Roman" w:hAnsi="Times New Roman" w:eastAsia="宋体" w:cs="Times New Roman"/>
                <w:szCs w:val="24"/>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7</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投标文件载明的招标项目服务期限不满足招标文件要求；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8</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所投投标方案、服务内容在质量、技术、方案等方面没有实质性满足招标文件要求的（是否实质性满足招标文件要求，由评标委员会来做出评判）；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9</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未按招标文件所提供的样式填写投标函，或未按招标文件对投标文件组成的要求提供投标文件的（投标文件组成不完整）；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10</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投标报价有严重缺漏项目或对招标文件规定的服务清单项目及数量进行修改；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hint="eastAsia" w:ascii="Times New Roman" w:hAnsi="Times New Roman" w:eastAsia="宋体" w:cs="Times New Roman"/>
                <w:szCs w:val="24"/>
              </w:rPr>
              <w:t>1</w:t>
            </w:r>
            <w:r>
              <w:rPr>
                <w:rFonts w:ascii="Times New Roman" w:hAnsi="Times New Roman" w:eastAsia="宋体" w:cs="Times New Roman"/>
                <w:szCs w:val="24"/>
              </w:rPr>
              <w:t>1</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法律、法规规定的其他情形。</w:t>
            </w:r>
          </w:p>
        </w:tc>
      </w:tr>
    </w:tbl>
    <w:p>
      <w:pPr>
        <w:rPr>
          <w:rFonts w:ascii="Times New Roman" w:hAnsi="Times New Roman" w:eastAsia="宋体" w:cs="Times New Roman"/>
          <w:szCs w:val="24"/>
        </w:rPr>
      </w:pPr>
      <w:r>
        <w:rPr>
          <w:rFonts w:hint="eastAsia" w:ascii="Times New Roman" w:hAnsi="Times New Roman" w:eastAsia="宋体" w:cs="Times New Roman"/>
          <w:szCs w:val="24"/>
        </w:rPr>
        <w:t>《资格性审查表》和《符合性审查表》初审不通过，按投标无效处理。</w:t>
      </w:r>
    </w:p>
    <w:p>
      <w:pPr>
        <w:keepNext/>
        <w:keepLines/>
        <w:adjustRightInd w:val="0"/>
        <w:spacing w:before="260" w:after="260"/>
        <w:jc w:val="center"/>
        <w:textAlignment w:val="baseline"/>
        <w:outlineLvl w:val="1"/>
        <w:rPr>
          <w:rFonts w:ascii="宋体" w:hAnsi="宋体" w:eastAsia="宋体" w:cs="Times New Roman"/>
          <w:b/>
          <w:bCs/>
          <w:kern w:val="0"/>
          <w:sz w:val="36"/>
          <w:szCs w:val="20"/>
        </w:rPr>
      </w:pPr>
      <w:r>
        <w:rPr>
          <w:rFonts w:ascii="宋体" w:hAnsi="宋体" w:eastAsia="宋体" w:cs="Times New Roman"/>
          <w:b/>
          <w:bCs/>
          <w:kern w:val="0"/>
          <w:sz w:val="36"/>
          <w:szCs w:val="20"/>
        </w:rPr>
        <w:t>评标信息</w:t>
      </w:r>
    </w:p>
    <w:p>
      <w:pPr>
        <w:rPr>
          <w:rFonts w:ascii="Times New Roman" w:hAnsi="Times New Roman" w:eastAsia="宋体" w:cs="Times New Roman"/>
          <w:szCs w:val="24"/>
        </w:rPr>
      </w:pPr>
      <w:r>
        <w:rPr>
          <w:rFonts w:hint="eastAsia" w:ascii="Times New Roman" w:hAnsi="Times New Roman" w:eastAsia="宋体" w:cs="Times New Roman"/>
          <w:szCs w:val="24"/>
        </w:rPr>
        <w:t>评标方法：综合评分法，本项目推荐候选中标供应商数量为</w:t>
      </w:r>
      <w:r>
        <w:rPr>
          <w:rFonts w:ascii="Times New Roman" w:hAnsi="Times New Roman" w:eastAsia="宋体" w:cs="Times New Roman"/>
          <w:szCs w:val="24"/>
        </w:rPr>
        <w:t xml:space="preserve"> 1 家，中标供应商数量为 1 家。</w:t>
      </w:r>
    </w:p>
    <w:p>
      <w:pPr>
        <w:rPr>
          <w:rFonts w:ascii="Times New Roman" w:hAnsi="Times New Roman" w:eastAsia="宋体" w:cs="Times New Roman"/>
          <w:szCs w:val="24"/>
        </w:rPr>
      </w:pPr>
      <w:r>
        <w:rPr>
          <w:rFonts w:hint="eastAsia" w:ascii="Times New Roman" w:hAnsi="Times New Roman" w:eastAsia="宋体" w:cs="Times New Roman"/>
          <w:szCs w:val="24"/>
        </w:rPr>
        <w:t>评标方法说明：</w:t>
      </w:r>
    </w:p>
    <w:p>
      <w:pPr>
        <w:rPr>
          <w:rFonts w:ascii="Times New Roman" w:hAnsi="Times New Roman" w:eastAsia="宋体" w:cs="Times New Roman"/>
          <w:szCs w:val="24"/>
        </w:rPr>
      </w:pPr>
      <w:r>
        <w:rPr>
          <w:rFonts w:hint="eastAsia" w:ascii="Times New Roman" w:hAnsi="Times New Roman" w:eastAsia="宋体" w:cs="Times New Roman"/>
          <w:szCs w:val="24"/>
        </w:rPr>
        <w:t>评标方法</w:t>
      </w:r>
    </w:p>
    <w:p>
      <w:pPr>
        <w:adjustRightInd w:val="0"/>
        <w:snapToGrid w:val="0"/>
        <w:spacing w:line="480" w:lineRule="auto"/>
        <w:ind w:firstLine="420" w:firstLineChars="200"/>
        <w:jc w:val="left"/>
        <w:rPr>
          <w:rFonts w:ascii="Times New Roman" w:hAnsi="Times New Roman" w:eastAsia="宋体" w:cs="Times New Roman"/>
          <w:szCs w:val="24"/>
        </w:rPr>
      </w:pPr>
      <w:r>
        <w:rPr>
          <w:rFonts w:ascii="Times New Roman" w:hAnsi="Times New Roman" w:eastAsia="宋体" w:cs="Times New Roman"/>
          <w:szCs w:val="24"/>
        </w:rPr>
        <w:t>价格分采用低价优先法计算，即满足招标文件要求且投标价格最低的投标报价为评标基准价，其价格分为满分。其他投标人的价格分按照下列公式计算：</w:t>
      </w:r>
    </w:p>
    <w:p>
      <w:pPr>
        <w:adjustRightInd w:val="0"/>
        <w:snapToGrid w:val="0"/>
        <w:spacing w:line="480" w:lineRule="auto"/>
        <w:ind w:firstLine="420"/>
        <w:jc w:val="left"/>
        <w:rPr>
          <w:rFonts w:ascii="Times New Roman" w:hAnsi="Times New Roman" w:eastAsia="宋体" w:cs="Times New Roman"/>
          <w:szCs w:val="24"/>
        </w:rPr>
      </w:pPr>
      <w:r>
        <w:rPr>
          <w:rFonts w:ascii="Times New Roman" w:hAnsi="Times New Roman" w:eastAsia="宋体" w:cs="Times New Roman"/>
          <w:szCs w:val="24"/>
        </w:rPr>
        <w:t>价格分 = (评标基准价／投标报价)×100</w:t>
      </w:r>
    </w:p>
    <w:p>
      <w:pPr>
        <w:adjustRightInd w:val="0"/>
        <w:snapToGrid w:val="0"/>
        <w:spacing w:line="480" w:lineRule="auto"/>
        <w:jc w:val="left"/>
        <w:rPr>
          <w:rFonts w:ascii="Times New Roman" w:hAnsi="Times New Roman" w:eastAsia="宋体" w:cs="Times New Roman"/>
          <w:szCs w:val="24"/>
        </w:rPr>
      </w:pPr>
      <w:r>
        <w:rPr>
          <w:rFonts w:ascii="Times New Roman" w:hAnsi="Times New Roman" w:eastAsia="宋体" w:cs="Times New Roman"/>
          <w:szCs w:val="24"/>
        </w:rPr>
        <w:t>　　评标总得分＝F1×A1＋F2×A2＋……＋Fn×An</w:t>
      </w:r>
    </w:p>
    <w:p>
      <w:pPr>
        <w:adjustRightInd w:val="0"/>
        <w:snapToGrid w:val="0"/>
        <w:spacing w:line="480" w:lineRule="auto"/>
        <w:jc w:val="left"/>
        <w:rPr>
          <w:rFonts w:ascii="Times New Roman" w:hAnsi="Times New Roman" w:eastAsia="宋体" w:cs="Times New Roman"/>
          <w:szCs w:val="24"/>
        </w:rPr>
      </w:pPr>
      <w:r>
        <w:rPr>
          <w:rFonts w:ascii="Times New Roman" w:hAnsi="Times New Roman" w:eastAsia="宋体" w:cs="Times New Roman"/>
          <w:szCs w:val="24"/>
        </w:rPr>
        <w:t>　　F1、F2……Fn分别为各项评审因素的得分；</w:t>
      </w:r>
    </w:p>
    <w:p>
      <w:pPr>
        <w:adjustRightInd w:val="0"/>
        <w:snapToGrid w:val="0"/>
        <w:spacing w:line="480" w:lineRule="auto"/>
        <w:ind w:firstLine="420"/>
        <w:jc w:val="left"/>
        <w:rPr>
          <w:rFonts w:ascii="Times New Roman" w:hAnsi="Times New Roman" w:eastAsia="宋体" w:cs="Times New Roman"/>
          <w:szCs w:val="24"/>
        </w:rPr>
      </w:pPr>
      <w:r>
        <w:rPr>
          <w:rFonts w:ascii="Times New Roman" w:hAnsi="Times New Roman" w:eastAsia="宋体" w:cs="Times New Roman"/>
          <w:szCs w:val="24"/>
        </w:rPr>
        <w:t>A1、A2、……An 分别为各项评审因素所占的权重(A1＋A2＋……＋An＝1)。</w:t>
      </w:r>
    </w:p>
    <w:p>
      <w:pPr>
        <w:rPr>
          <w:rFonts w:ascii="Times New Roman" w:hAnsi="Times New Roman" w:eastAsia="宋体" w:cs="Times New Roman"/>
          <w:szCs w:val="24"/>
        </w:rPr>
      </w:pPr>
      <w:r>
        <w:rPr>
          <w:rFonts w:ascii="Times New Roman" w:hAnsi="Times New Roman" w:eastAsia="宋体" w:cs="Times New Roman"/>
          <w:szCs w:val="24"/>
        </w:rPr>
        <w:t>主观评分的评审因素的得分是所有评委打分的算数平均值（不得扣除最高分和最低分）。</w:t>
      </w:r>
    </w:p>
    <w:tbl>
      <w:tblPr>
        <w:tblStyle w:val="42"/>
        <w:tblW w:w="86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8"/>
        <w:gridCol w:w="683"/>
        <w:gridCol w:w="1900"/>
        <w:gridCol w:w="850"/>
        <w:gridCol w:w="1250"/>
        <w:gridCol w:w="3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8"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Times New Roman" w:eastAsia="Times New Roman"/>
              </w:rPr>
              <w:t>序号</w:t>
            </w:r>
          </w:p>
        </w:tc>
        <w:tc>
          <w:tcPr>
            <w:tcW w:w="4683"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Times New Roman" w:eastAsia="Times New Roman"/>
              </w:rPr>
              <w:t>评分项</w:t>
            </w:r>
          </w:p>
        </w:tc>
        <w:tc>
          <w:tcPr>
            <w:tcW w:w="3250"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Times New Roman" w:eastAsia="Times New Roman"/>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8"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1</w:t>
            </w:r>
          </w:p>
        </w:tc>
        <w:tc>
          <w:tcPr>
            <w:tcW w:w="4683"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Times New Roman" w:eastAsia="Times New Roman"/>
              </w:rPr>
              <w:t>价格</w:t>
            </w:r>
          </w:p>
        </w:tc>
        <w:tc>
          <w:tcPr>
            <w:tcW w:w="3250" w:type="dxa"/>
            <w:tcBorders>
              <w:top w:val="single" w:color="auto" w:sz="4" w:space="0"/>
              <w:left w:val="single" w:color="auto" w:sz="4" w:space="0"/>
              <w:bottom w:val="single" w:color="auto" w:sz="4" w:space="0"/>
              <w:right w:val="single" w:color="auto" w:sz="4" w:space="0"/>
            </w:tcBorders>
          </w:tcPr>
          <w:p>
            <w:pPr>
              <w:jc w:val="center"/>
              <w:rPr>
                <w:rFonts w:ascii="宋体" w:hAnsi="Times New Roman"/>
              </w:rPr>
            </w:pPr>
            <w:r>
              <w:rPr>
                <w:rFonts w:hint="eastAsia" w:ascii="宋体" w:hAnsi="Times New Roma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8"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2</w:t>
            </w:r>
          </w:p>
        </w:tc>
        <w:tc>
          <w:tcPr>
            <w:tcW w:w="4683"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Times New Roman" w:eastAsia="Times New Roman"/>
              </w:rPr>
              <w:t>技术部分</w:t>
            </w:r>
          </w:p>
        </w:tc>
        <w:tc>
          <w:tcPr>
            <w:tcW w:w="3250" w:type="dxa"/>
            <w:tcBorders>
              <w:top w:val="single" w:color="auto" w:sz="4" w:space="0"/>
              <w:left w:val="single" w:color="auto" w:sz="4" w:space="0"/>
              <w:bottom w:val="single" w:color="auto" w:sz="4" w:space="0"/>
              <w:right w:val="single" w:color="auto" w:sz="4" w:space="0"/>
            </w:tcBorders>
          </w:tcPr>
          <w:p>
            <w:pPr>
              <w:jc w:val="center"/>
              <w:rPr>
                <w:rFonts w:ascii="宋体" w:hAnsi="Times New Roman"/>
              </w:rPr>
            </w:pPr>
            <w:r>
              <w:rPr>
                <w:rFonts w:hint="eastAsia" w:ascii="宋体" w:hAnsi="Times New Roman"/>
              </w:rPr>
              <w:t>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trPr>
        <w:tc>
          <w:tcPr>
            <w:tcW w:w="728" w:type="dxa"/>
            <w:vMerge w:val="restart"/>
            <w:tcBorders>
              <w:top w:val="single" w:color="auto" w:sz="4" w:space="0"/>
              <w:left w:val="single" w:color="auto" w:sz="4" w:space="0"/>
              <w:right w:val="single" w:color="auto" w:sz="4" w:space="0"/>
            </w:tcBorders>
          </w:tcPr>
          <w:p>
            <w:pPr>
              <w:jc w:val="center"/>
              <w:rPr>
                <w:rFonts w:ascii="宋体" w:hAnsi="宋体"/>
              </w:rPr>
            </w:pPr>
          </w:p>
        </w:tc>
        <w:tc>
          <w:tcPr>
            <w:tcW w:w="683"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Times New Roman" w:eastAsia="Times New Roman"/>
              </w:rPr>
              <w:t>序号</w:t>
            </w:r>
          </w:p>
        </w:tc>
        <w:tc>
          <w:tcPr>
            <w:tcW w:w="1900"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Times New Roman" w:eastAsia="Times New Roman"/>
              </w:rPr>
              <w:t>评分因素</w:t>
            </w:r>
          </w:p>
        </w:tc>
        <w:tc>
          <w:tcPr>
            <w:tcW w:w="850"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Times New Roman" w:eastAsia="Times New Roman"/>
              </w:rPr>
              <w:t>权重</w:t>
            </w:r>
          </w:p>
        </w:tc>
        <w:tc>
          <w:tcPr>
            <w:tcW w:w="1250"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Times New Roman" w:eastAsia="Times New Roman"/>
              </w:rPr>
              <w:t>评分方式</w:t>
            </w:r>
          </w:p>
        </w:tc>
        <w:tc>
          <w:tcPr>
            <w:tcW w:w="3250"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Times New Roman" w:eastAsia="Times New Roman"/>
              </w:rPr>
              <w:t>评分准则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trPr>
        <w:tc>
          <w:tcPr>
            <w:tcW w:w="728" w:type="dxa"/>
            <w:vMerge w:val="continue"/>
            <w:tcBorders>
              <w:top w:val="single" w:color="auto" w:sz="4" w:space="0"/>
              <w:left w:val="single" w:color="auto" w:sz="4" w:space="0"/>
              <w:right w:val="single" w:color="auto" w:sz="4" w:space="0"/>
            </w:tcBorders>
          </w:tcPr>
          <w:p/>
        </w:tc>
        <w:tc>
          <w:tcPr>
            <w:tcW w:w="683"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1</w:t>
            </w:r>
          </w:p>
        </w:tc>
        <w:tc>
          <w:tcPr>
            <w:tcW w:w="1900"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Times New Roman" w:eastAsia="Times New Roman"/>
              </w:rPr>
              <w:t>实施方案（工作措施、工作方法、工作手段、工作流程）</w:t>
            </w:r>
          </w:p>
        </w:tc>
        <w:tc>
          <w:tcPr>
            <w:tcW w:w="850" w:type="dxa"/>
            <w:tcBorders>
              <w:top w:val="single" w:color="auto" w:sz="4" w:space="0"/>
              <w:left w:val="single" w:color="auto" w:sz="4" w:space="0"/>
              <w:bottom w:val="single" w:color="auto" w:sz="4" w:space="0"/>
              <w:right w:val="single" w:color="auto" w:sz="4" w:space="0"/>
            </w:tcBorders>
          </w:tcPr>
          <w:p>
            <w:pPr>
              <w:jc w:val="center"/>
              <w:rPr>
                <w:rFonts w:ascii="宋体" w:hAnsi="Times New Roman"/>
              </w:rPr>
            </w:pPr>
            <w:r>
              <w:rPr>
                <w:rFonts w:hint="eastAsia" w:ascii="宋体" w:hAnsi="Times New Roman"/>
              </w:rPr>
              <w:t>15</w:t>
            </w:r>
          </w:p>
        </w:tc>
        <w:tc>
          <w:tcPr>
            <w:tcW w:w="1250"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Times New Roman" w:eastAsia="Times New Roman"/>
              </w:rPr>
              <w:t>专家打分</w:t>
            </w:r>
          </w:p>
        </w:tc>
        <w:tc>
          <w:tcPr>
            <w:tcW w:w="3250"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rPr>
            </w:pPr>
            <w:r>
              <w:rPr>
                <w:rFonts w:ascii="Times New Roman" w:hAnsi="Times New Roman" w:eastAsia="宋体" w:cs="Times New Roman"/>
                <w:szCs w:val="21"/>
              </w:rPr>
              <w:t>评审内容：</w:t>
            </w:r>
          </w:p>
          <w:p>
            <w:pPr>
              <w:jc w:val="left"/>
              <w:rPr>
                <w:rFonts w:ascii="Times New Roman" w:hAnsi="Times New Roman"/>
              </w:rPr>
            </w:pPr>
            <w:r>
              <w:rPr>
                <w:rFonts w:hint="eastAsia" w:ascii="Times New Roman" w:hAnsi="Times New Roman" w:eastAsia="宋体" w:cs="Times New Roman"/>
                <w:szCs w:val="21"/>
              </w:rPr>
              <w:t>（1）项目实施方案内容全面；</w:t>
            </w:r>
          </w:p>
          <w:p>
            <w:pPr>
              <w:jc w:val="left"/>
              <w:rPr>
                <w:rFonts w:ascii="Times New Roman" w:hAnsi="Times New Roman"/>
              </w:rPr>
            </w:pPr>
            <w:r>
              <w:rPr>
                <w:rFonts w:hint="eastAsia" w:ascii="Times New Roman" w:hAnsi="Times New Roman" w:eastAsia="宋体" w:cs="Times New Roman"/>
                <w:szCs w:val="21"/>
              </w:rPr>
              <w:t>（2）项目实施方案内容具体；</w:t>
            </w:r>
          </w:p>
          <w:p>
            <w:pPr>
              <w:jc w:val="left"/>
              <w:rPr>
                <w:rFonts w:ascii="Times New Roman" w:hAnsi="Times New Roman"/>
              </w:rPr>
            </w:pPr>
            <w:r>
              <w:rPr>
                <w:rFonts w:hint="eastAsia" w:ascii="Times New Roman" w:hAnsi="Times New Roman" w:eastAsia="宋体" w:cs="Times New Roman"/>
                <w:szCs w:val="21"/>
              </w:rPr>
              <w:t>（3）项目实施方案内容针对性强；</w:t>
            </w:r>
          </w:p>
          <w:p>
            <w:pPr>
              <w:jc w:val="left"/>
              <w:rPr>
                <w:rFonts w:ascii="Times New Roman" w:hAnsi="Times New Roman"/>
              </w:rPr>
            </w:pPr>
            <w:r>
              <w:rPr>
                <w:rFonts w:hint="eastAsia" w:ascii="Times New Roman" w:hAnsi="Times New Roman" w:eastAsia="宋体" w:cs="Times New Roman"/>
                <w:szCs w:val="21"/>
              </w:rPr>
              <w:t>（4）项目实施方案内容科学合理；</w:t>
            </w:r>
          </w:p>
          <w:p>
            <w:pPr>
              <w:jc w:val="left"/>
              <w:rPr>
                <w:rFonts w:ascii="Times New Roman" w:hAnsi="Times New Roman"/>
              </w:rPr>
            </w:pPr>
            <w:r>
              <w:rPr>
                <w:rFonts w:hint="eastAsia" w:ascii="Times New Roman" w:hAnsi="Times New Roman" w:eastAsia="宋体" w:cs="Times New Roman"/>
                <w:szCs w:val="21"/>
              </w:rPr>
              <w:t>（5）项目实施方案内容可操作性强。</w:t>
            </w:r>
          </w:p>
          <w:p>
            <w:pPr>
              <w:jc w:val="center"/>
              <w:rPr>
                <w:rFonts w:ascii="宋体" w:hAnsi="宋体"/>
              </w:rPr>
            </w:pPr>
            <w:r>
              <w:rPr>
                <w:rFonts w:hint="eastAsia" w:ascii="Times New Roman" w:hAnsi="Times New Roman" w:eastAsia="宋体" w:cs="Times New Roman"/>
                <w:szCs w:val="21"/>
              </w:rPr>
              <w:t>满足以上五项要求得100分，满足以上四项要求得80分，满足以上三项要求得60分，其它情况不得分。</w:t>
            </w:r>
            <w:r>
              <w:rPr>
                <w:rFonts w:ascii="Times New Roman" w:hAnsi="Times New Roman" w:eastAsia="宋体" w:cs="Times New Roman"/>
                <w:szCs w:val="21"/>
              </w:rPr>
              <w:t>专家按百分制打分。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trPr>
        <w:tc>
          <w:tcPr>
            <w:tcW w:w="728" w:type="dxa"/>
            <w:vMerge w:val="continue"/>
            <w:tcBorders>
              <w:top w:val="single" w:color="auto" w:sz="4" w:space="0"/>
              <w:left w:val="single" w:color="auto" w:sz="4" w:space="0"/>
              <w:right w:val="single" w:color="auto" w:sz="4" w:space="0"/>
            </w:tcBorders>
          </w:tcPr>
          <w:p/>
        </w:tc>
        <w:tc>
          <w:tcPr>
            <w:tcW w:w="683"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2</w:t>
            </w:r>
          </w:p>
        </w:tc>
        <w:tc>
          <w:tcPr>
            <w:tcW w:w="1900" w:type="dxa"/>
            <w:tcBorders>
              <w:top w:val="single" w:color="auto" w:sz="4" w:space="0"/>
              <w:left w:val="single" w:color="auto" w:sz="4" w:space="0"/>
              <w:bottom w:val="single" w:color="auto" w:sz="4" w:space="0"/>
              <w:right w:val="single" w:color="auto" w:sz="4" w:space="0"/>
            </w:tcBorders>
          </w:tcPr>
          <w:p>
            <w:pPr>
              <w:ind w:left="525" w:hanging="525"/>
              <w:rPr>
                <w:rFonts w:ascii="宋体" w:hAnsi="宋体"/>
              </w:rPr>
            </w:pPr>
            <w:r>
              <w:rPr>
                <w:rFonts w:ascii="宋体" w:hAnsi="Times New Roman" w:eastAsia="Times New Roman"/>
              </w:rPr>
              <w:t>项目重点难点分析、应对措施及相关的合理化建议</w:t>
            </w:r>
          </w:p>
        </w:tc>
        <w:tc>
          <w:tcPr>
            <w:tcW w:w="850" w:type="dxa"/>
            <w:tcBorders>
              <w:top w:val="single" w:color="auto" w:sz="4" w:space="0"/>
              <w:left w:val="single" w:color="auto" w:sz="4" w:space="0"/>
              <w:bottom w:val="single" w:color="auto" w:sz="4" w:space="0"/>
              <w:right w:val="single" w:color="auto" w:sz="4" w:space="0"/>
            </w:tcBorders>
          </w:tcPr>
          <w:p>
            <w:pPr>
              <w:jc w:val="center"/>
              <w:rPr>
                <w:rFonts w:ascii="宋体" w:hAnsi="Times New Roman"/>
              </w:rPr>
            </w:pPr>
            <w:r>
              <w:rPr>
                <w:rFonts w:hint="eastAsia" w:ascii="宋体" w:hAnsi="Times New Roman"/>
              </w:rPr>
              <w:t>11</w:t>
            </w:r>
          </w:p>
        </w:tc>
        <w:tc>
          <w:tcPr>
            <w:tcW w:w="1250"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Times New Roman" w:eastAsia="Times New Roman"/>
              </w:rPr>
              <w:t>专家打分</w:t>
            </w:r>
          </w:p>
        </w:tc>
        <w:tc>
          <w:tcPr>
            <w:tcW w:w="3250"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rPr>
            </w:pPr>
            <w:r>
              <w:rPr>
                <w:rFonts w:ascii="Times New Roman" w:hAnsi="Times New Roman" w:eastAsia="宋体" w:cs="Times New Roman"/>
                <w:szCs w:val="21"/>
              </w:rPr>
              <w:t>评审内容：</w:t>
            </w:r>
          </w:p>
          <w:p>
            <w:pPr>
              <w:jc w:val="left"/>
              <w:rPr>
                <w:rFonts w:ascii="Times New Roman" w:hAnsi="Times New Roman"/>
              </w:rPr>
            </w:pPr>
            <w:r>
              <w:rPr>
                <w:rFonts w:hint="eastAsia" w:ascii="Times New Roman" w:hAnsi="Times New Roman" w:eastAsia="宋体" w:cs="Times New Roman"/>
                <w:szCs w:val="21"/>
              </w:rPr>
              <w:t>（1）</w:t>
            </w:r>
            <w:r>
              <w:rPr>
                <w:rFonts w:ascii="Times New Roman" w:hAnsi="Times New Roman" w:eastAsia="宋体" w:cs="Times New Roman"/>
                <w:szCs w:val="21"/>
              </w:rPr>
              <w:t xml:space="preserve">评价为优：项目重点难点分析合理透彻、突发事件应急处理措施合理完善、应对措施及相关的合理化建议全面，得100分； </w:t>
            </w:r>
          </w:p>
          <w:p>
            <w:pPr>
              <w:jc w:val="left"/>
              <w:rPr>
                <w:rFonts w:ascii="Times New Roman" w:hAnsi="Times New Roman"/>
              </w:rPr>
            </w:pPr>
            <w:r>
              <w:rPr>
                <w:rFonts w:hint="eastAsia" w:ascii="Times New Roman" w:hAnsi="Times New Roman" w:eastAsia="宋体" w:cs="Times New Roman"/>
                <w:szCs w:val="21"/>
              </w:rPr>
              <w:t>（2）</w:t>
            </w:r>
            <w:r>
              <w:rPr>
                <w:rFonts w:ascii="Times New Roman" w:hAnsi="Times New Roman" w:eastAsia="宋体" w:cs="Times New Roman"/>
                <w:szCs w:val="21"/>
              </w:rPr>
              <w:t xml:space="preserve">评价为良：项目重点难点分析合理、突发事件应急处理措施合理、应对措施及相关的合理化建议合理，得75分； </w:t>
            </w:r>
          </w:p>
          <w:p>
            <w:pPr>
              <w:jc w:val="left"/>
              <w:rPr>
                <w:rFonts w:ascii="Times New Roman" w:hAnsi="Times New Roman"/>
              </w:rPr>
            </w:pPr>
            <w:r>
              <w:rPr>
                <w:rFonts w:hint="eastAsia" w:ascii="Times New Roman" w:hAnsi="Times New Roman" w:eastAsia="宋体" w:cs="Times New Roman"/>
                <w:szCs w:val="21"/>
              </w:rPr>
              <w:t>（3）</w:t>
            </w:r>
            <w:r>
              <w:rPr>
                <w:rFonts w:ascii="Times New Roman" w:hAnsi="Times New Roman" w:eastAsia="宋体" w:cs="Times New Roman"/>
                <w:szCs w:val="21"/>
              </w:rPr>
              <w:t xml:space="preserve">评价为中：项目重点难点分析、或突发事件应急处理措施、或应对措施及相关的合理化建议其中有一项一般，得50分； </w:t>
            </w:r>
          </w:p>
          <w:p>
            <w:pPr>
              <w:jc w:val="left"/>
              <w:rPr>
                <w:rFonts w:ascii="Times New Roman" w:hAnsi="Times New Roman"/>
              </w:rPr>
            </w:pPr>
            <w:r>
              <w:rPr>
                <w:rFonts w:hint="eastAsia" w:ascii="Times New Roman" w:hAnsi="Times New Roman" w:eastAsia="宋体" w:cs="Times New Roman"/>
                <w:szCs w:val="21"/>
              </w:rPr>
              <w:t>（4）</w:t>
            </w:r>
            <w:r>
              <w:rPr>
                <w:rFonts w:ascii="Times New Roman" w:hAnsi="Times New Roman" w:eastAsia="宋体" w:cs="Times New Roman"/>
                <w:szCs w:val="21"/>
              </w:rPr>
              <w:t>评价为差：方案不合理、或缺少项目重点难点分析、或缺少突发事件应急处理措施、或缺少应对措施及相关的合理化建议，不得分。</w:t>
            </w:r>
          </w:p>
          <w:p>
            <w:pPr>
              <w:jc w:val="center"/>
              <w:rPr>
                <w:rFonts w:ascii="宋体" w:hAnsi="宋体"/>
              </w:rPr>
            </w:pPr>
            <w:r>
              <w:rPr>
                <w:rFonts w:ascii="Times New Roman" w:hAnsi="Times New Roman" w:eastAsia="宋体" w:cs="Times New Roman"/>
                <w:szCs w:val="21"/>
              </w:rPr>
              <w:t>专家按百分制打分。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trPr>
        <w:tc>
          <w:tcPr>
            <w:tcW w:w="728" w:type="dxa"/>
            <w:vMerge w:val="continue"/>
            <w:tcBorders>
              <w:top w:val="single" w:color="auto" w:sz="4" w:space="0"/>
              <w:left w:val="single" w:color="auto" w:sz="4" w:space="0"/>
              <w:right w:val="single" w:color="auto" w:sz="4" w:space="0"/>
            </w:tcBorders>
          </w:tcPr>
          <w:p/>
        </w:tc>
        <w:tc>
          <w:tcPr>
            <w:tcW w:w="683"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3</w:t>
            </w:r>
          </w:p>
        </w:tc>
        <w:tc>
          <w:tcPr>
            <w:tcW w:w="1900"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Times New Roman" w:eastAsia="Times New Roman"/>
              </w:rPr>
              <w:t>质量（完成时间、安全、环保）保障措施及方案</w:t>
            </w:r>
          </w:p>
        </w:tc>
        <w:tc>
          <w:tcPr>
            <w:tcW w:w="850"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hint="eastAsia" w:ascii="宋体" w:hAnsi="Times New Roman"/>
              </w:rPr>
              <w:t>12</w:t>
            </w:r>
          </w:p>
        </w:tc>
        <w:tc>
          <w:tcPr>
            <w:tcW w:w="1250"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Times New Roman" w:eastAsia="Times New Roman"/>
              </w:rPr>
              <w:t>专家打分</w:t>
            </w:r>
          </w:p>
        </w:tc>
        <w:tc>
          <w:tcPr>
            <w:tcW w:w="3250"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rPr>
            </w:pPr>
            <w:r>
              <w:rPr>
                <w:rFonts w:ascii="Times New Roman" w:hAnsi="Times New Roman" w:eastAsia="宋体" w:cs="Times New Roman"/>
                <w:szCs w:val="21"/>
              </w:rPr>
              <w:t>评审内容：</w:t>
            </w:r>
          </w:p>
          <w:p>
            <w:pPr>
              <w:jc w:val="left"/>
              <w:rPr>
                <w:rFonts w:ascii="Times New Roman" w:hAnsi="Times New Roman"/>
              </w:rPr>
            </w:pPr>
            <w:r>
              <w:rPr>
                <w:rFonts w:hint="eastAsia" w:ascii="Times New Roman" w:hAnsi="Times New Roman" w:eastAsia="宋体" w:cs="Times New Roman"/>
                <w:szCs w:val="21"/>
              </w:rPr>
              <w:t>（1）</w:t>
            </w:r>
            <w:r>
              <w:rPr>
                <w:rFonts w:ascii="Times New Roman" w:hAnsi="Times New Roman" w:eastAsia="宋体" w:cs="Times New Roman"/>
                <w:szCs w:val="21"/>
              </w:rPr>
              <w:t xml:space="preserve">评价为优：响应时间及时且保障措施及方案合理全面、安全保卫保障措施及方案合理完善、环保保障措施及方案合理全面，得100分； </w:t>
            </w:r>
          </w:p>
          <w:p>
            <w:pPr>
              <w:jc w:val="left"/>
              <w:rPr>
                <w:rFonts w:ascii="Times New Roman" w:hAnsi="Times New Roman"/>
              </w:rPr>
            </w:pPr>
            <w:r>
              <w:rPr>
                <w:rFonts w:hint="eastAsia" w:ascii="Times New Roman" w:hAnsi="Times New Roman" w:eastAsia="宋体" w:cs="Times New Roman"/>
                <w:szCs w:val="21"/>
              </w:rPr>
              <w:t>（2）</w:t>
            </w:r>
            <w:r>
              <w:rPr>
                <w:rFonts w:ascii="Times New Roman" w:hAnsi="Times New Roman" w:eastAsia="宋体" w:cs="Times New Roman"/>
                <w:szCs w:val="21"/>
              </w:rPr>
              <w:t xml:space="preserve">评价为良：响应时间保障措施及方案基本合理、安全保卫保障措施及方案基本合理、环保保障措施及方案基本合理，得75分； </w:t>
            </w:r>
          </w:p>
          <w:p>
            <w:pPr>
              <w:jc w:val="left"/>
              <w:rPr>
                <w:rFonts w:ascii="Times New Roman" w:hAnsi="Times New Roman"/>
              </w:rPr>
            </w:pPr>
            <w:r>
              <w:rPr>
                <w:rFonts w:hint="eastAsia" w:ascii="Times New Roman" w:hAnsi="Times New Roman" w:eastAsia="宋体" w:cs="Times New Roman"/>
                <w:szCs w:val="21"/>
              </w:rPr>
              <w:t>（3）</w:t>
            </w:r>
            <w:r>
              <w:rPr>
                <w:rFonts w:ascii="Times New Roman" w:hAnsi="Times New Roman" w:eastAsia="宋体" w:cs="Times New Roman"/>
                <w:szCs w:val="21"/>
              </w:rPr>
              <w:t xml:space="preserve">评价为中：响应时间、或安全保卫、或环保等保障措施及方案其中有一项一般，得50分； </w:t>
            </w:r>
          </w:p>
          <w:p>
            <w:pPr>
              <w:jc w:val="center"/>
              <w:rPr>
                <w:rFonts w:ascii="Times New Roman" w:hAnsi="Times New Roman" w:eastAsia="宋体" w:cs="Times New Roman"/>
                <w:szCs w:val="21"/>
              </w:rPr>
            </w:pPr>
            <w:r>
              <w:rPr>
                <w:rFonts w:hint="eastAsia" w:ascii="Times New Roman" w:hAnsi="Times New Roman" w:eastAsia="宋体" w:cs="Times New Roman"/>
                <w:szCs w:val="21"/>
              </w:rPr>
              <w:t>（4）</w:t>
            </w:r>
            <w:r>
              <w:rPr>
                <w:rFonts w:ascii="Times New Roman" w:hAnsi="Times New Roman" w:eastAsia="宋体" w:cs="Times New Roman"/>
                <w:szCs w:val="21"/>
              </w:rPr>
              <w:t>评价为差：缺少响应时间、或安全保卫、或环保等保障措施及方案中其中的一项，不得分。</w:t>
            </w:r>
          </w:p>
          <w:p>
            <w:pPr>
              <w:jc w:val="center"/>
              <w:rPr>
                <w:rFonts w:ascii="宋体" w:hAnsi="宋体"/>
              </w:rPr>
            </w:pPr>
            <w:r>
              <w:rPr>
                <w:rFonts w:ascii="Times New Roman" w:hAnsi="Times New Roman" w:eastAsia="宋体" w:cs="Times New Roman"/>
                <w:szCs w:val="21"/>
              </w:rPr>
              <w:t>专家按百分制打分。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trPr>
        <w:tc>
          <w:tcPr>
            <w:tcW w:w="728" w:type="dxa"/>
            <w:vMerge w:val="continue"/>
            <w:tcBorders>
              <w:top w:val="single" w:color="auto" w:sz="4" w:space="0"/>
              <w:left w:val="single" w:color="auto" w:sz="4" w:space="0"/>
              <w:right w:val="single" w:color="auto" w:sz="4" w:space="0"/>
            </w:tcBorders>
          </w:tcPr>
          <w:p/>
        </w:tc>
        <w:tc>
          <w:tcPr>
            <w:tcW w:w="683"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Times New Roman" w:eastAsia="Times New Roman"/>
              </w:rPr>
              <w:t>4</w:t>
            </w:r>
          </w:p>
        </w:tc>
        <w:tc>
          <w:tcPr>
            <w:tcW w:w="1900"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Times New Roman" w:eastAsia="Times New Roman"/>
              </w:rPr>
              <w:t>项目完成（服务期满）后的服务承诺</w:t>
            </w:r>
          </w:p>
        </w:tc>
        <w:tc>
          <w:tcPr>
            <w:tcW w:w="850"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hint="eastAsia" w:ascii="宋体" w:hAnsi="Times New Roman"/>
              </w:rPr>
              <w:t>2</w:t>
            </w:r>
          </w:p>
        </w:tc>
        <w:tc>
          <w:tcPr>
            <w:tcW w:w="1250"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Times New Roman" w:eastAsia="Times New Roman"/>
              </w:rPr>
              <w:t>专家打分</w:t>
            </w:r>
          </w:p>
        </w:tc>
        <w:tc>
          <w:tcPr>
            <w:tcW w:w="3250"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rPr>
            </w:pPr>
            <w:r>
              <w:rPr>
                <w:rFonts w:ascii="Times New Roman" w:hAnsi="Times New Roman" w:eastAsia="宋体" w:cs="Times New Roman"/>
                <w:szCs w:val="21"/>
              </w:rPr>
              <w:t>评审内容：</w:t>
            </w:r>
          </w:p>
          <w:p>
            <w:pPr>
              <w:jc w:val="left"/>
              <w:rPr>
                <w:rFonts w:ascii="Times New Roman" w:hAnsi="Times New Roman" w:eastAsia="宋体" w:cs="Times New Roman"/>
                <w:szCs w:val="21"/>
              </w:rPr>
            </w:pPr>
            <w:r>
              <w:rPr>
                <w:rFonts w:ascii="Times New Roman" w:hAnsi="Times New Roman" w:eastAsia="宋体" w:cs="Times New Roman"/>
                <w:szCs w:val="21"/>
              </w:rPr>
              <w:t>重点考察售后服务期限、响应效率、服务方式、售后服务工作流程、售后服务内容等</w:t>
            </w:r>
          </w:p>
          <w:p>
            <w:pPr>
              <w:jc w:val="left"/>
              <w:rPr>
                <w:rFonts w:ascii="Times New Roman" w:hAnsi="Times New Roman"/>
              </w:rPr>
            </w:pPr>
            <w:r>
              <w:rPr>
                <w:rFonts w:hint="eastAsia" w:ascii="Times New Roman" w:hAnsi="Times New Roman" w:eastAsia="宋体" w:cs="Times New Roman"/>
                <w:szCs w:val="21"/>
              </w:rPr>
              <w:t>评分标准：</w:t>
            </w:r>
          </w:p>
          <w:p>
            <w:pPr>
              <w:jc w:val="left"/>
              <w:rPr>
                <w:rFonts w:ascii="Times New Roman" w:hAnsi="Times New Roman"/>
              </w:rPr>
            </w:pPr>
            <w:r>
              <w:rPr>
                <w:rFonts w:ascii="Times New Roman" w:hAnsi="Times New Roman" w:eastAsia="宋体" w:cs="Times New Roman"/>
                <w:szCs w:val="21"/>
              </w:rPr>
              <w:t>（1）售后服务切实可行。</w:t>
            </w:r>
          </w:p>
          <w:p>
            <w:pPr>
              <w:jc w:val="left"/>
              <w:rPr>
                <w:rFonts w:ascii="Times New Roman" w:hAnsi="Times New Roman"/>
              </w:rPr>
            </w:pPr>
            <w:r>
              <w:rPr>
                <w:rFonts w:ascii="Times New Roman" w:hAnsi="Times New Roman" w:eastAsia="宋体" w:cs="Times New Roman"/>
                <w:szCs w:val="21"/>
              </w:rPr>
              <w:t>（2）售后服务</w:t>
            </w:r>
            <w:r>
              <w:rPr>
                <w:rFonts w:hint="eastAsia" w:ascii="Times New Roman" w:hAnsi="Times New Roman" w:eastAsia="宋体" w:cs="Times New Roman"/>
                <w:szCs w:val="21"/>
              </w:rPr>
              <w:t>响应</w:t>
            </w:r>
            <w:r>
              <w:rPr>
                <w:rFonts w:ascii="Times New Roman" w:hAnsi="Times New Roman" w:eastAsia="宋体" w:cs="Times New Roman"/>
                <w:szCs w:val="21"/>
              </w:rPr>
              <w:t>时间明确。</w:t>
            </w:r>
          </w:p>
          <w:p>
            <w:pPr>
              <w:jc w:val="left"/>
              <w:rPr>
                <w:rFonts w:ascii="Times New Roman" w:hAnsi="Times New Roman"/>
              </w:rPr>
            </w:pPr>
            <w:r>
              <w:rPr>
                <w:rFonts w:ascii="Times New Roman" w:hAnsi="Times New Roman" w:eastAsia="宋体" w:cs="Times New Roman"/>
                <w:szCs w:val="21"/>
              </w:rPr>
              <w:t>（3）售后服务工作流程完整清晰。</w:t>
            </w:r>
          </w:p>
          <w:p>
            <w:pPr>
              <w:jc w:val="left"/>
              <w:rPr>
                <w:rFonts w:ascii="Times New Roman" w:hAnsi="Times New Roman"/>
              </w:rPr>
            </w:pPr>
            <w:r>
              <w:rPr>
                <w:rFonts w:ascii="Times New Roman" w:hAnsi="Times New Roman" w:eastAsia="宋体" w:cs="Times New Roman"/>
                <w:szCs w:val="21"/>
              </w:rPr>
              <w:t>满足以上三项要求得100分，满足以上两项要求得75分，满足以上一项要求得50分，其它情况不得分。</w:t>
            </w:r>
          </w:p>
          <w:p>
            <w:pPr>
              <w:rPr>
                <w:rFonts w:ascii="宋体" w:hAnsi="宋体"/>
              </w:rPr>
            </w:pPr>
            <w:r>
              <w:rPr>
                <w:rFonts w:ascii="Times New Roman" w:hAnsi="Times New Roman" w:eastAsia="宋体" w:cs="Times New Roman"/>
                <w:szCs w:val="21"/>
              </w:rPr>
              <w:t>专家按百分制打分。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trPr>
        <w:tc>
          <w:tcPr>
            <w:tcW w:w="728" w:type="dxa"/>
            <w:vMerge w:val="continue"/>
            <w:tcBorders>
              <w:top w:val="single" w:color="auto" w:sz="4" w:space="0"/>
              <w:left w:val="single" w:color="auto" w:sz="4" w:space="0"/>
              <w:right w:val="single" w:color="auto" w:sz="4" w:space="0"/>
            </w:tcBorders>
          </w:tcPr>
          <w:p/>
        </w:tc>
        <w:tc>
          <w:tcPr>
            <w:tcW w:w="683"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Times New Roman" w:eastAsia="Times New Roman"/>
              </w:rPr>
              <w:t>5</w:t>
            </w:r>
          </w:p>
        </w:tc>
        <w:tc>
          <w:tcPr>
            <w:tcW w:w="1900"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Times New Roman" w:eastAsia="Times New Roman"/>
              </w:rPr>
              <w:t>违约承诺</w:t>
            </w:r>
          </w:p>
        </w:tc>
        <w:tc>
          <w:tcPr>
            <w:tcW w:w="850"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hint="eastAsia" w:ascii="宋体" w:hAnsi="Times New Roman"/>
              </w:rPr>
              <w:t>3</w:t>
            </w:r>
          </w:p>
        </w:tc>
        <w:tc>
          <w:tcPr>
            <w:tcW w:w="1250"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Times New Roman" w:eastAsia="Times New Roman"/>
              </w:rPr>
              <w:t>专家打分</w:t>
            </w:r>
          </w:p>
        </w:tc>
        <w:tc>
          <w:tcPr>
            <w:tcW w:w="3250"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rPr>
            </w:pPr>
            <w:r>
              <w:rPr>
                <w:rFonts w:ascii="Times New Roman" w:hAnsi="Times New Roman" w:eastAsia="宋体" w:cs="Times New Roman"/>
                <w:szCs w:val="21"/>
              </w:rPr>
              <w:t>评审内容：</w:t>
            </w:r>
          </w:p>
          <w:p>
            <w:pPr>
              <w:jc w:val="left"/>
              <w:rPr>
                <w:rFonts w:ascii="Times New Roman" w:hAnsi="Times New Roman"/>
              </w:rPr>
            </w:pPr>
            <w:r>
              <w:rPr>
                <w:rFonts w:hint="eastAsia" w:ascii="Times New Roman" w:hAnsi="Times New Roman" w:eastAsia="宋体" w:cs="Times New Roman"/>
                <w:szCs w:val="21"/>
              </w:rPr>
              <w:t>投标人中标后对项目的履约承诺和违约赔偿承诺。</w:t>
            </w:r>
          </w:p>
          <w:p>
            <w:pPr>
              <w:jc w:val="left"/>
              <w:rPr>
                <w:rFonts w:ascii="Times New Roman" w:hAnsi="Times New Roman"/>
              </w:rPr>
            </w:pPr>
            <w:r>
              <w:rPr>
                <w:rFonts w:hint="eastAsia" w:ascii="Times New Roman" w:hAnsi="Times New Roman" w:eastAsia="宋体" w:cs="Times New Roman"/>
                <w:szCs w:val="21"/>
              </w:rPr>
              <w:t>评分标准：</w:t>
            </w:r>
          </w:p>
          <w:p>
            <w:pPr>
              <w:jc w:val="left"/>
              <w:rPr>
                <w:rFonts w:ascii="Times New Roman" w:hAnsi="Times New Roman"/>
              </w:rPr>
            </w:pPr>
            <w:r>
              <w:rPr>
                <w:rFonts w:hint="eastAsia" w:ascii="Times New Roman" w:hAnsi="Times New Roman" w:eastAsia="宋体" w:cs="Times New Roman"/>
                <w:szCs w:val="21"/>
              </w:rPr>
              <w:t>（</w:t>
            </w:r>
            <w:r>
              <w:rPr>
                <w:rFonts w:ascii="Times New Roman" w:hAnsi="Times New Roman" w:eastAsia="宋体" w:cs="Times New Roman"/>
                <w:szCs w:val="21"/>
              </w:rPr>
              <w:t>1）提供承诺函，承诺内容完整、清晰、无歧义、违约责任清晰可执行，得100分；</w:t>
            </w:r>
          </w:p>
          <w:p>
            <w:pPr>
              <w:jc w:val="left"/>
              <w:rPr>
                <w:rFonts w:ascii="Times New Roman" w:hAnsi="Times New Roman"/>
              </w:rPr>
            </w:pPr>
            <w:r>
              <w:rPr>
                <w:rFonts w:hint="eastAsia" w:ascii="Times New Roman" w:hAnsi="Times New Roman" w:eastAsia="宋体" w:cs="Times New Roman"/>
                <w:szCs w:val="21"/>
              </w:rPr>
              <w:t>（</w:t>
            </w:r>
            <w:r>
              <w:rPr>
                <w:rFonts w:ascii="Times New Roman" w:hAnsi="Times New Roman" w:eastAsia="宋体" w:cs="Times New Roman"/>
                <w:szCs w:val="21"/>
              </w:rPr>
              <w:t>2）提供承诺函，承诺范围完善，承诺违约责任，得80分；</w:t>
            </w:r>
          </w:p>
          <w:p>
            <w:pPr>
              <w:jc w:val="left"/>
              <w:rPr>
                <w:rFonts w:ascii="Times New Roman" w:hAnsi="Times New Roman"/>
              </w:rPr>
            </w:pPr>
            <w:r>
              <w:rPr>
                <w:rFonts w:hint="eastAsia" w:ascii="Times New Roman" w:hAnsi="Times New Roman" w:eastAsia="宋体" w:cs="Times New Roman"/>
                <w:szCs w:val="21"/>
              </w:rPr>
              <w:t>（</w:t>
            </w:r>
            <w:r>
              <w:rPr>
                <w:rFonts w:ascii="Times New Roman" w:hAnsi="Times New Roman" w:eastAsia="宋体" w:cs="Times New Roman"/>
                <w:szCs w:val="21"/>
              </w:rPr>
              <w:t>3）提供承诺函，并承诺违约责任，得60分；</w:t>
            </w:r>
          </w:p>
          <w:p>
            <w:pPr>
              <w:jc w:val="left"/>
              <w:rPr>
                <w:rFonts w:ascii="Times New Roman" w:hAnsi="Times New Roman"/>
              </w:rPr>
            </w:pPr>
            <w:r>
              <w:rPr>
                <w:rFonts w:hint="eastAsia" w:ascii="Times New Roman" w:hAnsi="Times New Roman" w:eastAsia="宋体" w:cs="Times New Roman"/>
                <w:szCs w:val="21"/>
              </w:rPr>
              <w:t>（</w:t>
            </w:r>
            <w:r>
              <w:rPr>
                <w:rFonts w:ascii="Times New Roman" w:hAnsi="Times New Roman" w:eastAsia="宋体" w:cs="Times New Roman"/>
                <w:szCs w:val="21"/>
              </w:rPr>
              <w:t>4）未提供承诺函，或承诺函有严重内容错漏（内容错漏的标准由专家判定），不得分。</w:t>
            </w:r>
          </w:p>
          <w:p>
            <w:pPr>
              <w:rPr>
                <w:rFonts w:ascii="宋体" w:hAnsi="宋体"/>
              </w:rPr>
            </w:pPr>
            <w:r>
              <w:rPr>
                <w:rFonts w:ascii="Times New Roman" w:hAnsi="Times New Roman" w:eastAsia="宋体" w:cs="Times New Roman"/>
                <w:szCs w:val="21"/>
              </w:rPr>
              <w:t>专家按百分制打分。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8"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3</w:t>
            </w:r>
          </w:p>
        </w:tc>
        <w:tc>
          <w:tcPr>
            <w:tcW w:w="4683"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Times New Roman" w:eastAsia="Times New Roman"/>
              </w:rPr>
              <w:t>综合实力部分</w:t>
            </w:r>
          </w:p>
        </w:tc>
        <w:tc>
          <w:tcPr>
            <w:tcW w:w="3250" w:type="dxa"/>
            <w:tcBorders>
              <w:top w:val="single" w:color="auto" w:sz="4" w:space="0"/>
              <w:left w:val="single" w:color="auto" w:sz="4" w:space="0"/>
              <w:bottom w:val="single" w:color="auto" w:sz="4" w:space="0"/>
              <w:right w:val="single" w:color="auto" w:sz="4" w:space="0"/>
            </w:tcBorders>
          </w:tcPr>
          <w:p>
            <w:pPr>
              <w:jc w:val="center"/>
              <w:rPr>
                <w:rFonts w:ascii="宋体" w:hAnsi="Times New Roman"/>
              </w:rPr>
            </w:pPr>
            <w:r>
              <w:rPr>
                <w:rFonts w:hint="eastAsia" w:ascii="宋体" w:hAnsi="Times New Roma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 w:hRule="atLeast"/>
        </w:trPr>
        <w:tc>
          <w:tcPr>
            <w:tcW w:w="728" w:type="dxa"/>
            <w:vMerge w:val="restart"/>
            <w:tcBorders>
              <w:top w:val="single" w:color="auto" w:sz="4" w:space="0"/>
              <w:left w:val="single" w:color="auto" w:sz="4" w:space="0"/>
              <w:bottom w:val="single" w:color="auto" w:sz="4" w:space="0"/>
              <w:right w:val="single" w:color="auto" w:sz="4" w:space="0"/>
            </w:tcBorders>
          </w:tcPr>
          <w:p>
            <w:pPr>
              <w:jc w:val="center"/>
              <w:rPr>
                <w:rFonts w:ascii="宋体" w:hAnsi="宋体"/>
              </w:rPr>
            </w:pPr>
          </w:p>
        </w:tc>
        <w:tc>
          <w:tcPr>
            <w:tcW w:w="683"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Times New Roman" w:eastAsia="Times New Roman"/>
              </w:rPr>
              <w:t>序号</w:t>
            </w:r>
          </w:p>
        </w:tc>
        <w:tc>
          <w:tcPr>
            <w:tcW w:w="1900"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Times New Roman" w:eastAsia="Times New Roman"/>
              </w:rPr>
              <w:t>评分因素</w:t>
            </w:r>
          </w:p>
        </w:tc>
        <w:tc>
          <w:tcPr>
            <w:tcW w:w="850"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Times New Roman" w:eastAsia="Times New Roman"/>
              </w:rPr>
              <w:t>权重</w:t>
            </w:r>
          </w:p>
        </w:tc>
        <w:tc>
          <w:tcPr>
            <w:tcW w:w="1250"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Times New Roman" w:eastAsia="Times New Roman"/>
              </w:rPr>
              <w:t>评分方式</w:t>
            </w:r>
          </w:p>
        </w:tc>
        <w:tc>
          <w:tcPr>
            <w:tcW w:w="3250"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Times New Roman" w:eastAsia="Times New Roman"/>
              </w:rPr>
              <w:t>评分准则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 w:hRule="atLeast"/>
        </w:trPr>
        <w:tc>
          <w:tcPr>
            <w:tcW w:w="728" w:type="dxa"/>
            <w:vMerge w:val="continue"/>
            <w:tcBorders>
              <w:top w:val="single" w:color="auto" w:sz="4" w:space="0"/>
              <w:left w:val="single" w:color="auto" w:sz="4" w:space="0"/>
              <w:bottom w:val="single" w:color="auto" w:sz="4" w:space="0"/>
              <w:right w:val="single" w:color="auto" w:sz="4" w:space="0"/>
            </w:tcBorders>
          </w:tcPr>
          <w:p/>
        </w:tc>
        <w:tc>
          <w:tcPr>
            <w:tcW w:w="683" w:type="dxa"/>
            <w:tcBorders>
              <w:top w:val="single" w:color="auto" w:sz="4" w:space="0"/>
              <w:left w:val="single" w:color="auto" w:sz="4" w:space="0"/>
              <w:bottom w:val="single" w:color="auto" w:sz="4" w:space="0"/>
              <w:right w:val="single" w:color="auto" w:sz="4" w:space="0"/>
            </w:tcBorders>
          </w:tcPr>
          <w:p>
            <w:pPr>
              <w:jc w:val="center"/>
              <w:rPr>
                <w:rFonts w:ascii="宋体" w:hAnsi="Times New Roman"/>
              </w:rPr>
            </w:pPr>
            <w:r>
              <w:rPr>
                <w:rFonts w:hint="eastAsia" w:ascii="宋体" w:hAnsi="Times New Roman"/>
              </w:rPr>
              <w:t>1</w:t>
            </w:r>
          </w:p>
        </w:tc>
        <w:tc>
          <w:tcPr>
            <w:tcW w:w="1900" w:type="dxa"/>
            <w:tcBorders>
              <w:top w:val="single" w:color="auto" w:sz="4" w:space="0"/>
              <w:left w:val="single" w:color="auto" w:sz="4" w:space="0"/>
              <w:bottom w:val="single" w:color="auto" w:sz="4" w:space="0"/>
              <w:right w:val="single" w:color="auto" w:sz="4" w:space="0"/>
            </w:tcBorders>
          </w:tcPr>
          <w:p>
            <w:pPr>
              <w:jc w:val="center"/>
              <w:rPr>
                <w:rFonts w:ascii="宋体" w:hAnsi="Times New Roman" w:eastAsia="Times New Roman"/>
              </w:rPr>
            </w:pPr>
            <w:r>
              <w:rPr>
                <w:rFonts w:hint="eastAsia" w:ascii="宋体" w:hAnsi="宋体"/>
                <w:szCs w:val="21"/>
              </w:rPr>
              <w:t>投标人通过相关认证情况</w:t>
            </w:r>
          </w:p>
        </w:tc>
        <w:tc>
          <w:tcPr>
            <w:tcW w:w="850"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hint="eastAsia" w:ascii="宋体" w:hAnsi="宋体"/>
              </w:rPr>
              <w:t>5</w:t>
            </w:r>
          </w:p>
        </w:tc>
        <w:tc>
          <w:tcPr>
            <w:tcW w:w="1250" w:type="dxa"/>
            <w:tcBorders>
              <w:top w:val="single" w:color="auto" w:sz="4" w:space="0"/>
              <w:left w:val="single" w:color="auto" w:sz="4" w:space="0"/>
              <w:bottom w:val="single" w:color="auto" w:sz="4" w:space="0"/>
              <w:right w:val="single" w:color="auto" w:sz="4" w:space="0"/>
            </w:tcBorders>
          </w:tcPr>
          <w:p>
            <w:pPr>
              <w:jc w:val="center"/>
              <w:rPr>
                <w:rFonts w:ascii="宋体" w:hAnsi="Times New Roman" w:eastAsia="Times New Roman"/>
              </w:rPr>
            </w:pPr>
            <w:r>
              <w:rPr>
                <w:rFonts w:hint="eastAsia" w:ascii="宋体" w:hAnsi="宋体"/>
                <w:szCs w:val="21"/>
              </w:rPr>
              <w:t>专家打分</w:t>
            </w:r>
          </w:p>
        </w:tc>
        <w:tc>
          <w:tcPr>
            <w:tcW w:w="3250" w:type="dxa"/>
            <w:tcBorders>
              <w:top w:val="single" w:color="auto" w:sz="4" w:space="0"/>
              <w:left w:val="single" w:color="auto" w:sz="4" w:space="0"/>
              <w:bottom w:val="single" w:color="auto" w:sz="4" w:space="0"/>
              <w:right w:val="single" w:color="auto" w:sz="4" w:space="0"/>
            </w:tcBorders>
          </w:tcPr>
          <w:p>
            <w:pPr>
              <w:jc w:val="left"/>
              <w:rPr>
                <w:rFonts w:ascii="宋体" w:hAnsi="Times New Roman" w:eastAsia="Times New Roman"/>
              </w:rPr>
            </w:pPr>
            <w:r>
              <w:rPr>
                <w:rFonts w:hint="eastAsia" w:ascii="宋体" w:hAnsi="Times New Roman" w:eastAsia="Times New Roman"/>
              </w:rPr>
              <w:t>（一）评分内容：</w:t>
            </w:r>
          </w:p>
          <w:p>
            <w:pPr>
              <w:jc w:val="left"/>
              <w:rPr>
                <w:rFonts w:ascii="Times New Roman" w:hAnsi="Times New Roman" w:eastAsia="宋体" w:cs="Times New Roman"/>
                <w:szCs w:val="21"/>
              </w:rPr>
            </w:pPr>
            <w:r>
              <w:rPr>
                <w:rFonts w:hint="eastAsia" w:ascii="Times New Roman" w:hAnsi="Times New Roman" w:eastAsia="宋体" w:cs="Times New Roman"/>
                <w:szCs w:val="21"/>
              </w:rPr>
              <w:t>1.具备电子与建筑智能化工程专业承包壹级资质</w:t>
            </w:r>
            <w:r>
              <w:rPr>
                <w:rFonts w:ascii="Times New Roman" w:hAnsi="Times New Roman" w:eastAsia="宋体" w:cs="Times New Roman"/>
                <w:szCs w:val="21"/>
              </w:rPr>
              <w:t>，得</w:t>
            </w:r>
            <w:r>
              <w:rPr>
                <w:rFonts w:hint="eastAsia" w:ascii="Times New Roman" w:hAnsi="Times New Roman" w:eastAsia="宋体" w:cs="Times New Roman"/>
                <w:szCs w:val="21"/>
              </w:rPr>
              <w:t>50</w:t>
            </w:r>
            <w:r>
              <w:rPr>
                <w:rFonts w:ascii="Times New Roman" w:hAnsi="Times New Roman" w:eastAsia="宋体" w:cs="Times New Roman"/>
                <w:szCs w:val="21"/>
              </w:rPr>
              <w:t>分</w:t>
            </w:r>
            <w:r>
              <w:rPr>
                <w:rFonts w:hint="eastAsia" w:ascii="Times New Roman" w:hAnsi="Times New Roman" w:eastAsia="宋体" w:cs="Times New Roman"/>
                <w:szCs w:val="21"/>
              </w:rPr>
              <w:t>；</w:t>
            </w:r>
          </w:p>
          <w:p>
            <w:pPr>
              <w:jc w:val="left"/>
              <w:rPr>
                <w:rFonts w:ascii="Times New Roman" w:hAnsi="Times New Roman" w:eastAsia="宋体" w:cs="Times New Roman"/>
                <w:szCs w:val="21"/>
              </w:rPr>
            </w:pPr>
            <w:r>
              <w:rPr>
                <w:rFonts w:hint="eastAsia" w:ascii="Times New Roman" w:hAnsi="Times New Roman" w:eastAsia="宋体" w:cs="Times New Roman"/>
                <w:szCs w:val="21"/>
              </w:rPr>
              <w:t>2.具备建筑行业(建筑工程)甲级资质的，</w:t>
            </w:r>
            <w:r>
              <w:rPr>
                <w:rFonts w:ascii="Times New Roman" w:hAnsi="Times New Roman" w:eastAsia="宋体" w:cs="Times New Roman"/>
                <w:szCs w:val="21"/>
              </w:rPr>
              <w:t>得</w:t>
            </w:r>
            <w:r>
              <w:rPr>
                <w:rFonts w:hint="eastAsia" w:ascii="Times New Roman" w:hAnsi="Times New Roman" w:eastAsia="宋体" w:cs="Times New Roman"/>
                <w:szCs w:val="21"/>
              </w:rPr>
              <w:t>50</w:t>
            </w:r>
            <w:r>
              <w:rPr>
                <w:rFonts w:ascii="Times New Roman" w:hAnsi="Times New Roman" w:eastAsia="宋体" w:cs="Times New Roman"/>
                <w:szCs w:val="21"/>
              </w:rPr>
              <w:t>分</w:t>
            </w:r>
            <w:r>
              <w:rPr>
                <w:rFonts w:hint="eastAsia" w:ascii="Times New Roman" w:hAnsi="Times New Roman" w:eastAsia="宋体" w:cs="Times New Roman"/>
                <w:szCs w:val="21"/>
              </w:rPr>
              <w:t>；</w:t>
            </w:r>
          </w:p>
          <w:p>
            <w:pPr>
              <w:jc w:val="left"/>
              <w:rPr>
                <w:rFonts w:ascii="Times New Roman" w:hAnsi="Times New Roman" w:eastAsia="宋体" w:cs="Times New Roman"/>
                <w:szCs w:val="21"/>
              </w:rPr>
            </w:pPr>
            <w:r>
              <w:rPr>
                <w:rFonts w:hint="eastAsia" w:ascii="Times New Roman" w:hAnsi="Times New Roman" w:eastAsia="宋体" w:cs="Times New Roman"/>
                <w:szCs w:val="21"/>
              </w:rPr>
              <w:t>（二）评分依据：</w:t>
            </w:r>
          </w:p>
          <w:p>
            <w:pPr>
              <w:jc w:val="left"/>
              <w:rPr>
                <w:rFonts w:ascii="Times New Roman" w:hAnsi="Times New Roman" w:eastAsia="宋体" w:cs="Times New Roman"/>
                <w:szCs w:val="21"/>
              </w:rPr>
            </w:pPr>
            <w:r>
              <w:rPr>
                <w:rFonts w:hint="eastAsia" w:ascii="Times New Roman" w:hAnsi="Times New Roman" w:eastAsia="宋体" w:cs="Times New Roman"/>
                <w:szCs w:val="21"/>
              </w:rPr>
              <w:t>1.要求提供有效的认证证书作为得分依据。</w:t>
            </w:r>
          </w:p>
          <w:p>
            <w:pPr>
              <w:jc w:val="left"/>
              <w:rPr>
                <w:rFonts w:ascii="宋体" w:hAnsi="Times New Roman"/>
              </w:rPr>
            </w:pPr>
            <w:r>
              <w:rPr>
                <w:rFonts w:hint="eastAsia" w:ascii="Times New Roman" w:hAnsi="Times New Roman" w:eastAsia="宋体" w:cs="Times New Roman"/>
                <w:szCs w:val="21"/>
              </w:rPr>
              <w:t>2.以上资料均要求提供复印件（或官方网站截图），原件备查。</w:t>
            </w:r>
            <w:r>
              <w:rPr>
                <w:rFonts w:ascii="Times New Roman" w:hAnsi="Times New Roman" w:eastAsia="宋体" w:cs="Times New Roman"/>
                <w:szCs w:val="21"/>
              </w:rPr>
              <w:t>评分中出现无证明资料或专家无法凭所提供资料判断是否得分的情况，一律作不得分处理。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 w:hRule="atLeast"/>
        </w:trPr>
        <w:tc>
          <w:tcPr>
            <w:tcW w:w="728" w:type="dxa"/>
            <w:vMerge w:val="continue"/>
            <w:tcBorders>
              <w:top w:val="single" w:color="auto" w:sz="4" w:space="0"/>
              <w:left w:val="single" w:color="auto" w:sz="4" w:space="0"/>
              <w:bottom w:val="single" w:color="auto" w:sz="4" w:space="0"/>
              <w:right w:val="single" w:color="auto" w:sz="4" w:space="0"/>
            </w:tcBorders>
          </w:tcPr>
          <w:p/>
        </w:tc>
        <w:tc>
          <w:tcPr>
            <w:tcW w:w="683" w:type="dxa"/>
            <w:tcBorders>
              <w:top w:val="single" w:color="auto" w:sz="4" w:space="0"/>
              <w:left w:val="single" w:color="auto" w:sz="4" w:space="0"/>
              <w:bottom w:val="single" w:color="auto" w:sz="4" w:space="0"/>
              <w:right w:val="single" w:color="auto" w:sz="4" w:space="0"/>
            </w:tcBorders>
          </w:tcPr>
          <w:p>
            <w:pPr>
              <w:jc w:val="center"/>
              <w:rPr>
                <w:rFonts w:ascii="宋体" w:hAnsi="Times New Roman"/>
              </w:rPr>
            </w:pPr>
            <w:r>
              <w:rPr>
                <w:rFonts w:hint="eastAsia" w:ascii="宋体" w:hAnsi="Times New Roman"/>
              </w:rPr>
              <w:t>2</w:t>
            </w:r>
          </w:p>
        </w:tc>
        <w:tc>
          <w:tcPr>
            <w:tcW w:w="1900" w:type="dxa"/>
            <w:tcBorders>
              <w:top w:val="single" w:color="auto" w:sz="4" w:space="0"/>
              <w:left w:val="single" w:color="auto" w:sz="4" w:space="0"/>
              <w:bottom w:val="single" w:color="auto" w:sz="4" w:space="0"/>
              <w:right w:val="single" w:color="auto" w:sz="4" w:space="0"/>
            </w:tcBorders>
          </w:tcPr>
          <w:p>
            <w:pPr>
              <w:jc w:val="center"/>
              <w:rPr>
                <w:rFonts w:ascii="宋体" w:hAnsi="Times New Roman" w:eastAsia="Times New Roman"/>
              </w:rPr>
            </w:pPr>
            <w:r>
              <w:rPr>
                <w:rFonts w:ascii="Times New Roman" w:hAnsi="Times New Roman" w:eastAsia="宋体" w:cs="Times New Roman"/>
                <w:szCs w:val="21"/>
              </w:rPr>
              <w:t>投标人同类项目业绩情况</w:t>
            </w:r>
          </w:p>
        </w:tc>
        <w:tc>
          <w:tcPr>
            <w:tcW w:w="850"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Times New Roman" w:hAnsi="Times New Roman" w:eastAsia="宋体" w:cs="Times New Roman"/>
                <w:szCs w:val="21"/>
              </w:rPr>
              <w:t>3</w:t>
            </w:r>
          </w:p>
        </w:tc>
        <w:tc>
          <w:tcPr>
            <w:tcW w:w="1250" w:type="dxa"/>
            <w:tcBorders>
              <w:top w:val="single" w:color="auto" w:sz="4" w:space="0"/>
              <w:left w:val="single" w:color="auto" w:sz="4" w:space="0"/>
              <w:bottom w:val="single" w:color="auto" w:sz="4" w:space="0"/>
              <w:right w:val="single" w:color="auto" w:sz="4" w:space="0"/>
            </w:tcBorders>
          </w:tcPr>
          <w:p>
            <w:pPr>
              <w:spacing w:after="160" w:line="240" w:lineRule="exact"/>
              <w:jc w:val="left"/>
              <w:rPr>
                <w:rFonts w:ascii="宋体" w:hAnsi="Times New Roman" w:eastAsia="Times New Roman"/>
              </w:rPr>
            </w:pPr>
            <w:r>
              <w:rPr>
                <w:rFonts w:ascii="Times New Roman" w:hAnsi="Times New Roman" w:eastAsia="宋体" w:cs="Times New Roman"/>
                <w:szCs w:val="21"/>
              </w:rPr>
              <w:t>专家打分</w:t>
            </w:r>
          </w:p>
        </w:tc>
        <w:tc>
          <w:tcPr>
            <w:tcW w:w="3250"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rPr>
            </w:pPr>
            <w:r>
              <w:rPr>
                <w:rFonts w:hint="eastAsia" w:ascii="Times New Roman" w:hAnsi="Times New Roman" w:eastAsia="宋体" w:cs="Times New Roman"/>
                <w:szCs w:val="21"/>
              </w:rPr>
              <w:t>考察投标人近三年（</w:t>
            </w:r>
            <w:r>
              <w:rPr>
                <w:rFonts w:ascii="Times New Roman" w:hAnsi="Times New Roman" w:eastAsia="宋体" w:cs="Times New Roman"/>
                <w:szCs w:val="21"/>
              </w:rPr>
              <w:t>2018年3月1日 至本项目开标之日，以项目验收或履约评价时间为准）每有一个同类项目的设计案例</w:t>
            </w:r>
            <w:r>
              <w:rPr>
                <w:rFonts w:hint="eastAsia" w:ascii="Times New Roman" w:hAnsi="Times New Roman" w:eastAsia="宋体" w:cs="Times New Roman"/>
                <w:szCs w:val="21"/>
              </w:rPr>
              <w:t>，</w:t>
            </w:r>
            <w:r>
              <w:rPr>
                <w:rFonts w:ascii="Times New Roman" w:hAnsi="Times New Roman" w:eastAsia="宋体" w:cs="Times New Roman"/>
                <w:szCs w:val="21"/>
              </w:rPr>
              <w:t xml:space="preserve">得34分，最高得100分。 </w:t>
            </w:r>
          </w:p>
          <w:p>
            <w:pPr>
              <w:jc w:val="left"/>
              <w:rPr>
                <w:rFonts w:ascii="宋体" w:hAnsi="Times New Roman" w:eastAsia="Times New Roman"/>
              </w:rPr>
            </w:pPr>
            <w:r>
              <w:rPr>
                <w:rFonts w:hint="eastAsia" w:ascii="Times New Roman" w:hAnsi="Times New Roman" w:eastAsia="宋体" w:cs="Times New Roman"/>
                <w:szCs w:val="21"/>
              </w:rPr>
              <w:t>提供合同关键页及中标通知书复印件并加盖投标人公章作为证明文件。未提供的，不得分。</w:t>
            </w:r>
            <w:r>
              <w:rPr>
                <w:rFonts w:ascii="Times New Roman" w:hAnsi="Times New Roman" w:eastAsia="宋体" w:cs="Times New Roman"/>
                <w:szCs w:val="21"/>
              </w:rPr>
              <w:t>专家按百分制打分。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 w:hRule="atLeast"/>
        </w:trPr>
        <w:tc>
          <w:tcPr>
            <w:tcW w:w="728" w:type="dxa"/>
            <w:vMerge w:val="continue"/>
            <w:tcBorders>
              <w:top w:val="single" w:color="auto" w:sz="4" w:space="0"/>
              <w:left w:val="single" w:color="auto" w:sz="4" w:space="0"/>
              <w:bottom w:val="single" w:color="auto" w:sz="4" w:space="0"/>
              <w:right w:val="single" w:color="auto" w:sz="4" w:space="0"/>
            </w:tcBorders>
          </w:tcPr>
          <w:p/>
        </w:tc>
        <w:tc>
          <w:tcPr>
            <w:tcW w:w="683"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hint="eastAsia" w:ascii="宋体" w:hAnsi="Times New Roman"/>
              </w:rPr>
              <w:t>3</w:t>
            </w:r>
          </w:p>
        </w:tc>
        <w:tc>
          <w:tcPr>
            <w:tcW w:w="1900"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Times New Roman" w:eastAsia="Times New Roman"/>
              </w:rPr>
              <w:t>拟安排的项目负责人情况</w:t>
            </w:r>
            <w:r>
              <w:rPr>
                <w:rFonts w:hint="eastAsia" w:ascii="宋体" w:hAnsi="Times New Roman"/>
              </w:rPr>
              <w:t>（仅限一人）</w:t>
            </w:r>
          </w:p>
        </w:tc>
        <w:tc>
          <w:tcPr>
            <w:tcW w:w="850"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hint="eastAsia" w:ascii="宋体" w:hAnsi="宋体"/>
              </w:rPr>
              <w:t>6</w:t>
            </w:r>
          </w:p>
        </w:tc>
        <w:tc>
          <w:tcPr>
            <w:tcW w:w="1250"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Times New Roman" w:eastAsia="Times New Roman"/>
              </w:rPr>
              <w:t>专家打分</w:t>
            </w:r>
          </w:p>
        </w:tc>
        <w:tc>
          <w:tcPr>
            <w:tcW w:w="3250" w:type="dxa"/>
            <w:tcBorders>
              <w:top w:val="single" w:color="auto" w:sz="4" w:space="0"/>
              <w:left w:val="single" w:color="auto" w:sz="4" w:space="0"/>
              <w:bottom w:val="single" w:color="auto" w:sz="4" w:space="0"/>
              <w:right w:val="single" w:color="auto" w:sz="4" w:space="0"/>
            </w:tcBorders>
          </w:tcPr>
          <w:p>
            <w:pPr>
              <w:rPr>
                <w:rFonts w:ascii="宋体" w:hAnsi="Times New Roman" w:eastAsia="Times New Roman"/>
              </w:rPr>
            </w:pPr>
            <w:r>
              <w:rPr>
                <w:rFonts w:ascii="宋体" w:hAnsi="Times New Roman" w:eastAsia="Times New Roman"/>
              </w:rPr>
              <w:t>考察内容：</w:t>
            </w:r>
            <w:r>
              <w:rPr>
                <w:rFonts w:hint="eastAsia" w:ascii="宋体" w:hAnsi="Times New Roman" w:eastAsia="宋体"/>
              </w:rPr>
              <w:t>项目负责人须是投标人的正式聘任员工。</w:t>
            </w:r>
          </w:p>
          <w:p>
            <w:pPr>
              <w:numPr>
                <w:ilvl w:val="0"/>
                <w:numId w:val="7"/>
              </w:numPr>
              <w:rPr>
                <w:rFonts w:ascii="宋体" w:hAnsi="Times New Roman" w:eastAsia="宋体"/>
              </w:rPr>
            </w:pPr>
            <w:r>
              <w:rPr>
                <w:rFonts w:hint="eastAsia" w:ascii="宋体" w:hAnsi="Times New Roman" w:eastAsia="宋体"/>
              </w:rPr>
              <w:t>具有高级建筑师职称的，得40分，否则不得分；</w:t>
            </w:r>
          </w:p>
          <w:p>
            <w:pPr>
              <w:numPr>
                <w:ilvl w:val="0"/>
                <w:numId w:val="7"/>
              </w:numPr>
              <w:rPr>
                <w:rFonts w:ascii="宋体" w:hAnsi="Times New Roman" w:eastAsia="宋体"/>
              </w:rPr>
            </w:pPr>
            <w:r>
              <w:rPr>
                <w:rFonts w:hint="eastAsia" w:ascii="宋体" w:hAnsi="Times New Roman" w:eastAsia="宋体"/>
              </w:rPr>
              <w:t>具备类似</w:t>
            </w:r>
            <w:r>
              <w:rPr>
                <w:rFonts w:ascii="宋体" w:hAnsi="Times New Roman" w:eastAsia="Times New Roman"/>
              </w:rPr>
              <w:t>项目设计业绩（办公楼、学校</w:t>
            </w:r>
            <w:r>
              <w:rPr>
                <w:rFonts w:hint="eastAsia" w:ascii="宋体" w:hAnsi="Times New Roman" w:eastAsia="宋体"/>
              </w:rPr>
              <w:t>、医院、政府部门</w:t>
            </w:r>
            <w:r>
              <w:rPr>
                <w:rFonts w:ascii="宋体" w:hAnsi="Times New Roman" w:eastAsia="Times New Roman"/>
              </w:rPr>
              <w:t>等相关设计业绩）</w:t>
            </w:r>
            <w:r>
              <w:rPr>
                <w:rFonts w:hint="eastAsia" w:ascii="宋体" w:hAnsi="Times New Roman" w:eastAsia="宋体"/>
              </w:rPr>
              <w:t>，每具备一个相关设计业绩得15分，此项最高不超过60分。</w:t>
            </w:r>
          </w:p>
          <w:p>
            <w:pPr>
              <w:jc w:val="left"/>
              <w:rPr>
                <w:rFonts w:ascii="Times New Roman" w:hAnsi="Times New Roman"/>
              </w:rPr>
            </w:pPr>
            <w:r>
              <w:rPr>
                <w:rFonts w:hint="eastAsia" w:ascii="宋体" w:hAnsi="宋体" w:eastAsia="宋体" w:cs="宋体"/>
              </w:rPr>
              <w:t>项目负责人应提供职称证书和其他证明材料</w:t>
            </w:r>
            <w:r>
              <w:rPr>
                <w:rFonts w:hint="eastAsia" w:ascii="宋体" w:hAnsi="Times New Roman"/>
              </w:rPr>
              <w:t>复印件</w:t>
            </w:r>
            <w:r>
              <w:rPr>
                <w:rFonts w:hint="eastAsia" w:ascii="宋体" w:hAnsi="宋体" w:eastAsia="宋体" w:cs="宋体"/>
              </w:rPr>
              <w:t>，原件备查；业绩应提供相应项目设计合同复印件加盖公章，原件备查。未提供职称证书和其他证明材料、项目设计合同复印件的，不得分。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 w:hRule="atLeast"/>
        </w:trPr>
        <w:tc>
          <w:tcPr>
            <w:tcW w:w="728" w:type="dxa"/>
            <w:vMerge w:val="continue"/>
            <w:tcBorders>
              <w:top w:val="single" w:color="auto" w:sz="4" w:space="0"/>
              <w:left w:val="single" w:color="auto" w:sz="4" w:space="0"/>
              <w:bottom w:val="single" w:color="auto" w:sz="4" w:space="0"/>
              <w:right w:val="single" w:color="auto" w:sz="4" w:space="0"/>
            </w:tcBorders>
          </w:tcPr>
          <w:p/>
        </w:tc>
        <w:tc>
          <w:tcPr>
            <w:tcW w:w="683"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hint="eastAsia" w:ascii="宋体" w:hAnsi="Times New Roman"/>
              </w:rPr>
              <w:t>4</w:t>
            </w:r>
          </w:p>
        </w:tc>
        <w:tc>
          <w:tcPr>
            <w:tcW w:w="1900"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Times New Roman" w:eastAsia="Times New Roman"/>
              </w:rPr>
              <w:t>拟安排的项目</w:t>
            </w:r>
            <w:r>
              <w:rPr>
                <w:rFonts w:hint="eastAsia" w:ascii="宋体" w:hAnsi="Times New Roman"/>
              </w:rPr>
              <w:t>主要</w:t>
            </w:r>
            <w:r>
              <w:rPr>
                <w:rFonts w:ascii="宋体" w:hAnsi="Times New Roman" w:eastAsia="Times New Roman"/>
              </w:rPr>
              <w:t>团队成员</w:t>
            </w:r>
            <w:r>
              <w:rPr>
                <w:rFonts w:hint="eastAsia" w:ascii="宋体" w:hAnsi="Times New Roman"/>
              </w:rPr>
              <w:t>（主要技术人员）</w:t>
            </w:r>
            <w:r>
              <w:rPr>
                <w:rFonts w:ascii="宋体" w:hAnsi="Times New Roman" w:eastAsia="Times New Roman"/>
              </w:rPr>
              <w:t>情况（项目负责人除外）</w:t>
            </w:r>
          </w:p>
        </w:tc>
        <w:tc>
          <w:tcPr>
            <w:tcW w:w="850" w:type="dxa"/>
            <w:tcBorders>
              <w:top w:val="single" w:color="auto" w:sz="4" w:space="0"/>
              <w:left w:val="single" w:color="auto" w:sz="4" w:space="0"/>
              <w:bottom w:val="single" w:color="auto" w:sz="4" w:space="0"/>
              <w:right w:val="single" w:color="auto" w:sz="4" w:space="0"/>
            </w:tcBorders>
          </w:tcPr>
          <w:p>
            <w:pPr>
              <w:jc w:val="center"/>
              <w:rPr>
                <w:rFonts w:ascii="宋体" w:hAnsi="Times New Roman"/>
              </w:rPr>
            </w:pPr>
            <w:r>
              <w:rPr>
                <w:rFonts w:hint="eastAsia" w:ascii="宋体" w:hAnsi="Times New Roman"/>
              </w:rPr>
              <w:t>11</w:t>
            </w:r>
          </w:p>
        </w:tc>
        <w:tc>
          <w:tcPr>
            <w:tcW w:w="1250"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Times New Roman" w:eastAsia="Times New Roman"/>
              </w:rPr>
              <w:t>专家打分</w:t>
            </w:r>
          </w:p>
        </w:tc>
        <w:tc>
          <w:tcPr>
            <w:tcW w:w="3250" w:type="dxa"/>
            <w:tcBorders>
              <w:top w:val="single" w:color="auto" w:sz="4" w:space="0"/>
              <w:left w:val="single" w:color="auto" w:sz="4" w:space="0"/>
              <w:bottom w:val="single" w:color="auto" w:sz="4" w:space="0"/>
              <w:right w:val="single" w:color="auto" w:sz="4" w:space="0"/>
            </w:tcBorders>
          </w:tcPr>
          <w:p>
            <w:pPr>
              <w:jc w:val="center"/>
              <w:rPr>
                <w:rFonts w:ascii="宋体" w:hAnsi="Times New Roman"/>
              </w:rPr>
            </w:pPr>
            <w:r>
              <w:rPr>
                <w:rFonts w:ascii="宋体" w:hAnsi="Times New Roman" w:eastAsia="Times New Roman"/>
              </w:rPr>
              <w:t>考察内容：</w:t>
            </w:r>
          </w:p>
          <w:p>
            <w:pPr>
              <w:numPr>
                <w:ilvl w:val="0"/>
                <w:numId w:val="8"/>
              </w:numPr>
              <w:jc w:val="center"/>
              <w:rPr>
                <w:rFonts w:ascii="宋体" w:hAnsi="Times New Roman" w:eastAsia="Times New Roman"/>
              </w:rPr>
            </w:pPr>
            <w:r>
              <w:rPr>
                <w:rFonts w:ascii="宋体" w:hAnsi="Times New Roman" w:eastAsia="Times New Roman"/>
              </w:rPr>
              <w:t>团队成员总人数要求至少5人，</w:t>
            </w:r>
            <w:r>
              <w:rPr>
                <w:rFonts w:hint="eastAsia" w:ascii="宋体" w:hAnsi="Times New Roman" w:eastAsia="宋体"/>
              </w:rPr>
              <w:t>满足得3分，不满足不得分。</w:t>
            </w:r>
          </w:p>
          <w:p>
            <w:pPr>
              <w:numPr>
                <w:ilvl w:val="0"/>
                <w:numId w:val="8"/>
              </w:numPr>
              <w:rPr>
                <w:rFonts w:ascii="宋体" w:hAnsi="Times New Roman"/>
              </w:rPr>
            </w:pPr>
            <w:r>
              <w:rPr>
                <w:rFonts w:ascii="宋体" w:hAnsi="Times New Roman" w:eastAsia="Times New Roman"/>
              </w:rPr>
              <w:t>建筑、结构、室内建筑师、给排水、电气专业各专业至少一人。</w:t>
            </w:r>
            <w:r>
              <w:rPr>
                <w:rFonts w:hint="eastAsia" w:ascii="宋体" w:hAnsi="Times New Roman" w:eastAsia="宋体"/>
              </w:rPr>
              <w:t>每有一个</w:t>
            </w:r>
            <w:r>
              <w:rPr>
                <w:rFonts w:ascii="宋体" w:hAnsi="Times New Roman" w:eastAsia="Times New Roman"/>
              </w:rPr>
              <w:t>满足</w:t>
            </w:r>
            <w:r>
              <w:rPr>
                <w:rFonts w:hint="eastAsia" w:ascii="宋体" w:hAnsi="Times New Roman" w:eastAsia="宋体"/>
              </w:rPr>
              <w:t>的</w:t>
            </w:r>
            <w:r>
              <w:rPr>
                <w:rFonts w:ascii="宋体" w:hAnsi="Times New Roman" w:eastAsia="Times New Roman"/>
              </w:rPr>
              <w:t>得</w:t>
            </w:r>
            <w:r>
              <w:rPr>
                <w:rFonts w:hint="eastAsia" w:ascii="宋体" w:hAnsi="Times New Roman" w:eastAsia="宋体"/>
              </w:rPr>
              <w:t>1</w:t>
            </w:r>
            <w:r>
              <w:rPr>
                <w:rFonts w:ascii="宋体" w:hAnsi="Times New Roman" w:eastAsia="Times New Roman"/>
              </w:rPr>
              <w:t>分，</w:t>
            </w:r>
            <w:r>
              <w:rPr>
                <w:rFonts w:hint="eastAsia" w:ascii="宋体" w:hAnsi="Times New Roman" w:eastAsia="宋体"/>
              </w:rPr>
              <w:t>最高不超过5分，</w:t>
            </w:r>
            <w:r>
              <w:rPr>
                <w:rFonts w:ascii="宋体" w:hAnsi="Times New Roman" w:eastAsia="Times New Roman"/>
              </w:rPr>
              <w:t>未达到人数及专业要求的，不得分。</w:t>
            </w:r>
          </w:p>
          <w:p>
            <w:pPr>
              <w:jc w:val="center"/>
              <w:rPr>
                <w:rFonts w:ascii="宋体" w:hAnsi="Times New Roman"/>
              </w:rPr>
            </w:pPr>
            <w:r>
              <w:rPr>
                <w:rFonts w:ascii="宋体" w:hAnsi="Times New Roman" w:eastAsia="Times New Roman"/>
              </w:rPr>
              <w:t>（</w:t>
            </w:r>
            <w:r>
              <w:rPr>
                <w:rFonts w:hint="eastAsia" w:ascii="宋体" w:eastAsia="等线"/>
              </w:rPr>
              <w:t>3</w:t>
            </w:r>
            <w:r>
              <w:rPr>
                <w:rFonts w:ascii="宋体" w:hAnsi="Times New Roman" w:eastAsia="Times New Roman"/>
              </w:rPr>
              <w:t>）建筑、结构、室内建筑师专业人员为国家一级注册建筑工程师、国家一级注册结构工程师，高级室内建筑师的，</w:t>
            </w:r>
            <w:r>
              <w:rPr>
                <w:rFonts w:hint="eastAsia" w:ascii="宋体" w:hAnsi="Times New Roman" w:eastAsia="宋体"/>
              </w:rPr>
              <w:t>每有一个</w:t>
            </w:r>
            <w:r>
              <w:rPr>
                <w:rFonts w:ascii="宋体" w:hAnsi="Times New Roman" w:eastAsia="Times New Roman"/>
              </w:rPr>
              <w:t>满足</w:t>
            </w:r>
            <w:r>
              <w:rPr>
                <w:rFonts w:hint="eastAsia" w:ascii="宋体" w:hAnsi="Times New Roman" w:eastAsia="宋体"/>
              </w:rPr>
              <w:t>的</w:t>
            </w:r>
            <w:r>
              <w:rPr>
                <w:rFonts w:ascii="宋体" w:hAnsi="Times New Roman" w:eastAsia="Times New Roman"/>
              </w:rPr>
              <w:t>得</w:t>
            </w:r>
            <w:r>
              <w:rPr>
                <w:rFonts w:hint="eastAsia" w:ascii="宋体" w:hAnsi="Times New Roman" w:eastAsia="宋体"/>
              </w:rPr>
              <w:t>1</w:t>
            </w:r>
            <w:r>
              <w:rPr>
                <w:rFonts w:ascii="宋体" w:hAnsi="Times New Roman" w:eastAsia="Times New Roman"/>
              </w:rPr>
              <w:t>分，</w:t>
            </w:r>
            <w:r>
              <w:rPr>
                <w:rFonts w:hint="eastAsia" w:ascii="宋体" w:hAnsi="Times New Roman" w:eastAsia="宋体"/>
              </w:rPr>
              <w:t>最高不超过3分，</w:t>
            </w:r>
            <w:r>
              <w:rPr>
                <w:rFonts w:ascii="宋体" w:hAnsi="Times New Roman" w:eastAsia="Times New Roman"/>
              </w:rPr>
              <w:t>不满足的，不得分。</w:t>
            </w:r>
          </w:p>
          <w:p>
            <w:pPr>
              <w:adjustRightInd w:val="0"/>
              <w:snapToGrid w:val="0"/>
              <w:spacing w:line="360" w:lineRule="auto"/>
              <w:jc w:val="left"/>
              <w:rPr>
                <w:rFonts w:ascii="Times New Roman" w:hAnsi="Times New Roman"/>
              </w:rPr>
            </w:pPr>
            <w:r>
              <w:rPr>
                <w:rFonts w:ascii="Times New Roman" w:hAnsi="Times New Roman" w:eastAsia="宋体" w:cs="Times New Roman"/>
                <w:kern w:val="0"/>
                <w:szCs w:val="21"/>
              </w:rPr>
              <w:t>证明材料：</w:t>
            </w:r>
          </w:p>
          <w:p>
            <w:pPr>
              <w:adjustRightInd w:val="0"/>
              <w:snapToGrid w:val="0"/>
              <w:spacing w:line="360" w:lineRule="auto"/>
              <w:jc w:val="left"/>
              <w:rPr>
                <w:rFonts w:ascii="Times New Roman" w:hAnsi="Times New Roman"/>
              </w:rPr>
            </w:pPr>
            <w:r>
              <w:rPr>
                <w:rFonts w:ascii="Times New Roman" w:hAnsi="Times New Roman" w:eastAsia="宋体" w:cs="Times New Roman"/>
                <w:szCs w:val="21"/>
              </w:rPr>
              <w:t>1.要求提供投标人相关证明资料作为得分依据。</w:t>
            </w:r>
          </w:p>
          <w:p>
            <w:pPr>
              <w:adjustRightInd w:val="0"/>
              <w:snapToGrid w:val="0"/>
              <w:spacing w:line="360" w:lineRule="auto"/>
              <w:jc w:val="left"/>
              <w:rPr>
                <w:rFonts w:ascii="Times New Roman" w:hAnsi="Times New Roman"/>
              </w:rPr>
            </w:pPr>
            <w:r>
              <w:rPr>
                <w:rFonts w:ascii="Times New Roman" w:hAnsi="Times New Roman" w:eastAsia="宋体" w:cs="Times New Roman"/>
                <w:szCs w:val="21"/>
              </w:rPr>
              <w:t>2.以上资料均要求提供</w:t>
            </w:r>
            <w:r>
              <w:rPr>
                <w:rFonts w:hint="eastAsia" w:ascii="Times New Roman" w:hAnsi="Times New Roman" w:eastAsia="宋体" w:cs="Times New Roman"/>
                <w:szCs w:val="21"/>
              </w:rPr>
              <w:t>复印件</w:t>
            </w:r>
            <w:r>
              <w:rPr>
                <w:rFonts w:ascii="Times New Roman" w:hAnsi="Times New Roman" w:eastAsia="宋体" w:cs="Times New Roman"/>
                <w:szCs w:val="21"/>
              </w:rPr>
              <w:t>（或官方网站截图），原件备查。评分中出现无证明资料或专家无法凭所提供资料判断是否得分的情况，一律作不得分处理。</w:t>
            </w:r>
          </w:p>
          <w:p>
            <w:pPr>
              <w:jc w:val="left"/>
              <w:rPr>
                <w:rFonts w:ascii="宋体" w:hAnsi="宋体"/>
              </w:rPr>
            </w:pPr>
            <w:r>
              <w:rPr>
                <w:rFonts w:ascii="Times New Roman" w:hAnsi="Times New Roman" w:eastAsia="宋体" w:cs="Times New Roman"/>
                <w:szCs w:val="21"/>
              </w:rPr>
              <w:t>3.如涉及考察人员工作经验，要求提供项目合同关键信息作为得分依据，通过合同关键信息无法判断是否得分的，还须同时提供合同</w:t>
            </w:r>
            <w:r>
              <w:rPr>
                <w:rFonts w:hint="eastAsia" w:ascii="Times New Roman" w:hAnsi="Times New Roman" w:cs="Times New Roman"/>
                <w:szCs w:val="21"/>
              </w:rPr>
              <w:t>采购方</w:t>
            </w:r>
            <w:r>
              <w:rPr>
                <w:rFonts w:ascii="Times New Roman" w:hAnsi="Times New Roman" w:eastAsia="宋体" w:cs="Times New Roman"/>
                <w:szCs w:val="21"/>
              </w:rPr>
              <w:t>出具的证明文件。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 w:hRule="atLeast"/>
        </w:trPr>
        <w:tc>
          <w:tcPr>
            <w:tcW w:w="728" w:type="dxa"/>
            <w:vMerge w:val="continue"/>
            <w:tcBorders>
              <w:top w:val="single" w:color="auto" w:sz="4" w:space="0"/>
              <w:left w:val="single" w:color="auto" w:sz="4" w:space="0"/>
              <w:bottom w:val="single" w:color="auto" w:sz="4" w:space="0"/>
              <w:right w:val="single" w:color="auto" w:sz="4" w:space="0"/>
            </w:tcBorders>
          </w:tcPr>
          <w:p/>
        </w:tc>
        <w:tc>
          <w:tcPr>
            <w:tcW w:w="683"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hint="eastAsia" w:ascii="宋体" w:hAnsi="Times New Roman"/>
              </w:rPr>
              <w:t>5</w:t>
            </w:r>
          </w:p>
        </w:tc>
        <w:tc>
          <w:tcPr>
            <w:tcW w:w="1900"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Times New Roman" w:eastAsia="Times New Roman"/>
              </w:rPr>
              <w:t>环保执行情况</w:t>
            </w:r>
          </w:p>
        </w:tc>
        <w:tc>
          <w:tcPr>
            <w:tcW w:w="850"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Times New Roman" w:eastAsia="Times New Roman"/>
              </w:rPr>
              <w:t>2</w:t>
            </w:r>
          </w:p>
        </w:tc>
        <w:tc>
          <w:tcPr>
            <w:tcW w:w="1250"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Times New Roman" w:eastAsia="Times New Roman"/>
              </w:rPr>
              <w:t>专家打分</w:t>
            </w:r>
          </w:p>
        </w:tc>
        <w:tc>
          <w:tcPr>
            <w:tcW w:w="3250" w:type="dxa"/>
            <w:tcBorders>
              <w:top w:val="single" w:color="auto" w:sz="4" w:space="0"/>
              <w:left w:val="single" w:color="auto" w:sz="4" w:space="0"/>
              <w:bottom w:val="single" w:color="auto" w:sz="4" w:space="0"/>
              <w:right w:val="single" w:color="auto" w:sz="4" w:space="0"/>
            </w:tcBorders>
          </w:tcPr>
          <w:p>
            <w:pPr>
              <w:jc w:val="left"/>
              <w:rPr>
                <w:rFonts w:ascii="宋体" w:hAnsi="宋体"/>
              </w:rPr>
            </w:pPr>
            <w:r>
              <w:rPr>
                <w:rFonts w:ascii="宋体" w:hAnsi="Times New Roman" w:eastAsia="Times New Roman"/>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 w:hRule="atLeast"/>
        </w:trPr>
        <w:tc>
          <w:tcPr>
            <w:tcW w:w="728" w:type="dxa"/>
            <w:vMerge w:val="continue"/>
            <w:tcBorders>
              <w:top w:val="single" w:color="auto" w:sz="4" w:space="0"/>
              <w:left w:val="single" w:color="auto" w:sz="4" w:space="0"/>
              <w:bottom w:val="single" w:color="auto" w:sz="4" w:space="0"/>
              <w:right w:val="single" w:color="auto" w:sz="4" w:space="0"/>
            </w:tcBorders>
          </w:tcPr>
          <w:p/>
        </w:tc>
        <w:tc>
          <w:tcPr>
            <w:tcW w:w="683"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hint="eastAsia" w:ascii="宋体" w:hAnsi="Times New Roman"/>
              </w:rPr>
              <w:t>6</w:t>
            </w:r>
          </w:p>
        </w:tc>
        <w:tc>
          <w:tcPr>
            <w:tcW w:w="1900"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Times New Roman" w:eastAsia="Times New Roman"/>
              </w:rPr>
              <w:t>服务网点</w:t>
            </w:r>
          </w:p>
        </w:tc>
        <w:tc>
          <w:tcPr>
            <w:tcW w:w="850"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hint="eastAsia" w:ascii="宋体" w:hAnsi="Times New Roman"/>
              </w:rPr>
              <w:t>3</w:t>
            </w:r>
          </w:p>
        </w:tc>
        <w:tc>
          <w:tcPr>
            <w:tcW w:w="1250"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Times New Roman" w:eastAsia="Times New Roman"/>
              </w:rPr>
              <w:t>专家打分</w:t>
            </w:r>
          </w:p>
        </w:tc>
        <w:tc>
          <w:tcPr>
            <w:tcW w:w="325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left"/>
              <w:rPr>
                <w:rFonts w:ascii="宋体" w:hAnsi="宋体"/>
              </w:rPr>
            </w:pPr>
            <w:r>
              <w:rPr>
                <w:rFonts w:ascii="宋体" w:hAnsi="宋体"/>
                <w:szCs w:val="21"/>
              </w:rPr>
              <w:t>深圳供应商，或非深圳供应商但在深圳有合法注册的分公司</w:t>
            </w:r>
            <w:r>
              <w:rPr>
                <w:rFonts w:hint="eastAsia" w:ascii="宋体" w:hAnsi="宋体"/>
                <w:szCs w:val="21"/>
              </w:rPr>
              <w:t>（或售后机构）</w:t>
            </w:r>
            <w:r>
              <w:rPr>
                <w:rFonts w:ascii="宋体" w:hAnsi="宋体"/>
                <w:szCs w:val="21"/>
              </w:rPr>
              <w:t>（</w:t>
            </w:r>
            <w:r>
              <w:rPr>
                <w:rFonts w:hint="eastAsia" w:ascii="宋体" w:hAnsi="宋体"/>
                <w:szCs w:val="21"/>
              </w:rPr>
              <w:t>分公司的</w:t>
            </w:r>
            <w:r>
              <w:rPr>
                <w:rFonts w:ascii="宋体" w:hAnsi="宋体"/>
                <w:szCs w:val="21"/>
              </w:rPr>
              <w:t>必须提供分公司营业执照扫描件</w:t>
            </w:r>
            <w:r>
              <w:rPr>
                <w:rFonts w:hint="eastAsia" w:ascii="宋体" w:hAnsi="宋体"/>
                <w:szCs w:val="21"/>
              </w:rPr>
              <w:t>，售后机构必须同时提供售后服务合作合同及售后机构营业执照扫描件作为得分依据</w:t>
            </w:r>
            <w:r>
              <w:rPr>
                <w:rFonts w:ascii="宋体" w:hAnsi="宋体"/>
                <w:szCs w:val="21"/>
              </w:rPr>
              <w:t>，原件备查）的，得100分；否则不得分</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 w:hRule="atLeast"/>
        </w:trPr>
        <w:tc>
          <w:tcPr>
            <w:tcW w:w="728"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4</w:t>
            </w:r>
          </w:p>
        </w:tc>
        <w:tc>
          <w:tcPr>
            <w:tcW w:w="4683"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hint="eastAsia" w:ascii="宋体" w:hAnsi="Times New Roman"/>
              </w:rPr>
              <w:t>诚信情况</w:t>
            </w:r>
          </w:p>
        </w:tc>
        <w:tc>
          <w:tcPr>
            <w:tcW w:w="3250"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hint="eastAsia" w:ascii="宋体" w:hAnsi="Times New Roma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 w:hRule="atLeast"/>
        </w:trPr>
        <w:tc>
          <w:tcPr>
            <w:tcW w:w="728" w:type="dxa"/>
            <w:vMerge w:val="restart"/>
            <w:tcBorders>
              <w:top w:val="single" w:color="auto" w:sz="4" w:space="0"/>
              <w:left w:val="single" w:color="auto" w:sz="4" w:space="0"/>
              <w:right w:val="single" w:color="auto" w:sz="4" w:space="0"/>
            </w:tcBorders>
          </w:tcPr>
          <w:p>
            <w:pPr>
              <w:jc w:val="center"/>
              <w:rPr>
                <w:rFonts w:ascii="宋体" w:hAnsi="宋体"/>
              </w:rPr>
            </w:pPr>
          </w:p>
        </w:tc>
        <w:tc>
          <w:tcPr>
            <w:tcW w:w="683"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Times New Roman" w:eastAsia="Times New Roman"/>
              </w:rPr>
              <w:t>序号</w:t>
            </w:r>
          </w:p>
        </w:tc>
        <w:tc>
          <w:tcPr>
            <w:tcW w:w="1900"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Times New Roman" w:eastAsia="Times New Roman"/>
              </w:rPr>
              <w:t>评分因素</w:t>
            </w:r>
          </w:p>
        </w:tc>
        <w:tc>
          <w:tcPr>
            <w:tcW w:w="850"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Times New Roman" w:eastAsia="Times New Roman"/>
              </w:rPr>
              <w:t>权重</w:t>
            </w:r>
          </w:p>
        </w:tc>
        <w:tc>
          <w:tcPr>
            <w:tcW w:w="1250"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Times New Roman" w:eastAsia="Times New Roman"/>
              </w:rPr>
              <w:t>评分方式</w:t>
            </w:r>
          </w:p>
        </w:tc>
        <w:tc>
          <w:tcPr>
            <w:tcW w:w="3250"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Times New Roman" w:eastAsia="Times New Roman"/>
              </w:rPr>
              <w:t>评分准则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 w:hRule="atLeast"/>
        </w:trPr>
        <w:tc>
          <w:tcPr>
            <w:tcW w:w="728" w:type="dxa"/>
            <w:vMerge w:val="continue"/>
            <w:tcBorders>
              <w:left w:val="single" w:color="auto" w:sz="4" w:space="0"/>
              <w:right w:val="single" w:color="auto" w:sz="4" w:space="0"/>
            </w:tcBorders>
          </w:tcPr>
          <w:p/>
        </w:tc>
        <w:tc>
          <w:tcPr>
            <w:tcW w:w="683"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Times New Roman" w:eastAsia="Times New Roman"/>
              </w:rPr>
              <w:t>1</w:t>
            </w:r>
          </w:p>
        </w:tc>
        <w:tc>
          <w:tcPr>
            <w:tcW w:w="1900"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Times New Roman" w:hAnsi="Times New Roman" w:eastAsia="宋体" w:cs="Times New Roman"/>
                <w:szCs w:val="21"/>
              </w:rPr>
              <w:t>诚信评价</w:t>
            </w:r>
          </w:p>
        </w:tc>
        <w:tc>
          <w:tcPr>
            <w:tcW w:w="850" w:type="dxa"/>
            <w:tcBorders>
              <w:top w:val="single" w:color="auto" w:sz="4" w:space="0"/>
              <w:left w:val="single" w:color="auto" w:sz="4" w:space="0"/>
              <w:bottom w:val="single" w:color="auto" w:sz="4" w:space="0"/>
              <w:right w:val="single" w:color="auto" w:sz="4" w:space="0"/>
            </w:tcBorders>
          </w:tcPr>
          <w:p>
            <w:pPr>
              <w:jc w:val="center"/>
              <w:rPr>
                <w:rFonts w:ascii="宋体" w:hAnsi="宋体"/>
                <w:sz w:val="20"/>
                <w:szCs w:val="20"/>
              </w:rPr>
            </w:pPr>
            <w:r>
              <w:rPr>
                <w:rFonts w:hint="eastAsia" w:ascii="宋体" w:hAnsi="宋体"/>
                <w:sz w:val="20"/>
                <w:szCs w:val="20"/>
              </w:rPr>
              <w:t>5</w:t>
            </w:r>
          </w:p>
        </w:tc>
        <w:tc>
          <w:tcPr>
            <w:tcW w:w="1250" w:type="dxa"/>
            <w:tcBorders>
              <w:top w:val="single" w:color="auto" w:sz="4" w:space="0"/>
              <w:left w:val="single" w:color="auto" w:sz="4" w:space="0"/>
              <w:bottom w:val="single" w:color="auto" w:sz="4" w:space="0"/>
              <w:right w:val="single" w:color="auto" w:sz="4" w:space="0"/>
            </w:tcBorders>
          </w:tcPr>
          <w:p>
            <w:pPr>
              <w:jc w:val="center"/>
              <w:rPr>
                <w:rFonts w:ascii="宋体" w:hAnsi="宋体"/>
                <w:sz w:val="20"/>
                <w:szCs w:val="20"/>
              </w:rPr>
            </w:pPr>
            <w:r>
              <w:rPr>
                <w:rFonts w:hint="eastAsia" w:ascii="宋体" w:hAnsi="宋体"/>
                <w:sz w:val="20"/>
                <w:szCs w:val="20"/>
              </w:rPr>
              <w:t>专家打分</w:t>
            </w:r>
          </w:p>
        </w:tc>
        <w:tc>
          <w:tcPr>
            <w:tcW w:w="325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ascii="Times New Roman" w:hAnsi="Times New Roman" w:eastAsia="宋体" w:cs="Times New Roman"/>
                <w:szCs w:val="21"/>
              </w:rPr>
              <w:t>根据《深圳市财政委员会关于加强招投标评审环节诚信管理的通知》（深财购[2013]27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 w:hRule="atLeast"/>
        </w:trPr>
        <w:tc>
          <w:tcPr>
            <w:tcW w:w="728" w:type="dxa"/>
            <w:vMerge w:val="continue"/>
            <w:tcBorders>
              <w:left w:val="single" w:color="auto" w:sz="4" w:space="0"/>
              <w:bottom w:val="single" w:color="auto" w:sz="4" w:space="0"/>
              <w:right w:val="single" w:color="auto" w:sz="4" w:space="0"/>
            </w:tcBorders>
          </w:tcPr>
          <w:p/>
        </w:tc>
        <w:tc>
          <w:tcPr>
            <w:tcW w:w="683"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2</w:t>
            </w:r>
          </w:p>
        </w:tc>
        <w:tc>
          <w:tcPr>
            <w:tcW w:w="190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履约评价情况</w:t>
            </w:r>
          </w:p>
        </w:tc>
        <w:tc>
          <w:tcPr>
            <w:tcW w:w="85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2</w:t>
            </w:r>
          </w:p>
        </w:tc>
        <w:tc>
          <w:tcPr>
            <w:tcW w:w="125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325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ascii="Times New Roman" w:hAnsi="Times New Roman" w:eastAsia="宋体"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pPr>
        <w:keepNext/>
        <w:keepLines/>
        <w:spacing w:before="340" w:after="330" w:line="360" w:lineRule="auto"/>
        <w:jc w:val="center"/>
        <w:outlineLvl w:val="0"/>
        <w:rPr>
          <w:rFonts w:ascii="宋体" w:hAnsi="宋体" w:eastAsia="黑体" w:cs="Times New Roman"/>
          <w:b/>
          <w:bCs/>
          <w:kern w:val="44"/>
          <w:sz w:val="28"/>
          <w:szCs w:val="44"/>
        </w:rPr>
      </w:pPr>
      <w:r>
        <w:rPr>
          <w:rFonts w:hint="eastAsia" w:ascii="宋体" w:hAnsi="宋体" w:eastAsia="黑体" w:cs="Times New Roman"/>
          <w:b/>
          <w:bCs/>
          <w:kern w:val="44"/>
          <w:sz w:val="28"/>
          <w:szCs w:val="44"/>
        </w:rPr>
        <w:t>目   录</w:t>
      </w:r>
    </w:p>
    <w:p>
      <w:pPr>
        <w:rPr>
          <w:rFonts w:ascii="Times New Roman" w:hAnsi="Times New Roman" w:eastAsia="宋体" w:cs="Times New Roman"/>
          <w:b/>
          <w:sz w:val="24"/>
          <w:szCs w:val="24"/>
        </w:rPr>
      </w:pPr>
      <w:r>
        <w:rPr>
          <w:rFonts w:hint="eastAsia" w:ascii="Times New Roman" w:hAnsi="Times New Roman" w:eastAsia="宋体" w:cs="Times New Roman"/>
          <w:b/>
          <w:sz w:val="24"/>
          <w:szCs w:val="24"/>
        </w:rPr>
        <w:t>第一册  专用条款</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关键信息</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第一章  招标公告</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第二章  招标项目需求</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第三章  投标文件格式、附件</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第四章  采购合同的签订、履行及验收</w:t>
      </w:r>
    </w:p>
    <w:p>
      <w:pPr>
        <w:rPr>
          <w:rFonts w:ascii="Times New Roman" w:hAnsi="Times New Roman" w:eastAsia="宋体" w:cs="Times New Roman"/>
          <w:b/>
          <w:sz w:val="24"/>
          <w:szCs w:val="24"/>
        </w:rPr>
      </w:pPr>
    </w:p>
    <w:p>
      <w:pPr>
        <w:rPr>
          <w:rFonts w:ascii="Times New Roman" w:hAnsi="Times New Roman" w:eastAsia="宋体" w:cs="Times New Roman"/>
          <w:b/>
          <w:sz w:val="24"/>
          <w:szCs w:val="24"/>
        </w:rPr>
      </w:pPr>
      <w:r>
        <w:rPr>
          <w:rFonts w:hint="eastAsia" w:ascii="Times New Roman" w:hAnsi="Times New Roman" w:eastAsia="宋体" w:cs="Times New Roman"/>
          <w:b/>
          <w:sz w:val="24"/>
          <w:szCs w:val="24"/>
        </w:rPr>
        <w:t>第二册  通用条款</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第一章</w:t>
      </w:r>
      <w:r>
        <w:rPr>
          <w:rFonts w:ascii="宋体" w:hAnsi="宋体" w:eastAsia="宋体" w:cs="Times New Roman"/>
          <w:szCs w:val="21"/>
        </w:rPr>
        <w:t xml:space="preserve"> </w:t>
      </w:r>
      <w:r>
        <w:rPr>
          <w:rFonts w:hint="eastAsia" w:ascii="宋体" w:hAnsi="宋体" w:eastAsia="宋体" w:cs="Times New Roman"/>
          <w:szCs w:val="21"/>
        </w:rPr>
        <w:t>总则</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第二章</w:t>
      </w:r>
      <w:r>
        <w:rPr>
          <w:rFonts w:ascii="宋体" w:hAnsi="宋体" w:eastAsia="宋体" w:cs="Times New Roman"/>
          <w:szCs w:val="21"/>
        </w:rPr>
        <w:t xml:space="preserve"> </w:t>
      </w:r>
      <w:r>
        <w:rPr>
          <w:rFonts w:hint="eastAsia" w:ascii="宋体" w:hAnsi="宋体" w:eastAsia="宋体" w:cs="Times New Roman"/>
          <w:szCs w:val="21"/>
        </w:rPr>
        <w:t>招标文件</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第三章</w:t>
      </w:r>
      <w:r>
        <w:rPr>
          <w:rFonts w:ascii="宋体" w:hAnsi="宋体" w:eastAsia="宋体" w:cs="Times New Roman"/>
          <w:szCs w:val="21"/>
        </w:rPr>
        <w:t xml:space="preserve"> </w:t>
      </w:r>
      <w:r>
        <w:rPr>
          <w:rFonts w:hint="eastAsia" w:ascii="宋体" w:hAnsi="宋体" w:eastAsia="宋体" w:cs="Times New Roman"/>
          <w:szCs w:val="21"/>
        </w:rPr>
        <w:t>投标文件的编制</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第四章</w:t>
      </w:r>
      <w:r>
        <w:rPr>
          <w:rFonts w:ascii="宋体" w:hAnsi="宋体" w:eastAsia="宋体" w:cs="Times New Roman"/>
          <w:szCs w:val="21"/>
        </w:rPr>
        <w:t xml:space="preserve"> </w:t>
      </w:r>
      <w:r>
        <w:rPr>
          <w:rFonts w:hint="eastAsia" w:ascii="宋体" w:hAnsi="宋体" w:eastAsia="宋体" w:cs="Times New Roman"/>
          <w:szCs w:val="21"/>
        </w:rPr>
        <w:t>投标文件的递交</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第五章</w:t>
      </w:r>
      <w:r>
        <w:rPr>
          <w:rFonts w:ascii="宋体" w:hAnsi="宋体" w:eastAsia="宋体" w:cs="Times New Roman"/>
          <w:szCs w:val="21"/>
        </w:rPr>
        <w:t xml:space="preserve"> </w:t>
      </w:r>
      <w:r>
        <w:rPr>
          <w:rFonts w:hint="eastAsia" w:ascii="宋体" w:hAnsi="宋体" w:eastAsia="宋体" w:cs="Times New Roman"/>
          <w:szCs w:val="21"/>
        </w:rPr>
        <w:t>开标</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第六章</w:t>
      </w:r>
      <w:r>
        <w:rPr>
          <w:rFonts w:ascii="宋体" w:hAnsi="宋体" w:eastAsia="宋体" w:cs="Times New Roman"/>
          <w:szCs w:val="21"/>
        </w:rPr>
        <w:t xml:space="preserve"> </w:t>
      </w:r>
      <w:r>
        <w:rPr>
          <w:rFonts w:hint="eastAsia" w:ascii="宋体" w:hAnsi="宋体" w:eastAsia="宋体" w:cs="Times New Roman"/>
          <w:szCs w:val="21"/>
        </w:rPr>
        <w:t>评标要求</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第七章</w:t>
      </w:r>
      <w:r>
        <w:rPr>
          <w:rFonts w:ascii="宋体" w:hAnsi="宋体" w:eastAsia="宋体" w:cs="Times New Roman"/>
          <w:szCs w:val="21"/>
        </w:rPr>
        <w:t xml:space="preserve"> </w:t>
      </w:r>
      <w:r>
        <w:rPr>
          <w:rFonts w:hint="eastAsia" w:ascii="宋体" w:hAnsi="宋体" w:eastAsia="宋体" w:cs="Times New Roman"/>
          <w:szCs w:val="21"/>
        </w:rPr>
        <w:t>评标程序及评标方法</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第八章</w:t>
      </w:r>
      <w:r>
        <w:rPr>
          <w:rFonts w:ascii="宋体" w:hAnsi="宋体" w:eastAsia="宋体" w:cs="Times New Roman"/>
          <w:szCs w:val="21"/>
        </w:rPr>
        <w:t xml:space="preserve"> </w:t>
      </w:r>
      <w:r>
        <w:rPr>
          <w:rFonts w:hint="eastAsia" w:ascii="宋体" w:hAnsi="宋体" w:eastAsia="宋体" w:cs="Times New Roman"/>
          <w:szCs w:val="21"/>
        </w:rPr>
        <w:t>定标及公示</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第九章</w:t>
      </w:r>
      <w:r>
        <w:rPr>
          <w:rFonts w:ascii="宋体" w:hAnsi="宋体" w:eastAsia="宋体" w:cs="Times New Roman"/>
          <w:szCs w:val="21"/>
        </w:rPr>
        <w:t xml:space="preserve"> </w:t>
      </w:r>
      <w:r>
        <w:rPr>
          <w:rFonts w:hint="eastAsia" w:ascii="宋体" w:hAnsi="宋体" w:eastAsia="宋体" w:cs="Times New Roman"/>
          <w:szCs w:val="21"/>
        </w:rPr>
        <w:t>公开招标失败的后续处理</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第十章</w:t>
      </w:r>
      <w:r>
        <w:rPr>
          <w:rFonts w:ascii="宋体" w:hAnsi="宋体" w:eastAsia="宋体" w:cs="Times New Roman"/>
          <w:szCs w:val="21"/>
        </w:rPr>
        <w:t xml:space="preserve"> </w:t>
      </w:r>
      <w:r>
        <w:rPr>
          <w:rFonts w:hint="eastAsia" w:ascii="宋体" w:hAnsi="宋体" w:eastAsia="宋体" w:cs="Times New Roman"/>
          <w:szCs w:val="21"/>
        </w:rPr>
        <w:t>合同的授予与备案</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第十一章</w:t>
      </w:r>
      <w:r>
        <w:rPr>
          <w:rFonts w:ascii="宋体" w:hAnsi="宋体" w:eastAsia="宋体" w:cs="Times New Roman"/>
          <w:szCs w:val="21"/>
        </w:rPr>
        <w:t xml:space="preserve"> </w:t>
      </w:r>
      <w:r>
        <w:rPr>
          <w:rFonts w:hint="eastAsia" w:ascii="宋体" w:hAnsi="宋体" w:eastAsia="宋体" w:cs="Times New Roman"/>
          <w:szCs w:val="21"/>
        </w:rPr>
        <w:t>质疑处理</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第十二章</w:t>
      </w:r>
      <w:r>
        <w:rPr>
          <w:rFonts w:ascii="宋体" w:hAnsi="宋体" w:eastAsia="宋体" w:cs="Times New Roman"/>
          <w:szCs w:val="21"/>
        </w:rPr>
        <w:t xml:space="preserve"> </w:t>
      </w:r>
      <w:r>
        <w:rPr>
          <w:rFonts w:hint="eastAsia" w:ascii="宋体" w:hAnsi="宋体" w:eastAsia="宋体" w:cs="Times New Roman"/>
          <w:szCs w:val="21"/>
        </w:rPr>
        <w:t>条款解释</w:t>
      </w:r>
    </w:p>
    <w:p>
      <w:pPr>
        <w:rPr>
          <w:rFonts w:ascii="Times New Roman" w:hAnsi="Times New Roman" w:eastAsia="宋体" w:cs="Times New Roman"/>
          <w:sz w:val="24"/>
          <w:szCs w:val="24"/>
        </w:rPr>
      </w:pPr>
    </w:p>
    <w:p>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ascii="宋体" w:hAnsi="宋体" w:eastAsia="宋体" w:cs="Times New Roman"/>
          <w:b/>
          <w:bCs/>
          <w:kern w:val="0"/>
          <w:sz w:val="24"/>
          <w:szCs w:val="20"/>
        </w:rPr>
        <w:br w:type="page"/>
      </w:r>
      <w:bookmarkStart w:id="0" w:name="bt本工程承诺书"/>
      <w:bookmarkEnd w:id="0"/>
      <w:bookmarkStart w:id="1" w:name="bt其他资料由投标人自定"/>
      <w:bookmarkEnd w:id="1"/>
      <w:bookmarkStart w:id="2" w:name="bt投标人情况介绍"/>
      <w:bookmarkEnd w:id="2"/>
      <w:bookmarkStart w:id="3" w:name="bt其他资料2"/>
      <w:bookmarkEnd w:id="3"/>
      <w:bookmarkStart w:id="4" w:name="bt项目管理班子配备情况"/>
      <w:bookmarkEnd w:id="4"/>
      <w:bookmarkStart w:id="5" w:name="bt投标报价汇总表"/>
      <w:bookmarkEnd w:id="5"/>
      <w:bookmarkStart w:id="6" w:name="bt技术标投标文件格式"/>
      <w:bookmarkEnd w:id="6"/>
      <w:bookmarkStart w:id="7" w:name="bt商务标投标文件格式"/>
      <w:bookmarkEnd w:id="7"/>
      <w:bookmarkStart w:id="8" w:name="合同格式"/>
      <w:bookmarkEnd w:id="8"/>
      <w:bookmarkStart w:id="9" w:name="bt投标人须知"/>
      <w:bookmarkEnd w:id="9"/>
      <w:bookmarkStart w:id="10" w:name="bt投标函"/>
      <w:bookmarkEnd w:id="10"/>
      <w:bookmarkStart w:id="11" w:name="bt合同条款及格式"/>
      <w:bookmarkEnd w:id="11"/>
      <w:bookmarkStart w:id="12" w:name="bt开标一览表"/>
      <w:bookmarkEnd w:id="12"/>
      <w:bookmarkStart w:id="13" w:name="bt合同条款"/>
      <w:bookmarkEnd w:id="13"/>
      <w:bookmarkStart w:id="14" w:name="bt合同格式"/>
      <w:bookmarkEnd w:id="14"/>
      <w:bookmarkStart w:id="15" w:name="bt投标文件签署授权委托书"/>
      <w:bookmarkEnd w:id="15"/>
      <w:bookmarkStart w:id="16" w:name="bt说明"/>
      <w:bookmarkEnd w:id="16"/>
      <w:r>
        <w:rPr>
          <w:rFonts w:hint="eastAsia" w:ascii="宋体" w:hAnsi="宋体" w:eastAsia="宋体" w:cs="Times New Roman"/>
          <w:b/>
          <w:bCs/>
          <w:kern w:val="0"/>
          <w:sz w:val="24"/>
          <w:szCs w:val="20"/>
        </w:rPr>
        <w:t>第一册  专用条款</w:t>
      </w:r>
    </w:p>
    <w:p>
      <w:pPr>
        <w:keepNext/>
        <w:keepLines/>
        <w:adjustRightInd w:val="0"/>
        <w:spacing w:before="260" w:after="260"/>
        <w:jc w:val="center"/>
        <w:textAlignment w:val="baseline"/>
        <w:outlineLvl w:val="1"/>
        <w:rPr>
          <w:rFonts w:ascii="宋体" w:hAnsi="宋体" w:eastAsia="宋体" w:cs="Times New Roman"/>
          <w:b/>
          <w:bCs/>
          <w:kern w:val="0"/>
          <w:sz w:val="24"/>
          <w:szCs w:val="20"/>
        </w:rPr>
      </w:pPr>
      <w:r>
        <w:rPr>
          <w:rFonts w:hint="eastAsia" w:ascii="宋体" w:hAnsi="宋体" w:eastAsia="宋体" w:cs="Times New Roman"/>
          <w:b/>
          <w:bCs/>
          <w:kern w:val="0"/>
          <w:sz w:val="24"/>
          <w:szCs w:val="20"/>
        </w:rPr>
        <w:t>第一章  招标公告</w:t>
      </w:r>
    </w:p>
    <w:p>
      <w:pPr>
        <w:ind w:firstLine="420" w:firstLineChars="200"/>
        <w:rPr>
          <w:rFonts w:ascii="宋体" w:hAnsi="宋体" w:eastAsia="宋体" w:cs="宋体"/>
          <w:kern w:val="0"/>
          <w:szCs w:val="21"/>
        </w:rPr>
      </w:pPr>
      <w:r>
        <w:rPr>
          <w:rFonts w:hint="eastAsia" w:ascii="宋体" w:hAnsi="宋体" w:eastAsia="宋体" w:cs="宋体"/>
          <w:kern w:val="0"/>
          <w:szCs w:val="21"/>
        </w:rPr>
        <w:t>根据《深圳经济特区政府采购条例》和《深圳大学采购</w:t>
      </w:r>
      <w:r>
        <w:rPr>
          <w:rFonts w:ascii="宋体" w:hAnsi="宋体" w:eastAsia="宋体" w:cs="宋体"/>
          <w:kern w:val="0"/>
          <w:szCs w:val="21"/>
        </w:rPr>
        <w:t>管理办法</w:t>
      </w:r>
      <w:r>
        <w:rPr>
          <w:rFonts w:hint="eastAsia" w:ascii="宋体" w:hAnsi="宋体" w:eastAsia="宋体" w:cs="宋体"/>
          <w:kern w:val="0"/>
          <w:szCs w:val="21"/>
        </w:rPr>
        <w:t>》的有关规定，经</w:t>
      </w:r>
      <w:r>
        <w:rPr>
          <w:rFonts w:ascii="宋体" w:hAnsi="宋体" w:eastAsia="宋体" w:cs="宋体"/>
          <w:kern w:val="0"/>
          <w:szCs w:val="21"/>
        </w:rPr>
        <w:t>批准，</w:t>
      </w:r>
      <w:r>
        <w:rPr>
          <w:rFonts w:hint="eastAsia" w:ascii="宋体" w:hAnsi="宋体" w:eastAsia="宋体" w:cs="宋体"/>
          <w:kern w:val="0"/>
          <w:szCs w:val="21"/>
        </w:rPr>
        <w:t>深圳大学招投标管理中心就</w:t>
      </w:r>
      <w:r>
        <w:rPr>
          <w:rFonts w:hint="eastAsia" w:ascii="宋体" w:hAnsi="宋体" w:eastAsia="宋体" w:cs="宋体"/>
          <w:kern w:val="0"/>
          <w:szCs w:val="21"/>
          <w:u w:val="single"/>
        </w:rPr>
        <w:t xml:space="preserve">  丽湖校区服务大厅、会议室二次装修设计 </w:t>
      </w:r>
      <w:r>
        <w:rPr>
          <w:rFonts w:ascii="Times New Roman" w:hAnsi="Times New Roman" w:eastAsia="宋体" w:cs="Times New Roman"/>
          <w:szCs w:val="24"/>
        </w:rPr>
        <w:t>项目</w:t>
      </w:r>
      <w:r>
        <w:rPr>
          <w:rFonts w:hint="eastAsia" w:ascii="宋体" w:hAnsi="宋体" w:eastAsia="宋体" w:cs="宋体"/>
          <w:kern w:val="0"/>
          <w:szCs w:val="21"/>
        </w:rPr>
        <w:t>，进行公开招标，欢迎符合</w:t>
      </w:r>
      <w:r>
        <w:rPr>
          <w:rFonts w:ascii="宋体" w:hAnsi="宋体" w:eastAsia="宋体" w:cs="宋体"/>
          <w:kern w:val="0"/>
          <w:szCs w:val="21"/>
        </w:rPr>
        <w:t>资格要求的供应商参加</w:t>
      </w:r>
      <w:r>
        <w:rPr>
          <w:rFonts w:hint="eastAsia" w:ascii="宋体" w:hAnsi="宋体" w:eastAsia="宋体" w:cs="宋体"/>
          <w:kern w:val="0"/>
          <w:szCs w:val="21"/>
        </w:rPr>
        <w:t xml:space="preserve">投标。 </w:t>
      </w:r>
    </w:p>
    <w:p>
      <w:pPr>
        <w:ind w:firstLine="420" w:firstLineChars="200"/>
        <w:rPr>
          <w:rFonts w:ascii="宋体" w:hAnsi="宋体" w:eastAsia="宋体" w:cs="宋体"/>
          <w:kern w:val="0"/>
          <w:szCs w:val="21"/>
        </w:rPr>
      </w:pPr>
    </w:p>
    <w:p>
      <w:pPr>
        <w:numPr>
          <w:ilvl w:val="0"/>
          <w:numId w:val="9"/>
        </w:numPr>
        <w:rPr>
          <w:rFonts w:ascii="宋体" w:hAnsi="宋体" w:eastAsia="宋体" w:cs="宋体"/>
          <w:kern w:val="0"/>
          <w:szCs w:val="21"/>
        </w:rPr>
      </w:pPr>
      <w:r>
        <w:rPr>
          <w:rFonts w:hint="eastAsia" w:ascii="宋体" w:hAnsi="宋体" w:eastAsia="宋体" w:cs="宋体"/>
          <w:kern w:val="0"/>
          <w:szCs w:val="21"/>
        </w:rPr>
        <w:t>招标项目编号：</w:t>
      </w:r>
      <w:r>
        <w:rPr>
          <w:rFonts w:hint="eastAsia" w:ascii="Times New Roman" w:hAnsi="Times New Roman" w:eastAsia="宋体" w:cs="Times New Roman"/>
          <w:color w:val="FF0000"/>
          <w:szCs w:val="24"/>
        </w:rPr>
        <w:t xml:space="preserve">SZUCG20210029FW </w:t>
      </w:r>
    </w:p>
    <w:p>
      <w:pPr>
        <w:numPr>
          <w:ilvl w:val="0"/>
          <w:numId w:val="9"/>
        </w:numPr>
        <w:rPr>
          <w:rFonts w:ascii="宋体" w:hAnsi="宋体" w:eastAsia="宋体" w:cs="宋体"/>
          <w:kern w:val="0"/>
          <w:szCs w:val="21"/>
          <w:u w:val="single"/>
        </w:rPr>
      </w:pPr>
      <w:r>
        <w:rPr>
          <w:rFonts w:hint="eastAsia" w:ascii="宋体" w:hAnsi="宋体" w:eastAsia="宋体" w:cs="宋体"/>
          <w:kern w:val="0"/>
          <w:szCs w:val="21"/>
        </w:rPr>
        <w:t>招标项目名称：</w:t>
      </w:r>
      <w:r>
        <w:rPr>
          <w:rFonts w:hint="eastAsia" w:ascii="宋体" w:hAnsi="宋体" w:eastAsia="宋体" w:cs="宋体"/>
          <w:color w:val="FF0000"/>
          <w:kern w:val="0"/>
          <w:szCs w:val="21"/>
        </w:rPr>
        <w:t>丽湖校区服务大厅、会议室二次装修设计</w:t>
      </w:r>
    </w:p>
    <w:p>
      <w:pPr>
        <w:numPr>
          <w:ilvl w:val="0"/>
          <w:numId w:val="9"/>
        </w:numPr>
        <w:rPr>
          <w:rFonts w:ascii="宋体" w:hAnsi="宋体" w:eastAsia="宋体" w:cs="宋体"/>
          <w:kern w:val="0"/>
          <w:szCs w:val="21"/>
        </w:rPr>
      </w:pPr>
      <w:r>
        <w:rPr>
          <w:rFonts w:hint="eastAsia" w:ascii="宋体" w:hAnsi="宋体" w:eastAsia="宋体" w:cs="宋体"/>
          <w:kern w:val="0"/>
          <w:szCs w:val="21"/>
        </w:rPr>
        <w:t>项目概况：</w:t>
      </w:r>
      <w:r>
        <w:rPr>
          <w:rFonts w:hint="eastAsia" w:ascii="Times New Roman" w:hAnsi="Times New Roman" w:eastAsia="宋体" w:cs="Times New Roman"/>
          <w:szCs w:val="24"/>
          <w:u w:val="single"/>
        </w:rPr>
        <w:t xml:space="preserve">  详见招标</w:t>
      </w:r>
      <w:r>
        <w:rPr>
          <w:rFonts w:ascii="Times New Roman" w:hAnsi="Times New Roman" w:eastAsia="宋体" w:cs="Times New Roman"/>
          <w:szCs w:val="24"/>
          <w:u w:val="single"/>
        </w:rPr>
        <w:t>文件</w:t>
      </w:r>
      <w:r>
        <w:rPr>
          <w:rFonts w:hint="eastAsia" w:ascii="Times New Roman" w:hAnsi="Times New Roman" w:eastAsia="宋体" w:cs="Times New Roman"/>
          <w:szCs w:val="24"/>
          <w:u w:val="single"/>
        </w:rPr>
        <w:t xml:space="preserve"> </w:t>
      </w:r>
    </w:p>
    <w:p>
      <w:pPr>
        <w:numPr>
          <w:ilvl w:val="0"/>
          <w:numId w:val="9"/>
        </w:numPr>
        <w:rPr>
          <w:rFonts w:ascii="宋体" w:hAnsi="宋体" w:eastAsia="宋体" w:cs="宋体"/>
          <w:kern w:val="0"/>
          <w:szCs w:val="21"/>
        </w:rPr>
      </w:pPr>
      <w:r>
        <w:rPr>
          <w:rFonts w:hint="eastAsia" w:ascii="宋体" w:hAnsi="宋体" w:eastAsia="宋体" w:cs="宋体"/>
          <w:kern w:val="0"/>
          <w:szCs w:val="21"/>
        </w:rPr>
        <w:t>投标人资格要求：</w:t>
      </w:r>
    </w:p>
    <w:p>
      <w:pPr>
        <w:numPr>
          <w:ilvl w:val="1"/>
          <w:numId w:val="9"/>
        </w:numPr>
        <w:rPr>
          <w:rFonts w:ascii="宋体" w:hAnsi="宋体" w:eastAsia="宋体" w:cs="宋体"/>
          <w:kern w:val="0"/>
          <w:szCs w:val="21"/>
        </w:rPr>
      </w:pPr>
      <w:r>
        <w:rPr>
          <w:rFonts w:hint="eastAsia" w:ascii="宋体" w:hAnsi="宋体" w:eastAsia="宋体" w:cs="宋体"/>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hint="eastAsia" w:ascii="宋体" w:hAnsi="宋体" w:eastAsia="宋体" w:cs="Times New Roman"/>
          <w:szCs w:val="21"/>
        </w:rPr>
        <w:t>；</w:t>
      </w:r>
    </w:p>
    <w:p>
      <w:pPr>
        <w:pStyle w:val="214"/>
        <w:numPr>
          <w:ilvl w:val="1"/>
          <w:numId w:val="9"/>
        </w:numPr>
        <w:ind w:firstLineChars="0"/>
        <w:rPr>
          <w:rFonts w:ascii="宋体" w:hAnsi="宋体" w:eastAsia="宋体" w:cs="Times New Roman"/>
          <w:szCs w:val="21"/>
        </w:rPr>
      </w:pPr>
      <w:r>
        <w:rPr>
          <w:rFonts w:hint="eastAsia" w:ascii="宋体" w:hAnsi="宋体" w:eastAsia="宋体" w:cs="Times New Roman"/>
          <w:szCs w:val="21"/>
        </w:rPr>
        <w:t>投标人具有建筑装饰工程设计专项甲级资质，建筑智能化系统设计专项甲级；</w:t>
      </w:r>
    </w:p>
    <w:p>
      <w:pPr>
        <w:numPr>
          <w:ilvl w:val="1"/>
          <w:numId w:val="9"/>
        </w:numPr>
        <w:rPr>
          <w:rFonts w:ascii="宋体" w:hAnsi="宋体" w:eastAsia="宋体" w:cs="宋体"/>
          <w:kern w:val="0"/>
          <w:szCs w:val="21"/>
        </w:rPr>
      </w:pPr>
      <w:r>
        <w:rPr>
          <w:rFonts w:ascii="宋体" w:hAnsi="宋体" w:eastAsia="宋体" w:cs="宋体"/>
          <w:kern w:val="0"/>
          <w:szCs w:val="21"/>
        </w:rPr>
        <w:t>投标人近三年内（即至少从2018年03月开始起算，投标人成立不足三年的可从成立之日起算），在经营活动中没有重大违法记录。(证明文件：投标人须提供《无违法违规行为承诺函》加盖投标人公章)</w:t>
      </w:r>
      <w:r>
        <w:rPr>
          <w:rFonts w:hint="eastAsia" w:ascii="宋体" w:hAnsi="宋体" w:eastAsia="宋体" w:cs="宋体"/>
          <w:kern w:val="0"/>
          <w:szCs w:val="21"/>
        </w:rPr>
        <w:t>；</w:t>
      </w:r>
    </w:p>
    <w:p>
      <w:pPr>
        <w:numPr>
          <w:ilvl w:val="1"/>
          <w:numId w:val="9"/>
        </w:numPr>
        <w:rPr>
          <w:rFonts w:ascii="宋体" w:hAnsi="宋体" w:eastAsia="宋体" w:cs="宋体"/>
          <w:kern w:val="0"/>
          <w:szCs w:val="21"/>
        </w:rPr>
      </w:pPr>
      <w:r>
        <w:rPr>
          <w:rFonts w:hint="eastAsia" w:ascii="Times New Roman" w:hAnsi="Times New Roman" w:eastAsia="宋体" w:cs="Times New Roman"/>
          <w:color w:val="FF0000"/>
          <w:szCs w:val="24"/>
        </w:rPr>
        <w:t>本项目不接受进口产品投标，不接受联合体投标，不允许分包、转包</w:t>
      </w:r>
      <w:r>
        <w:rPr>
          <w:rFonts w:hint="eastAsia" w:ascii="宋体" w:hAnsi="宋体" w:eastAsia="宋体" w:cs="宋体"/>
          <w:kern w:val="0"/>
          <w:szCs w:val="21"/>
        </w:rPr>
        <w:t>；</w:t>
      </w:r>
    </w:p>
    <w:p>
      <w:pPr>
        <w:numPr>
          <w:ilvl w:val="0"/>
          <w:numId w:val="9"/>
        </w:numPr>
        <w:rPr>
          <w:rFonts w:ascii="宋体" w:hAnsi="宋体" w:eastAsia="宋体" w:cs="宋体"/>
          <w:kern w:val="0"/>
          <w:szCs w:val="21"/>
        </w:rPr>
      </w:pPr>
      <w:r>
        <w:rPr>
          <w:rFonts w:hint="eastAsia" w:ascii="宋体" w:hAnsi="宋体" w:eastAsia="宋体" w:cs="宋体"/>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pPr>
        <w:pStyle w:val="214"/>
        <w:numPr>
          <w:ilvl w:val="0"/>
          <w:numId w:val="9"/>
        </w:numPr>
        <w:adjustRightInd w:val="0"/>
        <w:snapToGrid w:val="0"/>
        <w:spacing w:line="360" w:lineRule="auto"/>
        <w:ind w:firstLineChars="0"/>
        <w:rPr>
          <w:kern w:val="0"/>
          <w:szCs w:val="21"/>
        </w:rPr>
      </w:pPr>
      <w:r>
        <w:rPr>
          <w:kern w:val="0"/>
          <w:szCs w:val="21"/>
        </w:rPr>
        <w:t>标书获得方法</w:t>
      </w:r>
      <w:r>
        <w:rPr>
          <w:rFonts w:hint="eastAsia"/>
          <w:kern w:val="0"/>
          <w:szCs w:val="21"/>
        </w:rPr>
        <w:t>：</w:t>
      </w:r>
    </w:p>
    <w:p>
      <w:pPr>
        <w:pStyle w:val="214"/>
        <w:ind w:left="420"/>
        <w:rPr>
          <w:rFonts w:ascii="宋体" w:hAnsi="宋体" w:cs="宋体"/>
          <w:b/>
          <w:color w:val="FF0000"/>
          <w:kern w:val="0"/>
          <w:szCs w:val="21"/>
        </w:rPr>
      </w:pPr>
      <w:r>
        <w:rPr>
          <w:rFonts w:hint="eastAsia" w:ascii="宋体" w:hAnsi="宋体" w:cs="宋体"/>
          <w:b/>
          <w:color w:val="FF0000"/>
          <w:kern w:val="0"/>
          <w:szCs w:val="21"/>
        </w:rPr>
        <w:t>出于疫情防控需要，投标人不能现场</w:t>
      </w:r>
      <w:r>
        <w:rPr>
          <w:rFonts w:ascii="宋体" w:hAnsi="宋体" w:cs="宋体"/>
          <w:b/>
          <w:color w:val="FF0000"/>
          <w:kern w:val="0"/>
          <w:szCs w:val="21"/>
        </w:rPr>
        <w:t>购买</w:t>
      </w:r>
      <w:r>
        <w:rPr>
          <w:rFonts w:hint="eastAsia" w:ascii="宋体" w:hAnsi="宋体" w:cs="宋体"/>
          <w:b/>
          <w:color w:val="FF0000"/>
          <w:kern w:val="0"/>
          <w:szCs w:val="21"/>
        </w:rPr>
        <w:t>招标</w:t>
      </w:r>
      <w:r>
        <w:rPr>
          <w:rFonts w:ascii="宋体" w:hAnsi="宋体" w:cs="宋体"/>
          <w:b/>
          <w:color w:val="FF0000"/>
          <w:kern w:val="0"/>
          <w:szCs w:val="21"/>
        </w:rPr>
        <w:t>文件</w:t>
      </w:r>
      <w:r>
        <w:rPr>
          <w:rFonts w:hint="eastAsia" w:ascii="宋体" w:hAnsi="宋体" w:cs="宋体"/>
          <w:b/>
          <w:color w:val="FF0000"/>
          <w:kern w:val="0"/>
          <w:szCs w:val="21"/>
        </w:rPr>
        <w:t>。如需购买招标文件请通过邮件报名，电子版招标文件可以在网站http://bidding.szu.edu.cn“招标公告”的本项目的招标公告页中下载。招标文件售后不退。</w:t>
      </w:r>
    </w:p>
    <w:p>
      <w:pPr>
        <w:pStyle w:val="214"/>
        <w:ind w:left="420"/>
        <w:rPr>
          <w:rFonts w:ascii="宋体" w:hAnsi="宋体" w:cs="宋体"/>
          <w:kern w:val="0"/>
          <w:szCs w:val="21"/>
        </w:rPr>
      </w:pPr>
      <w:r>
        <w:rPr>
          <w:rFonts w:hint="eastAsia" w:ascii="宋体" w:hAnsi="宋体" w:cs="宋体"/>
          <w:kern w:val="0"/>
          <w:szCs w:val="21"/>
        </w:rPr>
        <w:t>任何有兴趣的合格投标人可于</w:t>
      </w:r>
      <w:r>
        <w:rPr>
          <w:rFonts w:ascii="宋体" w:hAnsi="宋体" w:cs="宋体"/>
          <w:kern w:val="0"/>
          <w:szCs w:val="21"/>
        </w:rPr>
        <w:t>2021</w:t>
      </w:r>
      <w:r>
        <w:rPr>
          <w:rFonts w:hint="eastAsia" w:ascii="宋体" w:hAnsi="宋体" w:cs="宋体"/>
          <w:kern w:val="0"/>
          <w:szCs w:val="21"/>
        </w:rPr>
        <w:t>年</w:t>
      </w:r>
      <w:r>
        <w:rPr>
          <w:rFonts w:hint="eastAsia" w:ascii="宋体" w:hAnsi="宋体" w:cs="宋体"/>
          <w:kern w:val="0"/>
          <w:szCs w:val="21"/>
          <w:lang w:val="en-US" w:eastAsia="zh-CN"/>
        </w:rPr>
        <w:t>03</w:t>
      </w:r>
      <w:r>
        <w:rPr>
          <w:rFonts w:hint="eastAsia" w:ascii="宋体" w:hAnsi="宋体" w:cs="宋体"/>
          <w:kern w:val="0"/>
          <w:szCs w:val="21"/>
        </w:rPr>
        <w:t>月</w:t>
      </w:r>
      <w:r>
        <w:rPr>
          <w:rFonts w:hint="eastAsia" w:ascii="宋体" w:hAnsi="宋体" w:cs="宋体"/>
          <w:kern w:val="0"/>
          <w:szCs w:val="21"/>
          <w:lang w:val="en-US" w:eastAsia="zh-CN"/>
        </w:rPr>
        <w:t>05</w:t>
      </w:r>
      <w:r>
        <w:rPr>
          <w:rFonts w:hint="eastAsia" w:ascii="宋体" w:hAnsi="宋体" w:cs="宋体"/>
          <w:kern w:val="0"/>
          <w:szCs w:val="21"/>
        </w:rPr>
        <w:t>日起至</w:t>
      </w:r>
      <w:r>
        <w:rPr>
          <w:rFonts w:ascii="宋体" w:hAnsi="宋体" w:cs="宋体"/>
          <w:kern w:val="0"/>
          <w:szCs w:val="21"/>
        </w:rPr>
        <w:t>2021</w:t>
      </w:r>
      <w:r>
        <w:rPr>
          <w:rFonts w:hint="eastAsia" w:ascii="宋体" w:hAnsi="宋体" w:cs="宋体"/>
          <w:kern w:val="0"/>
          <w:szCs w:val="21"/>
        </w:rPr>
        <w:t>年</w:t>
      </w:r>
      <w:r>
        <w:rPr>
          <w:rFonts w:hint="eastAsia" w:ascii="宋体" w:hAnsi="宋体" w:cs="宋体"/>
          <w:kern w:val="0"/>
          <w:szCs w:val="21"/>
          <w:lang w:val="en-US" w:eastAsia="zh-CN"/>
        </w:rPr>
        <w:t>03</w:t>
      </w:r>
      <w:r>
        <w:rPr>
          <w:rFonts w:hint="eastAsia" w:ascii="宋体" w:hAnsi="宋体" w:cs="宋体"/>
          <w:kern w:val="0"/>
          <w:szCs w:val="21"/>
        </w:rPr>
        <w:t>月</w:t>
      </w:r>
      <w:r>
        <w:rPr>
          <w:rFonts w:hint="eastAsia" w:ascii="宋体" w:hAnsi="宋体" w:cs="宋体"/>
          <w:kern w:val="0"/>
          <w:szCs w:val="21"/>
          <w:lang w:val="en-US" w:eastAsia="zh-CN"/>
        </w:rPr>
        <w:t>15</w:t>
      </w:r>
      <w:r>
        <w:rPr>
          <w:rFonts w:hint="eastAsia" w:ascii="宋体" w:hAnsi="宋体" w:cs="宋体"/>
          <w:kern w:val="0"/>
          <w:szCs w:val="21"/>
        </w:rPr>
        <w:t>日每天（节假日除外）的9:00—11:</w:t>
      </w:r>
      <w:r>
        <w:rPr>
          <w:rFonts w:ascii="宋体" w:hAnsi="宋体" w:cs="宋体"/>
          <w:kern w:val="0"/>
          <w:szCs w:val="21"/>
        </w:rPr>
        <w:t>3</w:t>
      </w:r>
      <w:r>
        <w:rPr>
          <w:rFonts w:hint="eastAsia" w:ascii="宋体" w:hAnsi="宋体" w:cs="宋体"/>
          <w:kern w:val="0"/>
          <w:szCs w:val="21"/>
        </w:rPr>
        <w:t>0；14:</w:t>
      </w:r>
      <w:r>
        <w:rPr>
          <w:rFonts w:ascii="宋体" w:hAnsi="宋体" w:cs="宋体"/>
          <w:kern w:val="0"/>
          <w:szCs w:val="21"/>
        </w:rPr>
        <w:t>30</w:t>
      </w:r>
      <w:r>
        <w:rPr>
          <w:rFonts w:hint="eastAsia" w:ascii="宋体" w:hAnsi="宋体" w:cs="宋体"/>
          <w:kern w:val="0"/>
          <w:szCs w:val="21"/>
        </w:rPr>
        <w:t>—17:00将</w:t>
      </w:r>
      <w:r>
        <w:rPr>
          <w:rFonts w:hint="eastAsia" w:ascii="宋体" w:hAnsi="宋体" w:cs="宋体"/>
          <w:b/>
          <w:kern w:val="0"/>
          <w:szCs w:val="21"/>
        </w:rPr>
        <w:t>公司营业执照、投标报名表</w:t>
      </w:r>
      <w:r>
        <w:rPr>
          <w:rFonts w:hint="eastAsia" w:ascii="宋体" w:hAnsi="宋体" w:cs="宋体"/>
          <w:kern w:val="0"/>
          <w:szCs w:val="21"/>
        </w:rPr>
        <w:t>（投标代表签名、加盖公章）</w:t>
      </w:r>
      <w:r>
        <w:rPr>
          <w:rFonts w:hint="eastAsia" w:ascii="宋体" w:hAnsi="宋体" w:cs="宋体"/>
          <w:b/>
          <w:kern w:val="0"/>
          <w:szCs w:val="21"/>
        </w:rPr>
        <w:t>和150元标书费缴纳凭证</w:t>
      </w:r>
      <w:r>
        <w:rPr>
          <w:rFonts w:hint="eastAsia" w:ascii="宋体" w:hAnsi="宋体" w:cs="宋体"/>
          <w:kern w:val="0"/>
          <w:szCs w:val="21"/>
        </w:rPr>
        <w:t>（</w:t>
      </w:r>
      <w:r>
        <w:rPr>
          <w:color w:val="222222"/>
        </w:rPr>
        <w:t>标书费付款回执</w:t>
      </w:r>
      <w:r>
        <w:rPr>
          <w:rFonts w:hint="eastAsia"/>
          <w:color w:val="222222"/>
        </w:rPr>
        <w:t>至少应有收款人账户、付款人账户、转账时间、转账金额等</w:t>
      </w:r>
      <w:r>
        <w:rPr>
          <w:color w:val="222222"/>
        </w:rPr>
        <w:t>信息</w:t>
      </w:r>
      <w:r>
        <w:rPr>
          <w:rFonts w:hint="eastAsia" w:ascii="宋体" w:hAnsi="宋体" w:cs="宋体"/>
          <w:kern w:val="0"/>
          <w:szCs w:val="21"/>
        </w:rPr>
        <w:t>）一并</w:t>
      </w:r>
      <w:r>
        <w:rPr>
          <w:rFonts w:ascii="宋体" w:hAnsi="宋体" w:cs="宋体"/>
          <w:kern w:val="0"/>
          <w:szCs w:val="21"/>
        </w:rPr>
        <w:t>扫描</w:t>
      </w:r>
      <w:r>
        <w:rPr>
          <w:rFonts w:hint="eastAsia" w:ascii="宋体" w:hAnsi="宋体" w:cs="宋体"/>
          <w:kern w:val="0"/>
          <w:szCs w:val="21"/>
        </w:rPr>
        <w:t>发至邮箱</w:t>
      </w:r>
      <w:r>
        <w:rPr>
          <w:rFonts w:ascii="宋体" w:hAnsi="宋体" w:cs="宋体"/>
          <w:b/>
          <w:color w:val="FF0000"/>
          <w:kern w:val="0"/>
          <w:sz w:val="24"/>
        </w:rPr>
        <w:t>zhaobiao@szu.edu.cn</w:t>
      </w:r>
      <w:r>
        <w:rPr>
          <w:rFonts w:hint="eastAsia" w:ascii="宋体" w:hAnsi="宋体" w:cs="宋体"/>
          <w:kern w:val="0"/>
          <w:szCs w:val="21"/>
        </w:rPr>
        <w:t xml:space="preserve"> ；标书费缴纳至深圳大学账户：</w:t>
      </w:r>
    </w:p>
    <w:p>
      <w:pPr>
        <w:pStyle w:val="214"/>
        <w:ind w:left="420" w:firstLine="0" w:firstLineChars="0"/>
        <w:rPr>
          <w:rFonts w:ascii="宋体" w:hAnsi="宋体" w:cs="宋体"/>
          <w:kern w:val="0"/>
          <w:szCs w:val="21"/>
        </w:rPr>
      </w:pPr>
      <w:r>
        <w:rPr>
          <w:rFonts w:hint="eastAsia" w:ascii="宋体" w:hAnsi="宋体" w:cs="宋体"/>
          <w:kern w:val="0"/>
          <w:szCs w:val="21"/>
        </w:rPr>
        <w:t>开户行：中国银行深圳深大支行</w:t>
      </w:r>
    </w:p>
    <w:p>
      <w:pPr>
        <w:pStyle w:val="214"/>
        <w:ind w:left="420" w:firstLine="0" w:firstLineChars="0"/>
        <w:rPr>
          <w:rFonts w:ascii="宋体" w:hAnsi="宋体" w:cs="宋体"/>
          <w:kern w:val="0"/>
          <w:szCs w:val="21"/>
        </w:rPr>
      </w:pPr>
      <w:r>
        <w:rPr>
          <w:rFonts w:hint="eastAsia" w:ascii="宋体" w:hAnsi="宋体" w:cs="宋体"/>
          <w:kern w:val="0"/>
          <w:szCs w:val="21"/>
        </w:rPr>
        <w:t>户名：深圳大学</w:t>
      </w:r>
    </w:p>
    <w:p>
      <w:pPr>
        <w:pStyle w:val="214"/>
        <w:ind w:left="420" w:firstLine="0" w:firstLineChars="0"/>
        <w:rPr>
          <w:rFonts w:ascii="宋体" w:hAnsi="宋体" w:cs="宋体"/>
          <w:kern w:val="0"/>
          <w:szCs w:val="21"/>
        </w:rPr>
      </w:pPr>
      <w:r>
        <w:rPr>
          <w:rFonts w:hint="eastAsia" w:ascii="宋体" w:hAnsi="宋体" w:cs="宋体"/>
          <w:kern w:val="0"/>
          <w:szCs w:val="21"/>
        </w:rPr>
        <w:t>账号：</w:t>
      </w:r>
      <w:r>
        <w:rPr>
          <w:rFonts w:ascii="宋体" w:hAnsi="宋体" w:cs="宋体"/>
          <w:kern w:val="0"/>
          <w:szCs w:val="21"/>
        </w:rPr>
        <w:t>7549 6835 0439</w:t>
      </w:r>
    </w:p>
    <w:p>
      <w:pPr>
        <w:pStyle w:val="214"/>
        <w:ind w:left="420" w:firstLine="0" w:firstLineChars="0"/>
        <w:rPr>
          <w:rFonts w:ascii="宋体" w:hAnsi="宋体" w:cs="宋体"/>
          <w:kern w:val="0"/>
          <w:szCs w:val="21"/>
        </w:rPr>
      </w:pPr>
      <w:r>
        <w:rPr>
          <w:rFonts w:hint="eastAsia" w:ascii="宋体" w:hAnsi="宋体" w:cs="宋体"/>
          <w:kern w:val="0"/>
          <w:szCs w:val="21"/>
        </w:rPr>
        <w:t>备注：</w:t>
      </w:r>
      <w:r>
        <w:rPr>
          <w:rFonts w:hint="eastAsia" w:ascii="宋体" w:hAnsi="宋体" w:cs="宋体"/>
          <w:b/>
          <w:kern w:val="0"/>
          <w:szCs w:val="21"/>
          <w:u w:val="single"/>
        </w:rPr>
        <w:t>项目编号</w:t>
      </w:r>
    </w:p>
    <w:p>
      <w:pPr>
        <w:pStyle w:val="214"/>
        <w:ind w:left="420" w:firstLine="0" w:firstLineChars="0"/>
        <w:rPr>
          <w:rFonts w:ascii="宋体" w:hAnsi="宋体" w:cs="宋体"/>
          <w:kern w:val="0"/>
          <w:szCs w:val="21"/>
        </w:rPr>
      </w:pPr>
      <w:r>
        <w:rPr>
          <w:rFonts w:hint="eastAsia" w:ascii="宋体" w:hAnsi="宋体" w:cs="宋体"/>
          <w:kern w:val="0"/>
          <w:szCs w:val="21"/>
        </w:rPr>
        <w:t>投标报名表下载链接：</w:t>
      </w:r>
      <w:r>
        <w:fldChar w:fldCharType="begin"/>
      </w:r>
      <w:r>
        <w:instrText xml:space="preserve"> HYPERLINK "http://bidding.szu.edu.cn/listfile.asp" </w:instrText>
      </w:r>
      <w:r>
        <w:fldChar w:fldCharType="separate"/>
      </w:r>
      <w:r>
        <w:rPr>
          <w:rStyle w:val="47"/>
          <w:rFonts w:hint="eastAsia" w:ascii="宋体" w:hAnsi="宋体" w:cs="宋体"/>
          <w:kern w:val="0"/>
          <w:szCs w:val="21"/>
        </w:rPr>
        <w:t>http://bidding.szu.edu.cn/listfile.asp</w:t>
      </w:r>
      <w:r>
        <w:rPr>
          <w:rStyle w:val="47"/>
          <w:rFonts w:hint="eastAsia" w:ascii="宋体" w:hAnsi="宋体" w:cs="宋体"/>
          <w:kern w:val="0"/>
          <w:szCs w:val="21"/>
        </w:rPr>
        <w:fldChar w:fldCharType="end"/>
      </w:r>
      <w:r>
        <w:rPr>
          <w:rFonts w:hint="eastAsia" w:ascii="宋体" w:hAnsi="宋体" w:cs="宋体"/>
          <w:kern w:val="0"/>
          <w:szCs w:val="21"/>
        </w:rPr>
        <w:t>。</w:t>
      </w:r>
    </w:p>
    <w:p>
      <w:pPr>
        <w:pStyle w:val="214"/>
        <w:numPr>
          <w:ilvl w:val="0"/>
          <w:numId w:val="9"/>
        </w:numPr>
        <w:adjustRightInd w:val="0"/>
        <w:snapToGrid w:val="0"/>
        <w:spacing w:line="360" w:lineRule="auto"/>
        <w:ind w:firstLineChars="0"/>
        <w:rPr>
          <w:kern w:val="0"/>
          <w:szCs w:val="21"/>
        </w:rPr>
      </w:pPr>
      <w:r>
        <w:rPr>
          <w:kern w:val="0"/>
          <w:szCs w:val="21"/>
        </w:rPr>
        <w:t>答疑事项</w:t>
      </w:r>
      <w:r>
        <w:rPr>
          <w:rFonts w:hint="eastAsia"/>
          <w:kern w:val="0"/>
          <w:szCs w:val="21"/>
        </w:rPr>
        <w:t>：</w:t>
      </w:r>
    </w:p>
    <w:p>
      <w:pPr>
        <w:pStyle w:val="214"/>
        <w:adjustRightInd w:val="0"/>
        <w:snapToGrid w:val="0"/>
        <w:spacing w:line="360" w:lineRule="auto"/>
        <w:ind w:left="420"/>
        <w:rPr>
          <w:kern w:val="0"/>
          <w:szCs w:val="21"/>
        </w:rPr>
      </w:pPr>
      <w:r>
        <w:rPr>
          <w:kern w:val="0"/>
          <w:szCs w:val="21"/>
        </w:rPr>
        <w:t>2021年</w:t>
      </w:r>
      <w:r>
        <w:rPr>
          <w:rFonts w:hint="eastAsia"/>
          <w:kern w:val="0"/>
          <w:szCs w:val="21"/>
          <w:lang w:val="en-US" w:eastAsia="zh-CN"/>
        </w:rPr>
        <w:t>03</w:t>
      </w:r>
      <w:r>
        <w:rPr>
          <w:kern w:val="0"/>
          <w:szCs w:val="21"/>
        </w:rPr>
        <w:t>月</w:t>
      </w:r>
      <w:r>
        <w:rPr>
          <w:rFonts w:hint="eastAsia"/>
          <w:kern w:val="0"/>
          <w:szCs w:val="21"/>
          <w:lang w:val="en-US" w:eastAsia="zh-CN"/>
        </w:rPr>
        <w:t>12</w:t>
      </w:r>
      <w:r>
        <w:rPr>
          <w:kern w:val="0"/>
          <w:szCs w:val="21"/>
        </w:rPr>
        <w:t>日16</w:t>
      </w:r>
      <w:r>
        <w:rPr>
          <w:rFonts w:hint="eastAsia"/>
          <w:kern w:val="0"/>
          <w:szCs w:val="21"/>
        </w:rPr>
        <w:t>:</w:t>
      </w:r>
      <w:r>
        <w:rPr>
          <w:kern w:val="0"/>
          <w:szCs w:val="21"/>
        </w:rPr>
        <w:t>00时前凡对招标文件有任何疑问的（包括认为招标文件的技术指标或参数存在倾向性或不公正性条款），将质疑函以书面形式提交到深圳大学招投标管理中心，逾期不予受理。质疑函须加盖投标人公章。2021年</w:t>
      </w:r>
      <w:r>
        <w:rPr>
          <w:rFonts w:hint="eastAsia"/>
          <w:kern w:val="0"/>
          <w:szCs w:val="21"/>
          <w:lang w:val="en-US" w:eastAsia="zh-CN"/>
        </w:rPr>
        <w:t>03</w:t>
      </w:r>
      <w:r>
        <w:rPr>
          <w:kern w:val="0"/>
          <w:szCs w:val="21"/>
        </w:rPr>
        <w:t>月</w:t>
      </w:r>
      <w:r>
        <w:rPr>
          <w:rFonts w:hint="eastAsia"/>
          <w:kern w:val="0"/>
          <w:szCs w:val="21"/>
          <w:lang w:val="en-US" w:eastAsia="zh-CN"/>
        </w:rPr>
        <w:t>15</w:t>
      </w:r>
      <w:r>
        <w:rPr>
          <w:kern w:val="0"/>
          <w:szCs w:val="21"/>
        </w:rPr>
        <w:t xml:space="preserve">日 16:00 前将答疑结果在网站http://bidding.szu.edu.cn “招标公告”中公布，望投标人予以关注。 </w:t>
      </w:r>
    </w:p>
    <w:p>
      <w:pPr>
        <w:pStyle w:val="214"/>
        <w:numPr>
          <w:ilvl w:val="0"/>
          <w:numId w:val="9"/>
        </w:numPr>
        <w:adjustRightInd w:val="0"/>
        <w:snapToGrid w:val="0"/>
        <w:spacing w:line="360" w:lineRule="auto"/>
        <w:ind w:firstLineChars="0"/>
        <w:rPr>
          <w:kern w:val="0"/>
          <w:szCs w:val="21"/>
        </w:rPr>
      </w:pPr>
      <w:r>
        <w:rPr>
          <w:kern w:val="0"/>
          <w:szCs w:val="21"/>
        </w:rPr>
        <w:t>投标截止时间</w:t>
      </w:r>
      <w:r>
        <w:rPr>
          <w:rStyle w:val="48"/>
          <w:rFonts w:hint="eastAsia" w:ascii="宋体"/>
          <w:kern w:val="0"/>
        </w:rPr>
        <w:t>：</w:t>
      </w:r>
    </w:p>
    <w:p>
      <w:pPr>
        <w:pStyle w:val="214"/>
        <w:adjustRightInd w:val="0"/>
        <w:snapToGrid w:val="0"/>
        <w:spacing w:line="360" w:lineRule="auto"/>
        <w:ind w:left="420"/>
        <w:rPr>
          <w:kern w:val="0"/>
          <w:szCs w:val="21"/>
        </w:rPr>
      </w:pPr>
      <w:r>
        <w:rPr>
          <w:rFonts w:hint="eastAsia"/>
          <w:kern w:val="0"/>
          <w:szCs w:val="21"/>
        </w:rPr>
        <w:t>所有投标文件应于</w:t>
      </w:r>
      <w:r>
        <w:rPr>
          <w:b w:val="0"/>
          <w:bCs/>
          <w:color w:val="FF0000"/>
          <w:kern w:val="0"/>
          <w:szCs w:val="21"/>
        </w:rPr>
        <w:t>2021</w:t>
      </w:r>
      <w:r>
        <w:rPr>
          <w:rFonts w:hint="eastAsia"/>
          <w:b w:val="0"/>
          <w:bCs/>
          <w:color w:val="FF0000"/>
          <w:kern w:val="0"/>
          <w:szCs w:val="21"/>
        </w:rPr>
        <w:t>年</w:t>
      </w:r>
      <w:r>
        <w:rPr>
          <w:rFonts w:hint="eastAsia"/>
          <w:b w:val="0"/>
          <w:bCs/>
          <w:color w:val="FF0000"/>
          <w:kern w:val="0"/>
          <w:szCs w:val="21"/>
          <w:lang w:val="en-US" w:eastAsia="zh-CN"/>
        </w:rPr>
        <w:t>03</w:t>
      </w:r>
      <w:r>
        <w:rPr>
          <w:rFonts w:hint="eastAsia"/>
          <w:b w:val="0"/>
          <w:bCs/>
          <w:color w:val="FF0000"/>
          <w:kern w:val="0"/>
          <w:szCs w:val="21"/>
        </w:rPr>
        <w:t>月</w:t>
      </w:r>
      <w:r>
        <w:rPr>
          <w:rFonts w:hint="eastAsia"/>
          <w:b w:val="0"/>
          <w:bCs/>
          <w:color w:val="FF0000"/>
          <w:kern w:val="0"/>
          <w:szCs w:val="21"/>
          <w:lang w:val="en-US" w:eastAsia="zh-CN"/>
        </w:rPr>
        <w:t>16</w:t>
      </w:r>
      <w:r>
        <w:rPr>
          <w:rFonts w:hint="eastAsia"/>
          <w:b w:val="0"/>
          <w:bCs/>
          <w:color w:val="FF0000"/>
          <w:kern w:val="0"/>
          <w:szCs w:val="21"/>
        </w:rPr>
        <w:t>日</w:t>
      </w:r>
      <w:r>
        <w:rPr>
          <w:b w:val="0"/>
          <w:bCs/>
          <w:color w:val="FF0000"/>
          <w:kern w:val="0"/>
          <w:szCs w:val="21"/>
        </w:rPr>
        <w:t>09</w:t>
      </w:r>
      <w:r>
        <w:rPr>
          <w:rFonts w:hint="eastAsia"/>
          <w:b w:val="0"/>
          <w:bCs/>
          <w:color w:val="FF0000"/>
          <w:kern w:val="0"/>
          <w:szCs w:val="21"/>
        </w:rPr>
        <w:t>:00</w:t>
      </w:r>
      <w:r>
        <w:rPr>
          <w:rFonts w:hint="eastAsia"/>
          <w:b w:val="0"/>
          <w:bCs/>
          <w:color w:val="FF0000"/>
          <w:kern w:val="0"/>
          <w:szCs w:val="21"/>
          <w:lang w:val="en-US" w:eastAsia="zh-CN"/>
        </w:rPr>
        <w:t>时</w:t>
      </w:r>
      <w:r>
        <w:rPr>
          <w:rFonts w:hint="eastAsia"/>
          <w:color w:val="FF0000"/>
          <w:kern w:val="0"/>
          <w:szCs w:val="21"/>
        </w:rPr>
        <w:t xml:space="preserve"> (北京时间)</w:t>
      </w:r>
      <w:r>
        <w:rPr>
          <w:rFonts w:hint="eastAsia"/>
          <w:kern w:val="0"/>
          <w:szCs w:val="21"/>
        </w:rPr>
        <w:t>之前邮寄</w:t>
      </w:r>
      <w:r>
        <w:t>（EMS，顺丰（不含顺丰同城））</w:t>
      </w:r>
      <w:r>
        <w:rPr>
          <w:rFonts w:hint="eastAsia"/>
          <w:kern w:val="0"/>
          <w:szCs w:val="21"/>
        </w:rPr>
        <w:t>到深圳大学招投标管理中心（深圳大学汇元楼242室 黄老师</w:t>
      </w:r>
      <w:r>
        <w:t>（0755）26532310，（0755）86970737</w:t>
      </w:r>
      <w:r>
        <w:rPr>
          <w:rFonts w:hint="eastAsia"/>
        </w:rPr>
        <w:t>）</w:t>
      </w:r>
      <w:r>
        <w:rPr>
          <w:rFonts w:hint="eastAsia"/>
          <w:kern w:val="0"/>
          <w:szCs w:val="21"/>
        </w:rPr>
        <w:t>。以文件</w:t>
      </w:r>
      <w:r>
        <w:rPr>
          <w:kern w:val="0"/>
          <w:szCs w:val="21"/>
        </w:rPr>
        <w:t>送达时间为准。</w:t>
      </w:r>
      <w:r>
        <w:rPr>
          <w:rFonts w:hint="eastAsia"/>
          <w:kern w:val="0"/>
          <w:szCs w:val="21"/>
        </w:rPr>
        <w:t>不接受</w:t>
      </w:r>
      <w:r>
        <w:rPr>
          <w:kern w:val="0"/>
          <w:szCs w:val="21"/>
        </w:rPr>
        <w:t>快递到付。</w:t>
      </w:r>
    </w:p>
    <w:p>
      <w:pPr>
        <w:pStyle w:val="214"/>
        <w:adjustRightInd w:val="0"/>
        <w:snapToGrid w:val="0"/>
        <w:spacing w:line="360" w:lineRule="auto"/>
        <w:ind w:left="420"/>
        <w:rPr>
          <w:kern w:val="0"/>
          <w:szCs w:val="21"/>
        </w:rPr>
      </w:pPr>
      <w:r>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pPr>
        <w:pStyle w:val="214"/>
        <w:numPr>
          <w:ilvl w:val="0"/>
          <w:numId w:val="9"/>
        </w:numPr>
        <w:adjustRightInd w:val="0"/>
        <w:snapToGrid w:val="0"/>
        <w:spacing w:line="360" w:lineRule="auto"/>
        <w:ind w:firstLineChars="0"/>
        <w:rPr>
          <w:kern w:val="0"/>
          <w:szCs w:val="21"/>
        </w:rPr>
      </w:pPr>
      <w:r>
        <w:rPr>
          <w:kern w:val="0"/>
          <w:szCs w:val="21"/>
        </w:rPr>
        <w:t>开标时间和地点</w:t>
      </w:r>
      <w:r>
        <w:rPr>
          <w:rFonts w:hint="eastAsia"/>
          <w:kern w:val="0"/>
          <w:szCs w:val="21"/>
        </w:rPr>
        <w:t>：</w:t>
      </w:r>
    </w:p>
    <w:p>
      <w:pPr>
        <w:pStyle w:val="214"/>
        <w:adjustRightInd w:val="0"/>
        <w:snapToGrid w:val="0"/>
        <w:spacing w:line="360" w:lineRule="auto"/>
        <w:ind w:left="420"/>
        <w:rPr>
          <w:kern w:val="0"/>
          <w:szCs w:val="21"/>
        </w:rPr>
      </w:pPr>
      <w:r>
        <w:rPr>
          <w:kern w:val="0"/>
          <w:szCs w:val="21"/>
        </w:rPr>
        <w:t>定于</w:t>
      </w:r>
      <w:r>
        <w:rPr>
          <w:b w:val="0"/>
          <w:bCs/>
          <w:color w:val="FF0000"/>
          <w:kern w:val="0"/>
          <w:szCs w:val="21"/>
        </w:rPr>
        <w:t>2021</w:t>
      </w:r>
      <w:r>
        <w:rPr>
          <w:rFonts w:hint="eastAsia"/>
          <w:b w:val="0"/>
          <w:bCs/>
          <w:color w:val="FF0000"/>
          <w:kern w:val="0"/>
          <w:szCs w:val="21"/>
        </w:rPr>
        <w:t>年</w:t>
      </w:r>
      <w:r>
        <w:rPr>
          <w:rFonts w:hint="eastAsia"/>
          <w:b w:val="0"/>
          <w:bCs/>
          <w:color w:val="FF0000"/>
          <w:kern w:val="0"/>
          <w:szCs w:val="21"/>
          <w:lang w:val="en-US" w:eastAsia="zh-CN"/>
        </w:rPr>
        <w:t>03</w:t>
      </w:r>
      <w:r>
        <w:rPr>
          <w:rFonts w:hint="eastAsia"/>
          <w:b w:val="0"/>
          <w:bCs/>
          <w:color w:val="FF0000"/>
          <w:kern w:val="0"/>
          <w:szCs w:val="21"/>
        </w:rPr>
        <w:t>月</w:t>
      </w:r>
      <w:r>
        <w:rPr>
          <w:rFonts w:hint="eastAsia"/>
          <w:b w:val="0"/>
          <w:bCs/>
          <w:color w:val="FF0000"/>
          <w:kern w:val="0"/>
          <w:szCs w:val="21"/>
          <w:lang w:val="en-US" w:eastAsia="zh-CN"/>
        </w:rPr>
        <w:t>16</w:t>
      </w:r>
      <w:r>
        <w:rPr>
          <w:rFonts w:hint="eastAsia"/>
          <w:b w:val="0"/>
          <w:bCs/>
          <w:color w:val="FF0000"/>
          <w:kern w:val="0"/>
          <w:szCs w:val="21"/>
        </w:rPr>
        <w:t>日</w:t>
      </w:r>
      <w:r>
        <w:rPr>
          <w:b w:val="0"/>
          <w:bCs/>
          <w:color w:val="FF0000"/>
          <w:kern w:val="0"/>
          <w:szCs w:val="21"/>
        </w:rPr>
        <w:t>09</w:t>
      </w:r>
      <w:r>
        <w:rPr>
          <w:rFonts w:hint="eastAsia"/>
          <w:b w:val="0"/>
          <w:bCs/>
          <w:color w:val="FF0000"/>
          <w:kern w:val="0"/>
          <w:szCs w:val="21"/>
        </w:rPr>
        <w:t>:00</w:t>
      </w:r>
      <w:r>
        <w:rPr>
          <w:rFonts w:hint="eastAsia"/>
          <w:b w:val="0"/>
          <w:bCs/>
          <w:color w:val="FF0000"/>
          <w:kern w:val="0"/>
          <w:szCs w:val="21"/>
          <w:lang w:val="en-US" w:eastAsia="zh-CN"/>
        </w:rPr>
        <w:t>时</w:t>
      </w:r>
      <w:r>
        <w:rPr>
          <w:kern w:val="0"/>
          <w:szCs w:val="21"/>
        </w:rPr>
        <w:t>，在深圳大学招投标管理中心公开开标。地点：深圳市南山区南海大道3688号 深圳大学</w:t>
      </w:r>
      <w:r>
        <w:rPr>
          <w:rFonts w:hint="eastAsia"/>
          <w:kern w:val="0"/>
          <w:szCs w:val="21"/>
        </w:rPr>
        <w:t>汇元</w:t>
      </w:r>
      <w:r>
        <w:rPr>
          <w:kern w:val="0"/>
          <w:szCs w:val="21"/>
        </w:rPr>
        <w:t>楼241室。</w:t>
      </w:r>
      <w:r>
        <w:rPr>
          <w:color w:val="000000"/>
          <w:kern w:val="0"/>
          <w:szCs w:val="21"/>
        </w:rPr>
        <w:t>出于</w:t>
      </w:r>
      <w:r>
        <w:rPr>
          <w:rFonts w:hint="eastAsia"/>
          <w:color w:val="000000"/>
          <w:kern w:val="0"/>
          <w:szCs w:val="21"/>
        </w:rPr>
        <w:t>疫情</w:t>
      </w:r>
      <w:r>
        <w:rPr>
          <w:color w:val="000000"/>
          <w:kern w:val="0"/>
          <w:szCs w:val="21"/>
        </w:rPr>
        <w:t>防控需要，此项目</w:t>
      </w:r>
      <w:r>
        <w:rPr>
          <w:rFonts w:hint="eastAsia"/>
          <w:color w:val="000000"/>
          <w:kern w:val="0"/>
          <w:szCs w:val="21"/>
        </w:rPr>
        <w:t>不邀请</w:t>
      </w:r>
      <w:r>
        <w:rPr>
          <w:color w:val="000000"/>
          <w:kern w:val="0"/>
          <w:szCs w:val="21"/>
        </w:rPr>
        <w:t>投标代表出席开标仪式。</w:t>
      </w:r>
    </w:p>
    <w:p>
      <w:pPr>
        <w:pStyle w:val="214"/>
        <w:numPr>
          <w:ilvl w:val="0"/>
          <w:numId w:val="9"/>
        </w:numPr>
        <w:adjustRightInd w:val="0"/>
        <w:snapToGrid w:val="0"/>
        <w:spacing w:line="360" w:lineRule="auto"/>
        <w:ind w:firstLineChars="0"/>
        <w:rPr>
          <w:kern w:val="0"/>
          <w:szCs w:val="21"/>
        </w:rPr>
      </w:pPr>
      <w:r>
        <w:rPr>
          <w:kern w:val="0"/>
          <w:szCs w:val="21"/>
        </w:rPr>
        <w:t>已经购买招标文件的潜在投标人，若不参加投标应在开标截止日前3天以书面形式通知深圳大学招投标管理中心。</w:t>
      </w:r>
    </w:p>
    <w:p>
      <w:pPr>
        <w:widowControl/>
        <w:numPr>
          <w:ilvl w:val="0"/>
          <w:numId w:val="9"/>
        </w:numPr>
        <w:spacing w:before="100" w:beforeAutospacing="1" w:after="100" w:afterAutospacing="1"/>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交纳投标保证金：本项目无须交纳投标保证金。 </w:t>
      </w:r>
    </w:p>
    <w:p>
      <w:pPr>
        <w:spacing w:line="260" w:lineRule="exact"/>
        <w:ind w:firstLine="420" w:firstLineChars="200"/>
        <w:jc w:val="left"/>
        <w:rPr>
          <w:rFonts w:ascii="Times New Roman" w:hAnsi="Times New Roman" w:eastAsia="宋体" w:cs="Times New Roman"/>
          <w:szCs w:val="21"/>
          <w:u w:val="single"/>
        </w:rPr>
      </w:pPr>
    </w:p>
    <w:p>
      <w:pPr>
        <w:spacing w:before="231" w:beforeLines="50" w:line="260" w:lineRule="exact"/>
        <w:jc w:val="right"/>
        <w:rPr>
          <w:rFonts w:ascii="Times New Roman" w:hAnsi="Times New Roman" w:eastAsia="宋体" w:cs="Times New Roman"/>
          <w:color w:val="000000"/>
          <w:sz w:val="24"/>
        </w:rPr>
      </w:pPr>
      <w:r>
        <w:rPr>
          <w:rFonts w:ascii="Times New Roman" w:hAnsi="Times New Roman" w:eastAsia="宋体" w:cs="Times New Roman"/>
          <w:color w:val="000000"/>
        </w:rPr>
        <w:t>招标机构名称：深圳大学招投标管理中心</w:t>
      </w:r>
    </w:p>
    <w:p>
      <w:pPr>
        <w:wordWrap w:val="0"/>
        <w:spacing w:before="231" w:beforeLines="50" w:line="260" w:lineRule="exact"/>
        <w:jc w:val="right"/>
        <w:rPr>
          <w:rFonts w:ascii="Times New Roman" w:hAnsi="Times New Roman" w:eastAsia="宋体" w:cs="Times New Roman"/>
          <w:color w:val="000000"/>
        </w:rPr>
      </w:pPr>
      <w:r>
        <w:rPr>
          <w:rFonts w:ascii="Times New Roman" w:hAnsi="Times New Roman" w:eastAsia="宋体" w:cs="Times New Roman"/>
          <w:color w:val="000000"/>
        </w:rPr>
        <w:t>联系人：</w:t>
      </w:r>
      <w:r>
        <w:rPr>
          <w:rFonts w:hint="eastAsia" w:ascii="Times New Roman" w:hAnsi="Times New Roman" w:eastAsia="宋体" w:cs="Times New Roman"/>
          <w:color w:val="000000"/>
        </w:rPr>
        <w:t>劳</w:t>
      </w:r>
      <w:r>
        <w:rPr>
          <w:rFonts w:ascii="Times New Roman" w:hAnsi="Times New Roman" w:eastAsia="宋体" w:cs="Times New Roman"/>
          <w:color w:val="000000"/>
        </w:rPr>
        <w:t>老师 电话：（0755）2653 1103</w:t>
      </w:r>
    </w:p>
    <w:p>
      <w:pPr>
        <w:spacing w:before="231" w:beforeLines="50" w:line="260" w:lineRule="exact"/>
        <w:jc w:val="right"/>
        <w:rPr>
          <w:rFonts w:ascii="Times New Roman" w:hAnsi="Times New Roman" w:eastAsia="宋体" w:cs="Times New Roman"/>
          <w:color w:val="000000"/>
        </w:rPr>
      </w:pPr>
      <w:r>
        <w:rPr>
          <w:rFonts w:ascii="Times New Roman" w:hAnsi="Times New Roman" w:eastAsia="宋体" w:cs="Times New Roman"/>
          <w:color w:val="000000"/>
        </w:rPr>
        <w:t>招投标投诉电话：0755-26535738  投诉邮箱：</w:t>
      </w:r>
      <w:r>
        <w:fldChar w:fldCharType="begin"/>
      </w:r>
      <w:r>
        <w:instrText xml:space="preserve"> HYPERLINK "mailto:CHENJC@SZU.EDU.CN" </w:instrText>
      </w:r>
      <w:r>
        <w:fldChar w:fldCharType="separate"/>
      </w:r>
      <w:r>
        <w:rPr>
          <w:rFonts w:ascii="Times New Roman" w:hAnsi="Times New Roman" w:eastAsia="宋体" w:cs="Times New Roman"/>
          <w:color w:val="0000FF"/>
          <w:u w:val="single"/>
        </w:rPr>
        <w:t>CHENJC@SZU.EDU.CN</w:t>
      </w:r>
      <w:r>
        <w:rPr>
          <w:rFonts w:ascii="Times New Roman" w:hAnsi="Times New Roman" w:eastAsia="宋体" w:cs="Times New Roman"/>
          <w:color w:val="0000FF"/>
          <w:u w:val="single"/>
        </w:rPr>
        <w:fldChar w:fldCharType="end"/>
      </w:r>
    </w:p>
    <w:p>
      <w:pPr>
        <w:spacing w:before="231" w:beforeLines="50" w:line="260" w:lineRule="exact"/>
        <w:jc w:val="right"/>
        <w:rPr>
          <w:rFonts w:ascii="Times New Roman" w:hAnsi="Times New Roman" w:eastAsia="宋体" w:cs="Times New Roman"/>
          <w:color w:val="000000"/>
        </w:rPr>
      </w:pPr>
      <w:r>
        <w:rPr>
          <w:rFonts w:ascii="Times New Roman" w:hAnsi="Times New Roman" w:eastAsia="宋体" w:cs="Times New Roman"/>
          <w:color w:val="000000"/>
        </w:rPr>
        <w:t>受理单位:  深圳大学招投标管理中心</w:t>
      </w:r>
    </w:p>
    <w:p>
      <w:pPr>
        <w:spacing w:before="231" w:beforeLines="50" w:line="260" w:lineRule="exact"/>
        <w:jc w:val="right"/>
        <w:rPr>
          <w:rFonts w:ascii="Times New Roman" w:hAnsi="Times New Roman" w:eastAsia="宋体" w:cs="Times New Roman"/>
          <w:color w:val="000000"/>
        </w:rPr>
      </w:pPr>
      <w:r>
        <w:rPr>
          <w:rFonts w:ascii="Times New Roman" w:hAnsi="Times New Roman" w:eastAsia="宋体" w:cs="Times New Roman"/>
          <w:color w:val="000000"/>
        </w:rPr>
        <w:t>纪委监督电话：(0755)2653 4925</w:t>
      </w:r>
    </w:p>
    <w:p>
      <w:pPr>
        <w:spacing w:line="260" w:lineRule="exact"/>
        <w:rPr>
          <w:rFonts w:ascii="Times New Roman" w:hAnsi="Times New Roman" w:eastAsia="宋体" w:cs="Times New Roman"/>
          <w:kern w:val="0"/>
          <w:szCs w:val="21"/>
        </w:rPr>
      </w:pPr>
    </w:p>
    <w:p>
      <w:pPr>
        <w:spacing w:line="260" w:lineRule="exact"/>
        <w:jc w:val="right"/>
        <w:rPr>
          <w:rFonts w:ascii="Times New Roman" w:hAnsi="Times New Roman" w:eastAsia="宋体" w:cs="Times New Roman"/>
          <w:kern w:val="0"/>
          <w:szCs w:val="21"/>
        </w:rPr>
      </w:pPr>
      <w:r>
        <w:rPr>
          <w:rFonts w:ascii="Times New Roman" w:hAnsi="Times New Roman" w:eastAsia="宋体" w:cs="Times New Roman"/>
          <w:kern w:val="0"/>
          <w:szCs w:val="21"/>
        </w:rPr>
        <w:t>深圳大学招投标管理中心</w:t>
      </w:r>
    </w:p>
    <w:p>
      <w:pPr>
        <w:spacing w:line="260" w:lineRule="exact"/>
        <w:jc w:val="right"/>
        <w:rPr>
          <w:rFonts w:ascii="Times New Roman" w:hAnsi="Times New Roman" w:eastAsia="宋体" w:cs="Times New Roman"/>
          <w:kern w:val="0"/>
          <w:szCs w:val="21"/>
        </w:rPr>
      </w:pPr>
    </w:p>
    <w:p>
      <w:pPr>
        <w:wordWrap w:val="0"/>
        <w:spacing w:line="260" w:lineRule="exact"/>
        <w:jc w:val="right"/>
        <w:rPr>
          <w:rFonts w:ascii="Times New Roman" w:hAnsi="Times New Roman" w:eastAsia="宋体" w:cs="Times New Roman"/>
          <w:b/>
          <w:bCs/>
          <w:kern w:val="0"/>
          <w:sz w:val="24"/>
          <w:szCs w:val="20"/>
        </w:rPr>
      </w:pPr>
      <w:r>
        <w:rPr>
          <w:rFonts w:hint="eastAsia" w:ascii="Times New Roman" w:hAnsi="Times New Roman" w:eastAsia="宋体" w:cs="Times New Roman"/>
          <w:kern w:val="0"/>
          <w:szCs w:val="21"/>
        </w:rPr>
        <w:t>2021年</w:t>
      </w:r>
      <w:r>
        <w:rPr>
          <w:rFonts w:hint="eastAsia" w:ascii="Times New Roman" w:hAnsi="Times New Roman" w:eastAsia="宋体" w:cs="Times New Roman"/>
          <w:kern w:val="0"/>
          <w:szCs w:val="21"/>
          <w:lang w:val="en-US" w:eastAsia="zh-CN"/>
        </w:rPr>
        <w:t>03</w:t>
      </w:r>
      <w:r>
        <w:rPr>
          <w:rFonts w:hint="eastAsia" w:ascii="Times New Roman" w:hAnsi="Times New Roman" w:eastAsia="宋体" w:cs="Times New Roman"/>
          <w:kern w:val="0"/>
          <w:szCs w:val="21"/>
        </w:rPr>
        <w:t>月</w:t>
      </w:r>
      <w:r>
        <w:rPr>
          <w:rFonts w:hint="eastAsia" w:ascii="Times New Roman" w:hAnsi="Times New Roman" w:eastAsia="宋体" w:cs="Times New Roman"/>
          <w:kern w:val="0"/>
          <w:szCs w:val="21"/>
          <w:lang w:val="en-US" w:eastAsia="zh-CN"/>
        </w:rPr>
        <w:t>05</w:t>
      </w:r>
      <w:r>
        <w:rPr>
          <w:rFonts w:hint="eastAsia" w:ascii="Times New Roman" w:hAnsi="Times New Roman" w:eastAsia="宋体" w:cs="Times New Roman"/>
          <w:kern w:val="0"/>
          <w:szCs w:val="21"/>
        </w:rPr>
        <w:t>日</w:t>
      </w: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jc w:val="center"/>
        <w:rPr>
          <w:rFonts w:ascii="Times New Roman" w:hAnsi="Times New Roman" w:eastAsia="宋体" w:cs="Times New Roman"/>
          <w:sz w:val="24"/>
          <w:szCs w:val="24"/>
        </w:rPr>
      </w:pPr>
      <w:r>
        <w:rPr>
          <w:rFonts w:hint="eastAsia" w:ascii="宋体" w:hAnsi="宋体" w:eastAsia="宋体" w:cs="Times New Roman"/>
          <w:b/>
          <w:bCs/>
          <w:kern w:val="0"/>
          <w:sz w:val="24"/>
          <w:szCs w:val="20"/>
        </w:rPr>
        <w:t>第二章  招标项目需求</w:t>
      </w:r>
    </w:p>
    <w:p>
      <w:pPr>
        <w:keepNext/>
        <w:keepLines/>
        <w:adjustRightInd w:val="0"/>
        <w:spacing w:before="231" w:beforeLines="50" w:after="231" w:afterLines="50"/>
        <w:jc w:val="center"/>
        <w:textAlignment w:val="baseline"/>
        <w:outlineLvl w:val="1"/>
        <w:rPr>
          <w:rFonts w:ascii="宋体" w:hAnsi="宋体" w:eastAsia="宋体" w:cs="Times New Roman"/>
          <w:b/>
          <w:bCs/>
          <w:kern w:val="0"/>
          <w:sz w:val="28"/>
          <w:szCs w:val="28"/>
        </w:rPr>
      </w:pPr>
      <w:bookmarkStart w:id="17" w:name="_Toc73517639"/>
      <w:bookmarkStart w:id="18" w:name="_Toc60631620"/>
      <w:bookmarkStart w:id="19" w:name="_Toc60560625"/>
      <w:bookmarkStart w:id="20" w:name="_Toc73521635"/>
      <w:bookmarkStart w:id="21" w:name="_Toc73518117"/>
      <w:bookmarkStart w:id="22" w:name="_Toc73521547"/>
      <w:bookmarkStart w:id="23" w:name="_Toc100052364"/>
      <w:bookmarkStart w:id="24" w:name="_Toc101074876"/>
      <w:r>
        <w:rPr>
          <w:rFonts w:hint="eastAsia" w:ascii="宋体" w:hAnsi="宋体" w:eastAsia="宋体" w:cs="Times New Roman"/>
          <w:b/>
          <w:bCs/>
          <w:kern w:val="0"/>
          <w:sz w:val="28"/>
          <w:szCs w:val="28"/>
        </w:rPr>
        <w:t>一、对通用条款的补充内容</w:t>
      </w:r>
    </w:p>
    <w:bookmarkEnd w:id="17"/>
    <w:bookmarkEnd w:id="18"/>
    <w:bookmarkEnd w:id="19"/>
    <w:bookmarkEnd w:id="20"/>
    <w:bookmarkEnd w:id="21"/>
    <w:bookmarkEnd w:id="22"/>
    <w:bookmarkEnd w:id="23"/>
    <w:bookmarkEnd w:id="24"/>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7"/>
        <w:gridCol w:w="2160"/>
        <w:gridCol w:w="540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eastAsia="宋体" w:cs="Times New Roman"/>
                <w:b/>
                <w:bCs/>
                <w:szCs w:val="24"/>
              </w:rPr>
            </w:pPr>
            <w:r>
              <w:rPr>
                <w:rFonts w:hint="eastAsia" w:ascii="宋体" w:hAnsi="宋体" w:eastAsia="宋体" w:cs="Times New Roman"/>
                <w:b/>
                <w:bCs/>
                <w:szCs w:val="24"/>
              </w:rPr>
              <w:t>序号</w:t>
            </w:r>
          </w:p>
        </w:tc>
        <w:tc>
          <w:tcPr>
            <w:tcW w:w="2160" w:type="dxa"/>
            <w:vAlign w:val="center"/>
          </w:tcPr>
          <w:p>
            <w:pPr>
              <w:jc w:val="center"/>
              <w:rPr>
                <w:rFonts w:ascii="宋体" w:hAnsi="宋体" w:eastAsia="宋体" w:cs="Times New Roman"/>
                <w:b/>
                <w:bCs/>
                <w:szCs w:val="24"/>
              </w:rPr>
            </w:pPr>
            <w:r>
              <w:rPr>
                <w:rFonts w:hint="eastAsia" w:ascii="宋体" w:hAnsi="宋体" w:eastAsia="宋体" w:cs="Times New Roman"/>
                <w:b/>
                <w:bCs/>
                <w:szCs w:val="24"/>
              </w:rPr>
              <w:t>内   容</w:t>
            </w:r>
          </w:p>
        </w:tc>
        <w:tc>
          <w:tcPr>
            <w:tcW w:w="5400" w:type="dxa"/>
            <w:vAlign w:val="center"/>
          </w:tcPr>
          <w:p>
            <w:pPr>
              <w:jc w:val="center"/>
              <w:rPr>
                <w:rFonts w:ascii="宋体" w:hAnsi="宋体" w:eastAsia="宋体" w:cs="Times New Roman"/>
                <w:b/>
                <w:bCs/>
                <w:szCs w:val="24"/>
              </w:rPr>
            </w:pPr>
            <w:r>
              <w:rPr>
                <w:rFonts w:hint="eastAsia" w:ascii="宋体" w:hAnsi="宋体" w:eastAsia="宋体" w:cs="Times New Roman"/>
                <w:b/>
                <w:bCs/>
                <w:szCs w:val="24"/>
              </w:rPr>
              <w:t>规      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eastAsia="宋体" w:cs="Times New Roman"/>
                <w:szCs w:val="24"/>
              </w:rPr>
            </w:pPr>
            <w:r>
              <w:rPr>
                <w:rFonts w:hint="eastAsia" w:ascii="宋体" w:hAnsi="宋体" w:eastAsia="宋体" w:cs="Times New Roman"/>
                <w:szCs w:val="24"/>
              </w:rPr>
              <w:t>1</w:t>
            </w:r>
          </w:p>
        </w:tc>
        <w:tc>
          <w:tcPr>
            <w:tcW w:w="2160" w:type="dxa"/>
            <w:vAlign w:val="center"/>
          </w:tcPr>
          <w:p>
            <w:pPr>
              <w:rPr>
                <w:rFonts w:ascii="Times New Roman" w:hAnsi="Times New Roman" w:eastAsia="宋体" w:cs="Times New Roman"/>
                <w:szCs w:val="24"/>
              </w:rPr>
            </w:pPr>
            <w:r>
              <w:rPr>
                <w:rFonts w:hint="eastAsia" w:ascii="Times New Roman" w:hAnsi="Times New Roman" w:eastAsia="宋体" w:cs="Times New Roman"/>
                <w:szCs w:val="24"/>
              </w:rPr>
              <w:t>联合体投标</w:t>
            </w:r>
          </w:p>
        </w:tc>
        <w:tc>
          <w:tcPr>
            <w:tcW w:w="5400" w:type="dxa"/>
            <w:vAlign w:val="center"/>
          </w:tcPr>
          <w:p>
            <w:pPr>
              <w:rPr>
                <w:rFonts w:ascii="宋体" w:hAnsi="宋体" w:eastAsia="宋体" w:cs="Times New Roman"/>
                <w:snapToGrid w:val="0"/>
                <w:kern w:val="0"/>
                <w:szCs w:val="32"/>
                <w:u w:val="single"/>
                <w:lang w:val="zh-CN"/>
              </w:rPr>
            </w:pPr>
            <w:r>
              <w:rPr>
                <w:rFonts w:hint="eastAsia" w:ascii="宋体" w:hAnsi="宋体" w:eastAsia="宋体" w:cs="Times New Roman"/>
                <w:snapToGrid w:val="0"/>
                <w:kern w:val="0"/>
                <w:szCs w:val="32"/>
                <w:u w:val="single"/>
                <w:lang w:val="zh-CN"/>
              </w:rPr>
              <w:t>见《招标公告》中“投标人资格要求”部分的相关内容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eastAsia="宋体" w:cs="Times New Roman"/>
                <w:szCs w:val="24"/>
              </w:rPr>
            </w:pPr>
            <w:r>
              <w:rPr>
                <w:rFonts w:hint="eastAsia" w:ascii="宋体" w:hAnsi="宋体" w:eastAsia="宋体" w:cs="Times New Roman"/>
                <w:szCs w:val="24"/>
              </w:rPr>
              <w:t>2</w:t>
            </w:r>
          </w:p>
        </w:tc>
        <w:tc>
          <w:tcPr>
            <w:tcW w:w="2160" w:type="dxa"/>
            <w:vAlign w:val="center"/>
          </w:tcPr>
          <w:p>
            <w:pPr>
              <w:rPr>
                <w:rFonts w:ascii="宋体" w:hAnsi="宋体" w:eastAsia="宋体" w:cs="Times New Roman"/>
                <w:szCs w:val="24"/>
              </w:rPr>
            </w:pPr>
            <w:r>
              <w:rPr>
                <w:rFonts w:hint="eastAsia" w:ascii="宋体" w:hAnsi="宋体" w:eastAsia="宋体" w:cs="Times New Roman"/>
                <w:szCs w:val="24"/>
              </w:rPr>
              <w:t>投标有效期</w:t>
            </w:r>
          </w:p>
        </w:tc>
        <w:tc>
          <w:tcPr>
            <w:tcW w:w="5400" w:type="dxa"/>
            <w:vAlign w:val="center"/>
          </w:tcPr>
          <w:p>
            <w:pPr>
              <w:rPr>
                <w:rFonts w:ascii="宋体" w:hAnsi="宋体" w:eastAsia="宋体" w:cs="Times New Roman"/>
                <w:szCs w:val="24"/>
              </w:rPr>
            </w:pPr>
            <w:r>
              <w:rPr>
                <w:rFonts w:ascii="宋体" w:hAnsi="宋体" w:eastAsia="宋体" w:cs="Times New Roman"/>
                <w:szCs w:val="24"/>
                <w:u w:val="single"/>
              </w:rPr>
              <w:t>60日历天</w:t>
            </w:r>
            <w:r>
              <w:rPr>
                <w:rFonts w:ascii="宋体" w:hAnsi="宋体" w:eastAsia="宋体" w:cs="Times New Roman"/>
                <w:szCs w:val="24"/>
              </w:rPr>
              <w:t>（从投标截止之日算起）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eastAsia="宋体" w:cs="Times New Roman"/>
                <w:szCs w:val="24"/>
              </w:rPr>
            </w:pPr>
            <w:r>
              <w:rPr>
                <w:rFonts w:hint="eastAsia" w:ascii="宋体" w:hAnsi="宋体" w:eastAsia="宋体" w:cs="Times New Roman"/>
                <w:szCs w:val="24"/>
              </w:rPr>
              <w:t>3</w:t>
            </w:r>
          </w:p>
        </w:tc>
        <w:tc>
          <w:tcPr>
            <w:tcW w:w="2160" w:type="dxa"/>
            <w:vAlign w:val="center"/>
          </w:tcPr>
          <w:p>
            <w:pPr>
              <w:rPr>
                <w:rFonts w:ascii="宋体" w:hAnsi="宋体" w:eastAsia="宋体" w:cs="Times New Roman"/>
                <w:szCs w:val="24"/>
              </w:rPr>
            </w:pPr>
            <w:r>
              <w:rPr>
                <w:rFonts w:hint="eastAsia" w:ascii="宋体" w:hAnsi="宋体" w:eastAsia="宋体" w:cs="Times New Roman"/>
                <w:szCs w:val="24"/>
              </w:rPr>
              <w:t>投标人的替代方案</w:t>
            </w:r>
          </w:p>
        </w:tc>
        <w:tc>
          <w:tcPr>
            <w:tcW w:w="5400" w:type="dxa"/>
            <w:vAlign w:val="center"/>
          </w:tcPr>
          <w:p>
            <w:pPr>
              <w:rPr>
                <w:rFonts w:ascii="宋体" w:hAnsi="宋体" w:eastAsia="宋体" w:cs="Times New Roman"/>
                <w:szCs w:val="24"/>
              </w:rPr>
            </w:pPr>
            <w:r>
              <w:rPr>
                <w:rFonts w:hint="eastAsia" w:ascii="宋体" w:hAnsi="宋体" w:eastAsia="宋体" w:cs="Times New Roman"/>
                <w:szCs w:val="24"/>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eastAsia="宋体" w:cs="Times New Roman"/>
                <w:szCs w:val="24"/>
              </w:rPr>
            </w:pPr>
            <w:r>
              <w:rPr>
                <w:rFonts w:hint="eastAsia" w:ascii="宋体" w:hAnsi="宋体" w:eastAsia="宋体" w:cs="Times New Roman"/>
                <w:szCs w:val="24"/>
              </w:rPr>
              <w:t>4</w:t>
            </w:r>
          </w:p>
        </w:tc>
        <w:tc>
          <w:tcPr>
            <w:tcW w:w="2160" w:type="dxa"/>
            <w:vAlign w:val="center"/>
          </w:tcPr>
          <w:p>
            <w:pPr>
              <w:rPr>
                <w:rFonts w:ascii="宋体" w:hAnsi="宋体" w:eastAsia="宋体" w:cs="Times New Roman"/>
                <w:szCs w:val="24"/>
              </w:rPr>
            </w:pPr>
            <w:r>
              <w:rPr>
                <w:rFonts w:hint="eastAsia" w:ascii="宋体" w:hAnsi="宋体" w:eastAsia="宋体" w:cs="Times New Roman"/>
                <w:szCs w:val="24"/>
              </w:rPr>
              <w:t>投标文件的投递</w:t>
            </w:r>
          </w:p>
        </w:tc>
        <w:tc>
          <w:tcPr>
            <w:tcW w:w="5400" w:type="dxa"/>
            <w:vAlign w:val="center"/>
          </w:tcPr>
          <w:p>
            <w:pPr>
              <w:rPr>
                <w:rFonts w:ascii="宋体" w:hAnsi="宋体" w:eastAsia="宋体" w:cs="Times New Roman"/>
                <w:szCs w:val="24"/>
              </w:rPr>
            </w:pPr>
            <w:r>
              <w:rPr>
                <w:rFonts w:hint="eastAsia" w:ascii="宋体" w:hAnsi="宋体" w:eastAsia="宋体" w:cs="Times New Roman"/>
                <w:szCs w:val="24"/>
              </w:rPr>
              <w:t>投标人必须在招标文件规定的投标截止时间前将密封的投标文件</w:t>
            </w:r>
            <w:r>
              <w:rPr>
                <w:rFonts w:hint="eastAsia" w:ascii="宋体" w:hAnsi="宋体" w:eastAsia="宋体" w:cs="Times New Roman"/>
                <w:color w:val="FF0000"/>
                <w:szCs w:val="24"/>
              </w:rPr>
              <w:t>邮寄</w:t>
            </w:r>
            <w:r>
              <w:rPr>
                <w:rFonts w:hint="eastAsia" w:ascii="宋体" w:hAnsi="宋体" w:eastAsia="宋体" w:cs="Times New Roman"/>
                <w:szCs w:val="24"/>
              </w:rPr>
              <w:t>到深圳大学招投标管理中心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eastAsia="宋体" w:cs="Times New Roman"/>
                <w:szCs w:val="24"/>
              </w:rPr>
            </w:pPr>
            <w:r>
              <w:rPr>
                <w:rFonts w:hint="eastAsia" w:ascii="宋体" w:hAnsi="宋体" w:eastAsia="宋体" w:cs="Times New Roman"/>
                <w:szCs w:val="24"/>
              </w:rPr>
              <w:t>5</w:t>
            </w:r>
          </w:p>
        </w:tc>
        <w:tc>
          <w:tcPr>
            <w:tcW w:w="216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4"/>
              </w:rPr>
            </w:pPr>
            <w:r>
              <w:rPr>
                <w:rFonts w:hint="eastAsia" w:ascii="宋体" w:hAnsi="宋体" w:eastAsia="宋体" w:cs="Times New Roman"/>
                <w:szCs w:val="24"/>
              </w:rPr>
              <w:t>报价最高</w:t>
            </w:r>
            <w:r>
              <w:rPr>
                <w:rFonts w:ascii="宋体" w:hAnsi="宋体" w:eastAsia="宋体" w:cs="Times New Roman"/>
                <w:szCs w:val="24"/>
              </w:rPr>
              <w:t>限额</w:t>
            </w:r>
          </w:p>
        </w:tc>
        <w:tc>
          <w:tcPr>
            <w:tcW w:w="5400" w:type="dxa"/>
            <w:tcBorders>
              <w:top w:val="single" w:color="auto" w:sz="6" w:space="0"/>
              <w:left w:val="single" w:color="auto" w:sz="6" w:space="0"/>
              <w:bottom w:val="single" w:color="auto" w:sz="6" w:space="0"/>
              <w:right w:val="double" w:color="auto" w:sz="4" w:space="0"/>
            </w:tcBorders>
            <w:vAlign w:val="center"/>
          </w:tcPr>
          <w:p>
            <w:pPr>
              <w:spacing w:line="420" w:lineRule="exact"/>
              <w:rPr>
                <w:rFonts w:ascii="宋体" w:hAnsi="宋体" w:eastAsia="宋体"/>
              </w:rPr>
            </w:pPr>
            <w:r>
              <w:rPr>
                <w:rFonts w:ascii="宋体" w:hAnsi="宋体" w:eastAsia="宋体"/>
              </w:rPr>
              <w:t>投标费率上限：</w:t>
            </w:r>
            <w:r>
              <w:rPr>
                <w:rFonts w:hint="eastAsia" w:ascii="宋体" w:hAnsi="宋体" w:eastAsia="宋体"/>
              </w:rPr>
              <w:t>6</w:t>
            </w:r>
            <w:r>
              <w:rPr>
                <w:rFonts w:ascii="宋体" w:hAnsi="宋体" w:eastAsia="宋体"/>
              </w:rPr>
              <w:t>%</w:t>
            </w:r>
          </w:p>
          <w:p>
            <w:pPr>
              <w:spacing w:line="420" w:lineRule="exact"/>
              <w:rPr>
                <w:rFonts w:ascii="宋体" w:hAnsi="宋体" w:eastAsia="宋体" w:cs="Times New Roman"/>
                <w:szCs w:val="24"/>
              </w:rPr>
            </w:pPr>
            <w:r>
              <w:rPr>
                <w:rFonts w:hint="eastAsia" w:ascii="宋体" w:hAnsi="宋体" w:eastAsia="宋体"/>
              </w:rPr>
              <w:t>本项目</w:t>
            </w:r>
            <w:r>
              <w:rPr>
                <w:rFonts w:ascii="宋体" w:hAnsi="宋体" w:eastAsia="宋体"/>
              </w:rPr>
              <w:t>最高支付上限</w:t>
            </w:r>
            <w:r>
              <w:rPr>
                <w:rFonts w:hint="eastAsia" w:ascii="宋体" w:hAnsi="宋体" w:eastAsia="宋体"/>
              </w:rPr>
              <w:t>为</w:t>
            </w:r>
            <w:r>
              <w:rPr>
                <w:rFonts w:hint="eastAsia" w:ascii="宋体" w:hAnsi="宋体" w:eastAsia="宋体" w:cs="Times New Roman"/>
                <w:color w:val="FF0000"/>
                <w:szCs w:val="24"/>
              </w:rPr>
              <w:t>407,160.00元</w:t>
            </w:r>
            <w:r>
              <w:rPr>
                <w:rFonts w:hint="eastAsia" w:ascii="宋体" w:hAnsi="宋体" w:eastAsia="宋体" w:cs="Times New Roman"/>
                <w:szCs w:val="24"/>
              </w:rPr>
              <w:t>（人民币）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eastAsia="宋体" w:cs="Times New Roman"/>
                <w:szCs w:val="24"/>
              </w:rPr>
            </w:pPr>
            <w:r>
              <w:rPr>
                <w:rFonts w:hint="eastAsia" w:ascii="宋体" w:hAnsi="宋体" w:eastAsia="宋体" w:cs="Times New Roman"/>
                <w:szCs w:val="24"/>
              </w:rPr>
              <w:t>6</w:t>
            </w:r>
          </w:p>
        </w:tc>
        <w:tc>
          <w:tcPr>
            <w:tcW w:w="216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4"/>
              </w:rPr>
            </w:pPr>
            <w:r>
              <w:rPr>
                <w:rFonts w:hint="eastAsia" w:ascii="宋体" w:hAnsi="宋体" w:eastAsia="宋体" w:cs="Times New Roman"/>
                <w:szCs w:val="24"/>
              </w:rPr>
              <w:t>投标文件</w:t>
            </w:r>
          </w:p>
        </w:tc>
        <w:tc>
          <w:tcPr>
            <w:tcW w:w="5400" w:type="dxa"/>
            <w:tcBorders>
              <w:top w:val="single" w:color="auto" w:sz="6" w:space="0"/>
              <w:left w:val="single" w:color="auto" w:sz="6" w:space="0"/>
              <w:bottom w:val="single" w:color="auto" w:sz="6" w:space="0"/>
              <w:right w:val="double" w:color="auto" w:sz="4" w:space="0"/>
            </w:tcBorders>
            <w:vAlign w:val="center"/>
          </w:tcPr>
          <w:p>
            <w:pPr>
              <w:rPr>
                <w:rFonts w:ascii="宋体" w:hAnsi="宋体"/>
              </w:rPr>
            </w:pPr>
            <w:r>
              <w:rPr>
                <w:rFonts w:hint="eastAsia" w:ascii="宋体" w:hAnsi="宋体"/>
              </w:rPr>
              <w:t>投标文件正本</w:t>
            </w:r>
            <w:r>
              <w:rPr>
                <w:rFonts w:hint="eastAsia" w:ascii="宋体" w:hAnsi="宋体"/>
                <w:color w:val="FF0000"/>
              </w:rPr>
              <w:t>一</w:t>
            </w:r>
            <w:r>
              <w:rPr>
                <w:rFonts w:hint="eastAsia" w:ascii="宋体" w:hAnsi="宋体"/>
              </w:rPr>
              <w:t xml:space="preserve">份，副本 </w:t>
            </w:r>
            <w:r>
              <w:rPr>
                <w:rFonts w:hint="eastAsia" w:ascii="宋体" w:hAnsi="宋体"/>
                <w:color w:val="FF0000"/>
              </w:rPr>
              <w:t>四</w:t>
            </w:r>
            <w:r>
              <w:rPr>
                <w:rFonts w:hint="eastAsia" w:ascii="宋体" w:hAnsi="宋体"/>
              </w:rPr>
              <w:t xml:space="preserve"> 份，份数不足按投标无效处理。</w:t>
            </w:r>
          </w:p>
          <w:p>
            <w:pPr>
              <w:rPr>
                <w:rFonts w:ascii="宋体" w:hAnsi="宋体"/>
              </w:rPr>
            </w:pPr>
            <w:r>
              <w:rPr>
                <w:rFonts w:hint="eastAsia" w:ascii="宋体" w:hAnsi="宋体"/>
              </w:rPr>
              <w:t>投标文件采用A4版胶印装订，不得采用活页夹装订，投标文件中的任何一页不能是裁剪粘贴式的，否则按投标无效处理。</w:t>
            </w:r>
          </w:p>
          <w:p>
            <w:pPr>
              <w:rPr>
                <w:rFonts w:ascii="宋体" w:hAnsi="宋体" w:eastAsia="宋体" w:cs="Times New Roman"/>
                <w:szCs w:val="24"/>
              </w:rPr>
            </w:pPr>
            <w:r>
              <w:rPr>
                <w:rFonts w:hint="eastAsia" w:ascii="宋体" w:hAnsi="宋体"/>
              </w:rPr>
              <w:t>投标文件需投标一览表</w:t>
            </w:r>
            <w:r>
              <w:rPr>
                <w:rFonts w:hint="eastAsia" w:ascii="宋体" w:hAnsi="宋体"/>
                <w:szCs w:val="21"/>
              </w:rPr>
              <w:t>及电子文件光盘需另外再单独密封一份提交。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eastAsia="宋体" w:cs="Times New Roman"/>
                <w:szCs w:val="24"/>
              </w:rPr>
            </w:pPr>
            <w:r>
              <w:rPr>
                <w:rFonts w:hint="eastAsia" w:ascii="宋体" w:hAnsi="宋体" w:eastAsia="宋体" w:cs="Times New Roman"/>
                <w:szCs w:val="24"/>
              </w:rPr>
              <w:t>7</w:t>
            </w:r>
          </w:p>
        </w:tc>
        <w:tc>
          <w:tcPr>
            <w:tcW w:w="2160" w:type="dxa"/>
            <w:vAlign w:val="center"/>
          </w:tcPr>
          <w:p>
            <w:pPr>
              <w:rPr>
                <w:rFonts w:ascii="宋体" w:hAnsi="宋体" w:eastAsia="宋体" w:cs="Times New Roman"/>
                <w:szCs w:val="24"/>
              </w:rPr>
            </w:pPr>
            <w:r>
              <w:rPr>
                <w:rFonts w:hint="eastAsia" w:ascii="宋体" w:hAnsi="宋体" w:eastAsia="宋体" w:cs="Times New Roman"/>
                <w:szCs w:val="24"/>
              </w:rPr>
              <w:t>履约担保金额</w:t>
            </w:r>
          </w:p>
        </w:tc>
        <w:tc>
          <w:tcPr>
            <w:tcW w:w="5400" w:type="dxa"/>
            <w:vAlign w:val="center"/>
          </w:tcPr>
          <w:p>
            <w:pPr>
              <w:rPr>
                <w:rFonts w:ascii="宋体" w:hAnsi="宋体" w:eastAsia="宋体" w:cs="Times New Roman"/>
                <w:szCs w:val="24"/>
              </w:rPr>
            </w:pPr>
            <w:r>
              <w:rPr>
                <w:rFonts w:hint="eastAsia" w:ascii="宋体" w:hAnsi="宋体" w:eastAsia="宋体" w:cs="Times New Roman"/>
                <w:color w:val="FF0000"/>
                <w:szCs w:val="24"/>
              </w:rPr>
              <w:t>无</w:t>
            </w:r>
          </w:p>
        </w:tc>
      </w:tr>
    </w:tbl>
    <w:p>
      <w:pPr>
        <w:rPr>
          <w:rFonts w:ascii="Times New Roman" w:hAnsi="Times New Roman" w:eastAsia="宋体" w:cs="Times New Roman"/>
          <w:b/>
          <w:szCs w:val="24"/>
        </w:rPr>
      </w:pPr>
      <w:r>
        <w:rPr>
          <w:rFonts w:hint="eastAsia" w:ascii="Times New Roman" w:hAnsi="Times New Roman" w:eastAsia="宋体" w:cs="Times New Roman"/>
          <w:szCs w:val="21"/>
        </w:rPr>
        <w:t>备注：本表为通用条款相关内容的补充和明确，如与通用条款相冲突的以本表为准。</w:t>
      </w:r>
    </w:p>
    <w:p>
      <w:pPr>
        <w:keepNext/>
        <w:keepLines/>
        <w:adjustRightInd w:val="0"/>
        <w:spacing w:before="231" w:beforeLines="50" w:after="231" w:afterLines="50"/>
        <w:jc w:val="center"/>
        <w:textAlignment w:val="baseline"/>
        <w:outlineLvl w:val="1"/>
        <w:rPr>
          <w:rFonts w:ascii="宋体" w:hAnsi="宋体" w:eastAsia="宋体" w:cs="Times New Roman"/>
          <w:b/>
          <w:bCs/>
          <w:kern w:val="0"/>
          <w:sz w:val="28"/>
          <w:szCs w:val="28"/>
        </w:rPr>
      </w:pPr>
      <w:bookmarkStart w:id="25" w:name="_Toc128884461"/>
      <w:r>
        <w:rPr>
          <w:rFonts w:hint="eastAsia" w:ascii="宋体" w:hAnsi="宋体" w:eastAsia="宋体" w:cs="Times New Roman"/>
          <w:b/>
          <w:bCs/>
          <w:kern w:val="0"/>
          <w:sz w:val="28"/>
          <w:szCs w:val="28"/>
        </w:rPr>
        <w:t>二、项目概况</w:t>
      </w:r>
      <w:bookmarkEnd w:id="25"/>
    </w:p>
    <w:p>
      <w:pPr>
        <w:tabs>
          <w:tab w:val="left" w:pos="1139"/>
        </w:tabs>
        <w:spacing w:line="420" w:lineRule="exact"/>
        <w:rPr>
          <w:rFonts w:ascii="宋体" w:hAnsi="宋体"/>
        </w:rPr>
      </w:pPr>
      <w:r>
        <w:rPr>
          <w:rFonts w:ascii="宋体" w:hAnsi="宋体"/>
        </w:rPr>
        <w:t>深圳大学</w:t>
      </w:r>
      <w:r>
        <w:rPr>
          <w:rFonts w:hint="eastAsia" w:ascii="宋体" w:hAnsi="宋体"/>
        </w:rPr>
        <w:t>丽湖校区会议室、服务大厅二次装修方案设计</w:t>
      </w:r>
      <w:r>
        <w:rPr>
          <w:rFonts w:ascii="宋体" w:hAnsi="宋体"/>
        </w:rPr>
        <w:t>。</w:t>
      </w:r>
    </w:p>
    <w:p>
      <w:pPr>
        <w:ind w:firstLine="480" w:firstLineChars="200"/>
        <w:rPr>
          <w:rFonts w:ascii="仿宋" w:hAnsi="仿宋" w:eastAsia="仿宋"/>
          <w:sz w:val="24"/>
          <w:szCs w:val="24"/>
        </w:rPr>
      </w:pPr>
    </w:p>
    <w:p>
      <w:pPr>
        <w:ind w:firstLine="480" w:firstLineChars="200"/>
        <w:rPr>
          <w:rFonts w:ascii="仿宋" w:hAnsi="仿宋" w:eastAsia="仿宋"/>
          <w:sz w:val="24"/>
          <w:szCs w:val="24"/>
        </w:rPr>
      </w:pPr>
    </w:p>
    <w:p>
      <w:pPr>
        <w:keepNext/>
        <w:keepLines/>
        <w:adjustRightInd w:val="0"/>
        <w:spacing w:before="231" w:beforeLines="50" w:after="231" w:afterLines="5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三、项目内容</w:t>
      </w:r>
      <w:r>
        <w:rPr>
          <w:rFonts w:ascii="宋体" w:hAnsi="宋体" w:eastAsia="宋体" w:cs="Times New Roman"/>
          <w:b/>
          <w:bCs/>
          <w:kern w:val="0"/>
          <w:sz w:val="28"/>
          <w:szCs w:val="28"/>
        </w:rPr>
        <w:t>及技术要求</w:t>
      </w:r>
    </w:p>
    <w:p>
      <w:pPr>
        <w:pStyle w:val="214"/>
        <w:widowControl/>
        <w:numPr>
          <w:ilvl w:val="0"/>
          <w:numId w:val="10"/>
        </w:numPr>
        <w:wordWrap w:val="0"/>
        <w:ind w:left="422" w:hanging="422" w:firstLineChars="0"/>
        <w:jc w:val="left"/>
        <w:rPr>
          <w:rFonts w:ascii="宋体" w:hAnsi="宋体"/>
          <w:b/>
        </w:rPr>
      </w:pPr>
      <w:r>
        <w:rPr>
          <w:rFonts w:ascii="宋体" w:hAnsi="宋体"/>
          <w:b/>
        </w:rPr>
        <w:t>设计依据：</w:t>
      </w:r>
    </w:p>
    <w:p>
      <w:pPr>
        <w:tabs>
          <w:tab w:val="left" w:pos="945"/>
          <w:tab w:val="left" w:pos="1139"/>
        </w:tabs>
        <w:spacing w:line="420" w:lineRule="exact"/>
        <w:rPr>
          <w:rFonts w:ascii="宋体" w:hAnsi="宋体"/>
        </w:rPr>
      </w:pPr>
      <w:r>
        <w:rPr>
          <w:rFonts w:ascii="宋体" w:hAnsi="宋体"/>
        </w:rPr>
        <w:t>1.1国家及地方的相关法律法规和设计规范</w:t>
      </w:r>
    </w:p>
    <w:p>
      <w:pPr>
        <w:tabs>
          <w:tab w:val="left" w:pos="945"/>
          <w:tab w:val="left" w:pos="1139"/>
        </w:tabs>
        <w:spacing w:line="420" w:lineRule="exact"/>
        <w:rPr>
          <w:rFonts w:ascii="宋体" w:hAnsi="宋体"/>
        </w:rPr>
      </w:pPr>
      <w:r>
        <w:rPr>
          <w:rFonts w:ascii="宋体" w:hAnsi="宋体"/>
        </w:rPr>
        <w:t>1.2</w:t>
      </w:r>
      <w:r>
        <w:rPr>
          <w:rFonts w:hint="eastAsia" w:ascii="宋体" w:hAnsi="宋体"/>
        </w:rPr>
        <w:t>采购方</w:t>
      </w:r>
      <w:r>
        <w:rPr>
          <w:rFonts w:ascii="宋体" w:hAnsi="宋体"/>
        </w:rPr>
        <w:t>提供的设计任务，功能空间建议图纸以及设备配置需求</w:t>
      </w:r>
    </w:p>
    <w:p>
      <w:pPr>
        <w:tabs>
          <w:tab w:val="left" w:pos="945"/>
          <w:tab w:val="left" w:pos="1139"/>
        </w:tabs>
        <w:spacing w:line="420" w:lineRule="exact"/>
        <w:rPr>
          <w:rFonts w:ascii="宋体" w:hAnsi="宋体"/>
        </w:rPr>
      </w:pPr>
      <w:r>
        <w:rPr>
          <w:rFonts w:ascii="宋体" w:hAnsi="宋体"/>
        </w:rPr>
        <w:t>1.3原始土建设计图纸等相关资料</w:t>
      </w:r>
    </w:p>
    <w:p>
      <w:pPr>
        <w:wordWrap w:val="0"/>
        <w:spacing w:before="231"/>
        <w:jc w:val="left"/>
        <w:rPr>
          <w:rFonts w:ascii="宋体" w:hAnsi="宋体"/>
          <w:b/>
        </w:rPr>
      </w:pPr>
      <w:r>
        <w:rPr>
          <w:rFonts w:ascii="宋体" w:hAnsi="宋体"/>
          <w:b/>
        </w:rPr>
        <w:t>2、设计范围：</w:t>
      </w:r>
    </w:p>
    <w:p>
      <w:pPr>
        <w:tabs>
          <w:tab w:val="left" w:pos="1139"/>
        </w:tabs>
        <w:spacing w:line="420" w:lineRule="exact"/>
        <w:rPr>
          <w:rFonts w:ascii="宋体" w:hAnsi="宋体"/>
        </w:rPr>
      </w:pPr>
      <w:r>
        <w:rPr>
          <w:rFonts w:hint="eastAsia" w:ascii="宋体" w:hAnsi="宋体"/>
        </w:rPr>
        <w:t>综合楼A、B栋及法商学院楼，建筑设计面积约为：3578.4㎡；设计内容涵盖各个办公楼内多种不同用途的会议室，综合楼服务大厅，展厅及沙盘区域。包括：院系科研用房(会议室)：82.2㎡、远程视频会议室(校级)：98.9㎡；会议室(校级):40.1㎡；文化长廊:516㎡；贵宾室:48.4㎡；服务大厅+沙盘区:1184.2㎡；院系科研用房(会议室)：89.2㎡；院系科研用房(研讨室):83.9㎡；法学院会议室-1：36.2㎡；法学院会议室-2: 86㎡；多功能会议室01：108.9㎡；多功能会议室02:109㎡；多功能会议室03:60.3㎡；多功能讨论室：112.3㎡；法学院会议室02:56.2㎡；研讨室X3：75.3㎡；法学院会议室03:60.5㎡；学术交流室：125.7㎡；法学院多功能会议室：61.8㎡；经济学院会议室01X6:66.4㎡。（详见附件《丽湖校区设计面积统计表》）。</w:t>
      </w:r>
    </w:p>
    <w:p>
      <w:pPr>
        <w:tabs>
          <w:tab w:val="left" w:pos="1139"/>
        </w:tabs>
        <w:spacing w:line="420" w:lineRule="exact"/>
        <w:rPr>
          <w:rFonts w:ascii="宋体" w:hAnsi="宋体"/>
        </w:rPr>
      </w:pPr>
    </w:p>
    <w:p>
      <w:pPr>
        <w:tabs>
          <w:tab w:val="left" w:pos="1139"/>
        </w:tabs>
        <w:spacing w:line="420" w:lineRule="exact"/>
        <w:rPr>
          <w:rFonts w:ascii="宋体" w:hAnsi="宋体"/>
          <w:b/>
        </w:rPr>
      </w:pPr>
      <w:r>
        <w:rPr>
          <w:rFonts w:ascii="宋体" w:hAnsi="宋体"/>
          <w:b/>
        </w:rPr>
        <w:t>3</w:t>
      </w:r>
      <w:r>
        <w:rPr>
          <w:rFonts w:hint="eastAsia" w:ascii="宋体" w:hAnsi="宋体"/>
          <w:b/>
        </w:rPr>
        <w:t>、</w:t>
      </w:r>
      <w:r>
        <w:rPr>
          <w:rFonts w:ascii="宋体" w:hAnsi="宋体"/>
          <w:b/>
        </w:rPr>
        <w:t>设计</w:t>
      </w:r>
      <w:r>
        <w:rPr>
          <w:rFonts w:hint="eastAsia" w:ascii="宋体" w:hAnsi="宋体"/>
          <w:b/>
        </w:rPr>
        <w:t>内容</w:t>
      </w:r>
    </w:p>
    <w:p>
      <w:pPr>
        <w:tabs>
          <w:tab w:val="left" w:pos="1139"/>
        </w:tabs>
        <w:spacing w:line="420" w:lineRule="exact"/>
        <w:rPr>
          <w:rFonts w:ascii="宋体" w:hAnsi="宋体"/>
        </w:rPr>
      </w:pPr>
      <w:r>
        <w:rPr>
          <w:rFonts w:hint="eastAsia" w:ascii="宋体" w:hAnsi="宋体"/>
        </w:rPr>
        <w:t>本次设计内容包含各个功能房间的要功能及软装需求，符合各个功能房间的功能要求。</w:t>
      </w:r>
    </w:p>
    <w:p>
      <w:pPr>
        <w:tabs>
          <w:tab w:val="left" w:pos="1139"/>
        </w:tabs>
        <w:spacing w:line="420" w:lineRule="exact"/>
        <w:rPr>
          <w:rFonts w:ascii="宋体" w:hAnsi="宋体"/>
        </w:rPr>
      </w:pPr>
    </w:p>
    <w:p>
      <w:pPr>
        <w:tabs>
          <w:tab w:val="left" w:pos="1139"/>
        </w:tabs>
        <w:wordWrap w:val="0"/>
        <w:spacing w:line="432" w:lineRule="auto"/>
        <w:rPr>
          <w:rFonts w:ascii="宋体" w:hAnsi="宋体"/>
          <w:b/>
        </w:rPr>
      </w:pPr>
      <w:r>
        <w:rPr>
          <w:rFonts w:hint="eastAsia" w:ascii="宋体" w:hAnsi="宋体"/>
          <w:b/>
        </w:rPr>
        <w:t>4、</w:t>
      </w:r>
      <w:r>
        <w:rPr>
          <w:rFonts w:ascii="宋体" w:hAnsi="宋体"/>
          <w:b/>
        </w:rPr>
        <w:t>设计</w:t>
      </w:r>
      <w:r>
        <w:rPr>
          <w:rFonts w:hint="eastAsia" w:ascii="宋体" w:hAnsi="宋体"/>
          <w:b/>
        </w:rPr>
        <w:t>方向</w:t>
      </w:r>
    </w:p>
    <w:p>
      <w:pPr>
        <w:tabs>
          <w:tab w:val="left" w:pos="1139"/>
        </w:tabs>
        <w:spacing w:line="420" w:lineRule="exact"/>
        <w:rPr>
          <w:rFonts w:ascii="宋体" w:hAnsi="宋体"/>
        </w:rPr>
      </w:pPr>
      <w:r>
        <w:rPr>
          <w:rFonts w:hint="eastAsia" w:ascii="宋体" w:hAnsi="宋体"/>
        </w:rPr>
        <w:t>简洁、品质、科技。满足使用空间的功能性、舒适性和创新性。使用绿色环保材料，注重经济实用，不追求奢华，符合高校特性。</w:t>
      </w:r>
    </w:p>
    <w:p>
      <w:pPr>
        <w:tabs>
          <w:tab w:val="left" w:pos="1139"/>
        </w:tabs>
        <w:spacing w:line="420" w:lineRule="exact"/>
        <w:rPr>
          <w:rFonts w:ascii="宋体" w:hAnsi="宋体"/>
        </w:rPr>
      </w:pPr>
    </w:p>
    <w:p>
      <w:pPr>
        <w:wordWrap w:val="0"/>
        <w:spacing w:before="231"/>
        <w:jc w:val="left"/>
        <w:rPr>
          <w:rFonts w:ascii="宋体" w:hAnsi="宋体"/>
          <w:b/>
        </w:rPr>
      </w:pPr>
      <w:r>
        <w:rPr>
          <w:rFonts w:hint="eastAsia" w:ascii="宋体" w:hAnsi="宋体"/>
          <w:b/>
        </w:rPr>
        <w:t>5</w:t>
      </w:r>
      <w:r>
        <w:rPr>
          <w:rFonts w:ascii="宋体" w:hAnsi="宋体"/>
          <w:b/>
        </w:rPr>
        <w:t>、设计要求</w:t>
      </w:r>
    </w:p>
    <w:p>
      <w:pPr>
        <w:wordWrap w:val="0"/>
        <w:ind w:firstLine="420"/>
        <w:jc w:val="left"/>
        <w:rPr>
          <w:rFonts w:ascii="宋体" w:hAnsi="宋体"/>
        </w:rPr>
      </w:pPr>
      <w:r>
        <w:rPr>
          <w:rFonts w:ascii="宋体" w:hAnsi="宋体"/>
        </w:rPr>
        <w:t>设计方应根据</w:t>
      </w:r>
      <w:r>
        <w:rPr>
          <w:rFonts w:hint="eastAsia" w:ascii="宋体" w:hAnsi="宋体"/>
        </w:rPr>
        <w:t>采购方</w:t>
      </w:r>
      <w:r>
        <w:rPr>
          <w:rFonts w:ascii="宋体" w:hAnsi="宋体"/>
        </w:rPr>
        <w:t>提供的有关资料及要求，提供总体构思及创意设计；方案设计阶段保持与</w:t>
      </w:r>
      <w:r>
        <w:rPr>
          <w:rFonts w:hint="eastAsia" w:ascii="宋体" w:hAnsi="宋体"/>
        </w:rPr>
        <w:t>采购方</w:t>
      </w:r>
      <w:r>
        <w:rPr>
          <w:rFonts w:ascii="宋体" w:hAnsi="宋体"/>
        </w:rPr>
        <w:t>的密切接触，随时调整、改进方案设计，直至</w:t>
      </w:r>
      <w:r>
        <w:rPr>
          <w:rFonts w:hint="eastAsia" w:ascii="宋体" w:hAnsi="宋体"/>
        </w:rPr>
        <w:t>采购方</w:t>
      </w:r>
      <w:r>
        <w:rPr>
          <w:rFonts w:ascii="宋体" w:hAnsi="宋体"/>
        </w:rPr>
        <w:t>满意并确认为止；最终应向</w:t>
      </w:r>
      <w:r>
        <w:rPr>
          <w:rFonts w:hint="eastAsia" w:ascii="宋体" w:hAnsi="宋体"/>
        </w:rPr>
        <w:t>采购方</w:t>
      </w:r>
      <w:r>
        <w:rPr>
          <w:rFonts w:ascii="宋体" w:hAnsi="宋体"/>
        </w:rPr>
        <w:t>提供一套完整的方案设计。</w:t>
      </w:r>
    </w:p>
    <w:p>
      <w:pPr>
        <w:wordWrap w:val="0"/>
        <w:ind w:firstLine="420"/>
        <w:jc w:val="left"/>
        <w:rPr>
          <w:rFonts w:ascii="宋体" w:hAnsi="宋体"/>
        </w:rPr>
      </w:pPr>
      <w:r>
        <w:rPr>
          <w:rFonts w:hint="eastAsia" w:ascii="宋体" w:hAnsi="宋体"/>
        </w:rPr>
        <w:t>本次设计内容包含各个功能房间的主要功能及软装需求，符合各个功能房间的功能要求。</w:t>
      </w:r>
    </w:p>
    <w:p>
      <w:pPr>
        <w:wordWrap w:val="0"/>
        <w:spacing w:before="280" w:beforeAutospacing="1" w:after="280" w:afterAutospacing="1" w:line="420" w:lineRule="exact"/>
        <w:jc w:val="left"/>
        <w:rPr>
          <w:rFonts w:ascii="宋体" w:hAnsi="宋体"/>
        </w:rPr>
      </w:pPr>
      <w:r>
        <w:rPr>
          <w:rFonts w:hint="eastAsia" w:ascii="宋体" w:hAnsi="宋体"/>
          <w:b/>
        </w:rPr>
        <w:t>6</w:t>
      </w:r>
      <w:r>
        <w:rPr>
          <w:rFonts w:ascii="宋体" w:hAnsi="宋体"/>
          <w:b/>
        </w:rPr>
        <w:t>、概念方案设计阶段</w:t>
      </w:r>
      <w:r>
        <w:rPr>
          <w:rFonts w:ascii="宋体" w:hAnsi="宋体"/>
        </w:rPr>
        <w:t>：</w:t>
      </w:r>
    </w:p>
    <w:p>
      <w:pPr>
        <w:wordWrap w:val="0"/>
        <w:spacing w:before="280" w:beforeAutospacing="1" w:after="280" w:afterAutospacing="1" w:line="420" w:lineRule="exact"/>
        <w:ind w:firstLine="420"/>
        <w:jc w:val="left"/>
        <w:rPr>
          <w:rFonts w:ascii="宋体" w:hAnsi="宋体"/>
        </w:rPr>
      </w:pPr>
      <w:r>
        <w:rPr>
          <w:rFonts w:ascii="宋体" w:hAnsi="宋体"/>
        </w:rPr>
        <w:t>根据</w:t>
      </w:r>
      <w:r>
        <w:rPr>
          <w:rFonts w:hint="eastAsia" w:ascii="宋体" w:hAnsi="宋体"/>
        </w:rPr>
        <w:t>采购方</w:t>
      </w:r>
      <w:r>
        <w:rPr>
          <w:rFonts w:ascii="宋体" w:hAnsi="宋体"/>
        </w:rPr>
        <w:t>提供的材料，给出布局优化意见，并根据风格要求提出相应的设计理念、构思。描述设计主题、风格、空间、色调、各平面布局与意向效果；进行主要空间的效果演示与可行性分析，照明分析与设计，软装方案设计。包括但不限于以下设计成果：设计说明、平面布置图、地面材质图、顶面布置图（包括灯具、风口、烟感、喷淋等机电的定位）、强弱电开关插座面板的定位图、其余相关设施设备的定位图，以及主要装饰材料的样板示意、装修配套设计（包括办公家具摆放，休闲洽谈区、走廊及文化展示区布置，装饰材料样板、盆景、门牌标志等）、整体空间效果图、造价预算表。</w:t>
      </w:r>
    </w:p>
    <w:p>
      <w:pPr>
        <w:wordWrap w:val="0"/>
        <w:spacing w:before="280" w:beforeAutospacing="1" w:after="280" w:afterAutospacing="1" w:line="420" w:lineRule="exact"/>
        <w:ind w:firstLine="420"/>
        <w:jc w:val="left"/>
        <w:rPr>
          <w:rFonts w:ascii="宋体" w:hAnsi="宋体"/>
        </w:rPr>
      </w:pPr>
      <w:r>
        <w:rPr>
          <w:rFonts w:ascii="宋体" w:hAnsi="宋体"/>
        </w:rPr>
        <w:t>成果完稿表现形式为A4文本装订成册3套，电子文件一套；软装及标识设计提交文本2套，电子文件一套。</w:t>
      </w:r>
    </w:p>
    <w:p>
      <w:pPr>
        <w:wordWrap w:val="0"/>
        <w:spacing w:before="280" w:beforeAutospacing="1" w:after="280" w:afterAutospacing="1" w:line="420" w:lineRule="exact"/>
        <w:jc w:val="left"/>
        <w:rPr>
          <w:rFonts w:ascii="宋体" w:hAnsi="宋体"/>
          <w:b/>
        </w:rPr>
      </w:pPr>
      <w:r>
        <w:rPr>
          <w:rFonts w:hint="eastAsia" w:ascii="宋体" w:hAnsi="宋体"/>
          <w:b/>
        </w:rPr>
        <w:t>7</w:t>
      </w:r>
      <w:r>
        <w:rPr>
          <w:rFonts w:ascii="宋体" w:hAnsi="宋体"/>
          <w:b/>
        </w:rPr>
        <w:t>、施工图设计阶段：</w:t>
      </w:r>
    </w:p>
    <w:p>
      <w:pPr>
        <w:wordWrap w:val="0"/>
        <w:spacing w:before="280" w:beforeAutospacing="1" w:after="280" w:afterAutospacing="1" w:line="420" w:lineRule="exact"/>
        <w:ind w:firstLine="420"/>
        <w:jc w:val="left"/>
        <w:rPr>
          <w:rFonts w:ascii="宋体" w:hAnsi="宋体"/>
          <w:b/>
        </w:rPr>
      </w:pPr>
      <w:r>
        <w:rPr>
          <w:rFonts w:ascii="宋体" w:hAnsi="宋体"/>
        </w:rPr>
        <w:t>根据概念方案设计阶段确认的成果，将装修设计方案进行具体定位、定型、标注尺寸，对设计中的材质颜色进行全面标注，完成全面具体的设计；详尽表现出各个空间的设计内容，以及完整的强弱电、空调、消防线路图，满足施工技术与进度，包括但不限于以下图纸：设计说明；平面布置图（标详尽尺寸）；地面铺装图（标详尽尺寸）；天花平面图（标详尽尺寸，包括灯具、空调风口、烟感、喷淋等机电的定位）；配套机电专业（强弱电开关插座面板的定位，用水、空调、消防等）的点位图、系统图和布置图（标立面、平面详尽尺寸）等专业施工图；技术说明；材料表；造价预算表（软硬装）；材料图片；材料样板；装修配套设计（包括办公家具摆放，休闲区、走廊及文化展示区布置，装饰材料样板、盆景、门牌标志等）、空间整体效果的样板示意。</w:t>
      </w:r>
    </w:p>
    <w:p>
      <w:pPr>
        <w:wordWrap w:val="0"/>
        <w:spacing w:before="280" w:beforeAutospacing="1" w:after="280" w:afterAutospacing="1" w:line="420" w:lineRule="exact"/>
        <w:ind w:firstLine="420"/>
        <w:jc w:val="left"/>
        <w:rPr>
          <w:rFonts w:ascii="宋体" w:hAnsi="宋体"/>
        </w:rPr>
      </w:pPr>
      <w:r>
        <w:rPr>
          <w:rFonts w:ascii="宋体" w:hAnsi="宋体"/>
        </w:rPr>
        <w:t>该阶段完稿提供图纸为：A2文本装订成册（蓝图）6套，全部设计内容的电子文件1套（光盘）；软装设计成果提供标准格式文本彩色照片纸打印2套，全部设计内容的电子文件1套（光盘）。</w:t>
      </w:r>
    </w:p>
    <w:p>
      <w:pPr>
        <w:wordWrap w:val="0"/>
        <w:spacing w:before="280" w:beforeAutospacing="1" w:after="280" w:afterAutospacing="1" w:line="420" w:lineRule="exact"/>
        <w:ind w:firstLine="420"/>
        <w:jc w:val="left"/>
        <w:rPr>
          <w:rFonts w:ascii="宋体" w:hAnsi="宋体"/>
        </w:rPr>
      </w:pPr>
      <w:r>
        <w:rPr>
          <w:rFonts w:ascii="宋体" w:hAnsi="宋体"/>
        </w:rPr>
        <w:t>施工图完成后，将安排图纸会审，由</w:t>
      </w:r>
      <w:r>
        <w:rPr>
          <w:rFonts w:hint="eastAsia" w:ascii="宋体" w:hAnsi="宋体"/>
        </w:rPr>
        <w:t>中标人</w:t>
      </w:r>
      <w:r>
        <w:rPr>
          <w:rFonts w:ascii="宋体" w:hAnsi="宋体"/>
        </w:rPr>
        <w:t>设计单位向</w:t>
      </w:r>
      <w:r>
        <w:rPr>
          <w:rFonts w:hint="eastAsia" w:ascii="宋体" w:hAnsi="宋体"/>
        </w:rPr>
        <w:t>采购方</w:t>
      </w:r>
      <w:r>
        <w:rPr>
          <w:rFonts w:ascii="宋体" w:hAnsi="宋体"/>
        </w:rPr>
        <w:t>进行全面的技术交底。设计公司需出消防报建图纸及配合学校消防报建</w:t>
      </w:r>
      <w:r>
        <w:rPr>
          <w:rFonts w:hint="eastAsia" w:ascii="宋体" w:hAnsi="宋体" w:eastAsia="宋体"/>
        </w:rPr>
        <w:t>工作</w:t>
      </w:r>
      <w:r>
        <w:rPr>
          <w:rFonts w:ascii="宋体" w:hAnsi="宋体"/>
        </w:rPr>
        <w:t>。</w:t>
      </w:r>
    </w:p>
    <w:p>
      <w:pPr>
        <w:widowControl/>
        <w:numPr>
          <w:ilvl w:val="0"/>
          <w:numId w:val="11"/>
        </w:numPr>
        <w:wordWrap w:val="0"/>
        <w:spacing w:before="280" w:beforeAutospacing="1" w:after="280" w:afterAutospacing="1" w:line="420" w:lineRule="exact"/>
        <w:ind w:left="2102" w:hanging="422"/>
        <w:jc w:val="left"/>
        <w:rPr>
          <w:rFonts w:ascii="宋体" w:hAnsi="宋体"/>
          <w:b/>
        </w:rPr>
      </w:pPr>
      <w:r>
        <w:rPr>
          <w:rFonts w:ascii="Times New Roman" w:hAnsi="Times New Roman" w:eastAsia="宋体" w:cs="Times New Roman"/>
          <w:b/>
          <w:szCs w:val="21"/>
        </w:rPr>
        <w:t>需设计单位完成的其他工作</w:t>
      </w:r>
    </w:p>
    <w:p>
      <w:pPr>
        <w:tabs>
          <w:tab w:val="left" w:pos="1740"/>
        </w:tabs>
        <w:adjustRightInd w:val="0"/>
        <w:snapToGrid w:val="0"/>
        <w:spacing w:line="360" w:lineRule="auto"/>
        <w:ind w:firstLine="420" w:firstLineChars="200"/>
        <w:jc w:val="left"/>
        <w:rPr>
          <w:rFonts w:ascii="Times New Roman" w:hAnsi="Times New Roman"/>
        </w:rPr>
      </w:pPr>
      <w:r>
        <w:rPr>
          <w:rFonts w:ascii="Times New Roman" w:hAnsi="Times New Roman" w:eastAsia="宋体" w:cs="Times New Roman"/>
          <w:szCs w:val="21"/>
        </w:rPr>
        <w:t>配合建设单位做好装修工作的招标工作；</w:t>
      </w:r>
    </w:p>
    <w:p>
      <w:pPr>
        <w:tabs>
          <w:tab w:val="left" w:pos="1740"/>
        </w:tabs>
        <w:adjustRightInd w:val="0"/>
        <w:snapToGrid w:val="0"/>
        <w:spacing w:line="360" w:lineRule="auto"/>
        <w:ind w:firstLine="420" w:firstLineChars="200"/>
        <w:jc w:val="left"/>
        <w:rPr>
          <w:rFonts w:ascii="Times New Roman" w:hAnsi="Times New Roman"/>
        </w:rPr>
      </w:pPr>
      <w:r>
        <w:rPr>
          <w:rFonts w:ascii="Times New Roman" w:hAnsi="Times New Roman" w:eastAsia="宋体" w:cs="Times New Roman"/>
          <w:szCs w:val="21"/>
        </w:rPr>
        <w:t>配合建设单位做好现场验收工作；</w:t>
      </w:r>
    </w:p>
    <w:p>
      <w:pPr>
        <w:tabs>
          <w:tab w:val="left" w:pos="1740"/>
        </w:tabs>
        <w:adjustRightInd w:val="0"/>
        <w:snapToGrid w:val="0"/>
        <w:spacing w:line="360" w:lineRule="auto"/>
        <w:ind w:firstLine="420" w:firstLineChars="200"/>
        <w:jc w:val="left"/>
        <w:rPr>
          <w:rFonts w:ascii="Times New Roman" w:hAnsi="Times New Roman"/>
        </w:rPr>
      </w:pPr>
      <w:r>
        <w:rPr>
          <w:rFonts w:ascii="Times New Roman" w:hAnsi="Times New Roman" w:eastAsia="宋体" w:cs="Times New Roman"/>
          <w:szCs w:val="21"/>
        </w:rPr>
        <w:t>配合建设单位做好装修材料样板的确认工作；</w:t>
      </w:r>
    </w:p>
    <w:p>
      <w:pPr>
        <w:tabs>
          <w:tab w:val="left" w:pos="1740"/>
        </w:tabs>
        <w:adjustRightInd w:val="0"/>
        <w:snapToGrid w:val="0"/>
        <w:spacing w:line="360" w:lineRule="auto"/>
        <w:ind w:firstLine="420" w:firstLineChars="200"/>
        <w:jc w:val="left"/>
        <w:rPr>
          <w:rFonts w:ascii="Times New Roman" w:hAnsi="Times New Roman"/>
        </w:rPr>
      </w:pPr>
      <w:r>
        <w:rPr>
          <w:rFonts w:ascii="Times New Roman" w:hAnsi="Times New Roman" w:eastAsia="宋体" w:cs="Times New Roman"/>
          <w:szCs w:val="21"/>
        </w:rPr>
        <w:t>配合建设单位做好整个装修工程的设计变更工作；</w:t>
      </w:r>
    </w:p>
    <w:p>
      <w:pPr>
        <w:tabs>
          <w:tab w:val="left" w:pos="1740"/>
        </w:tabs>
        <w:adjustRightInd w:val="0"/>
        <w:snapToGrid w:val="0"/>
        <w:spacing w:line="360" w:lineRule="auto"/>
        <w:ind w:firstLine="420" w:firstLineChars="200"/>
        <w:jc w:val="left"/>
        <w:rPr>
          <w:rFonts w:ascii="Times New Roman" w:hAnsi="Times New Roman"/>
        </w:rPr>
      </w:pPr>
      <w:r>
        <w:rPr>
          <w:rFonts w:ascii="Times New Roman" w:hAnsi="Times New Roman" w:eastAsia="宋体" w:cs="Times New Roman"/>
          <w:szCs w:val="21"/>
        </w:rPr>
        <w:t>参加装修工程的竣工验收工作；</w:t>
      </w:r>
    </w:p>
    <w:p>
      <w:pPr>
        <w:tabs>
          <w:tab w:val="left" w:pos="1740"/>
        </w:tabs>
        <w:adjustRightInd w:val="0"/>
        <w:snapToGrid w:val="0"/>
        <w:spacing w:line="360" w:lineRule="auto"/>
        <w:ind w:firstLine="420" w:firstLineChars="200"/>
        <w:jc w:val="left"/>
        <w:rPr>
          <w:rFonts w:ascii="Times New Roman" w:hAnsi="Times New Roman"/>
        </w:rPr>
      </w:pPr>
      <w:r>
        <w:rPr>
          <w:rFonts w:ascii="Times New Roman" w:hAnsi="Times New Roman" w:eastAsia="宋体" w:cs="Times New Roman"/>
          <w:szCs w:val="21"/>
        </w:rPr>
        <w:t>参加由建设单位主持的需由设计人参加的相关工程会议</w:t>
      </w:r>
    </w:p>
    <w:p>
      <w:pPr>
        <w:rPr>
          <w:rFonts w:ascii="仿宋_GB2312" w:eastAsia="仿宋_GB2312" w:cs="仿宋_GB2312"/>
          <w:sz w:val="28"/>
          <w:szCs w:val="28"/>
        </w:rPr>
      </w:pPr>
    </w:p>
    <w:p>
      <w:pPr>
        <w:keepNext/>
        <w:keepLines/>
        <w:adjustRightInd w:val="0"/>
        <w:spacing w:before="231" w:beforeLines="50" w:after="231" w:afterLines="5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四、商务</w:t>
      </w:r>
      <w:r>
        <w:rPr>
          <w:rFonts w:ascii="宋体" w:hAnsi="宋体" w:eastAsia="宋体" w:cs="Times New Roman"/>
          <w:b/>
          <w:bCs/>
          <w:kern w:val="0"/>
          <w:sz w:val="28"/>
          <w:szCs w:val="28"/>
        </w:rPr>
        <w:t>需求</w:t>
      </w:r>
    </w:p>
    <w:p>
      <w:pPr>
        <w:adjustRightInd w:val="0"/>
        <w:snapToGrid w:val="0"/>
        <w:spacing w:line="360" w:lineRule="auto"/>
        <w:ind w:firstLine="426" w:firstLineChars="202"/>
        <w:rPr>
          <w:rFonts w:ascii="Times New Roman" w:hAnsi="Times New Roman"/>
          <w:b/>
        </w:rPr>
      </w:pPr>
      <w:r>
        <w:rPr>
          <w:rFonts w:hint="eastAsia" w:ascii="宋体" w:hAnsi="宋体" w:eastAsia="宋体" w:cs="Times New Roman"/>
          <w:b/>
          <w:szCs w:val="21"/>
        </w:rPr>
        <w:t>（</w:t>
      </w:r>
      <w:r>
        <w:rPr>
          <w:rFonts w:ascii="Times New Roman" w:hAnsi="Times New Roman" w:eastAsia="宋体" w:cs="Times New Roman"/>
          <w:b/>
          <w:szCs w:val="21"/>
        </w:rPr>
        <w:t>一）服务期限</w:t>
      </w:r>
    </w:p>
    <w:p>
      <w:pPr>
        <w:adjustRightInd w:val="0"/>
        <w:snapToGrid w:val="0"/>
        <w:spacing w:line="360" w:lineRule="auto"/>
        <w:ind w:firstLine="420" w:firstLineChars="200"/>
        <w:jc w:val="left"/>
        <w:rPr>
          <w:rStyle w:val="48"/>
          <w:rFonts w:ascii="Times New Roman" w:hAnsi="Times New Roman"/>
        </w:rPr>
      </w:pPr>
    </w:p>
    <w:p>
      <w:pPr>
        <w:ind w:firstLine="420" w:firstLineChars="200"/>
        <w:rPr>
          <w:rFonts w:ascii="宋体" w:hAnsi="宋体"/>
        </w:rPr>
      </w:pPr>
      <w:r>
        <w:rPr>
          <w:rFonts w:hint="eastAsia" w:ascii="宋体" w:hAnsi="宋体" w:eastAsia="宋体" w:cs="Times New Roman"/>
          <w:szCs w:val="21"/>
        </w:rPr>
        <w:t>自合同签订之日起15</w:t>
      </w:r>
      <w:r>
        <w:rPr>
          <w:rFonts w:ascii="宋体" w:hAnsi="宋体" w:eastAsia="宋体" w:cs="Times New Roman"/>
          <w:szCs w:val="21"/>
        </w:rPr>
        <w:t>个工作日</w:t>
      </w:r>
      <w:r>
        <w:rPr>
          <w:rFonts w:hint="eastAsia" w:ascii="宋体" w:hAnsi="宋体" w:eastAsia="宋体" w:cs="Times New Roman"/>
          <w:szCs w:val="21"/>
        </w:rPr>
        <w:t>内</w:t>
      </w:r>
      <w:r>
        <w:rPr>
          <w:rFonts w:ascii="宋体" w:hAnsi="宋体" w:eastAsia="宋体" w:cs="Times New Roman"/>
          <w:szCs w:val="21"/>
        </w:rPr>
        <w:t>完成</w:t>
      </w:r>
      <w:r>
        <w:rPr>
          <w:rFonts w:hint="eastAsia" w:ascii="宋体" w:hAnsi="宋体" w:eastAsia="宋体" w:cs="Times New Roman"/>
          <w:szCs w:val="21"/>
        </w:rPr>
        <w:t>包括</w:t>
      </w:r>
      <w:r>
        <w:rPr>
          <w:rFonts w:ascii="宋体" w:hAnsi="宋体" w:eastAsia="宋体" w:cs="Times New Roman"/>
          <w:szCs w:val="21"/>
        </w:rPr>
        <w:t>施工图设计</w:t>
      </w:r>
      <w:r>
        <w:rPr>
          <w:rFonts w:hint="eastAsia" w:ascii="宋体" w:hAnsi="宋体" w:eastAsia="宋体" w:cs="Times New Roman"/>
          <w:szCs w:val="21"/>
        </w:rPr>
        <w:t>内</w:t>
      </w:r>
      <w:r>
        <w:rPr>
          <w:rFonts w:ascii="宋体" w:hAnsi="宋体" w:eastAsia="宋体" w:cs="Times New Roman"/>
          <w:szCs w:val="21"/>
        </w:rPr>
        <w:t>的所有</w:t>
      </w:r>
      <w:r>
        <w:rPr>
          <w:rFonts w:hint="eastAsia" w:ascii="宋体" w:hAnsi="宋体" w:eastAsia="宋体" w:cs="Times New Roman"/>
          <w:szCs w:val="21"/>
        </w:rPr>
        <w:t>设计服务</w:t>
      </w:r>
      <w:r>
        <w:rPr>
          <w:rFonts w:ascii="宋体" w:hAnsi="宋体" w:eastAsia="宋体" w:cs="Times New Roman"/>
          <w:szCs w:val="21"/>
        </w:rPr>
        <w:t>。</w:t>
      </w:r>
    </w:p>
    <w:p>
      <w:pPr>
        <w:spacing w:line="420" w:lineRule="exact"/>
        <w:ind w:firstLine="420" w:firstLineChars="200"/>
        <w:rPr>
          <w:rFonts w:ascii="宋体" w:hAnsi="宋体"/>
        </w:rPr>
      </w:pPr>
      <w:r>
        <w:rPr>
          <w:rFonts w:ascii="宋体" w:hAnsi="宋体" w:eastAsia="宋体"/>
        </w:rPr>
        <w:t>在</w:t>
      </w:r>
      <w:r>
        <w:rPr>
          <w:rFonts w:hint="eastAsia" w:ascii="宋体" w:hAnsi="宋体" w:eastAsia="宋体"/>
        </w:rPr>
        <w:t>采购方</w:t>
      </w:r>
      <w:r>
        <w:rPr>
          <w:rFonts w:ascii="宋体" w:hAnsi="宋体" w:eastAsia="宋体"/>
        </w:rPr>
        <w:t>提供设计任务书、功能空间建议图纸、各空间设备配置需求、原始土建设计图纸等相关资料后5个工作日完成概念方案设计；在概念方案获得</w:t>
      </w:r>
      <w:r>
        <w:rPr>
          <w:rFonts w:hint="eastAsia" w:ascii="宋体" w:hAnsi="宋体" w:eastAsia="宋体"/>
        </w:rPr>
        <w:t>采购方</w:t>
      </w:r>
      <w:r>
        <w:rPr>
          <w:rFonts w:ascii="宋体" w:hAnsi="宋体" w:eastAsia="宋体"/>
        </w:rPr>
        <w:t>确认后10个工作日完成施工图设计</w:t>
      </w:r>
      <w:r>
        <w:rPr>
          <w:rFonts w:hint="eastAsia" w:ascii="宋体" w:hAnsi="宋体" w:eastAsia="宋体"/>
        </w:rPr>
        <w:t>。</w:t>
      </w:r>
    </w:p>
    <w:p>
      <w:pPr>
        <w:spacing w:line="420" w:lineRule="exact"/>
        <w:ind w:firstLine="420" w:firstLineChars="200"/>
        <w:rPr>
          <w:rFonts w:ascii="宋体" w:hAnsi="宋体"/>
        </w:rPr>
      </w:pPr>
    </w:p>
    <w:p>
      <w:pPr>
        <w:adjustRightInd w:val="0"/>
        <w:snapToGrid w:val="0"/>
        <w:spacing w:line="360" w:lineRule="auto"/>
        <w:ind w:firstLine="426" w:firstLineChars="202"/>
        <w:rPr>
          <w:rStyle w:val="48"/>
          <w:rFonts w:ascii="Times New Roman" w:hAnsi="Times New Roman"/>
        </w:rPr>
      </w:pPr>
      <w:r>
        <w:rPr>
          <w:rFonts w:ascii="Times New Roman" w:hAnsi="Times New Roman" w:eastAsia="宋体" w:cs="Times New Roman"/>
          <w:b/>
          <w:szCs w:val="21"/>
        </w:rPr>
        <w:t>（</w:t>
      </w:r>
      <w:r>
        <w:rPr>
          <w:rFonts w:hint="eastAsia" w:ascii="Times New Roman" w:hAnsi="Times New Roman" w:eastAsia="宋体" w:cs="Times New Roman"/>
          <w:b/>
          <w:szCs w:val="21"/>
        </w:rPr>
        <w:t>二</w:t>
      </w:r>
      <w:r>
        <w:rPr>
          <w:rFonts w:ascii="Times New Roman" w:hAnsi="Times New Roman" w:eastAsia="宋体" w:cs="Times New Roman"/>
          <w:b/>
          <w:szCs w:val="21"/>
        </w:rPr>
        <w:t>）付款方式</w:t>
      </w:r>
    </w:p>
    <w:p>
      <w:pPr>
        <w:spacing w:line="420" w:lineRule="exact"/>
        <w:ind w:firstLine="420" w:firstLineChars="200"/>
        <w:rPr>
          <w:rFonts w:ascii="宋体" w:hAnsi="宋体" w:eastAsia="宋体"/>
        </w:rPr>
      </w:pPr>
      <w:r>
        <w:rPr>
          <w:rFonts w:ascii="宋体" w:hAnsi="宋体" w:eastAsia="宋体"/>
        </w:rPr>
        <w:t>1</w:t>
      </w:r>
      <w:r>
        <w:rPr>
          <w:rFonts w:hint="eastAsia" w:ascii="宋体" w:hAnsi="宋体" w:eastAsia="宋体"/>
        </w:rPr>
        <w:t>.</w:t>
      </w:r>
      <w:r>
        <w:rPr>
          <w:rFonts w:ascii="宋体" w:hAnsi="宋体" w:eastAsia="宋体"/>
        </w:rPr>
        <w:t>投标设计费：本项目批复概算的建安工程费</w:t>
      </w:r>
      <w:r>
        <w:rPr>
          <w:rFonts w:hint="eastAsia" w:ascii="宋体" w:hAnsi="宋体" w:eastAsia="宋体"/>
        </w:rPr>
        <w:t>暂</w:t>
      </w:r>
      <w:r>
        <w:rPr>
          <w:rFonts w:ascii="宋体" w:hAnsi="宋体" w:eastAsia="宋体"/>
        </w:rPr>
        <w:t>为</w:t>
      </w:r>
      <w:r>
        <w:rPr>
          <w:rFonts w:hint="eastAsia" w:ascii="宋体" w:hAnsi="宋体" w:eastAsia="宋体"/>
        </w:rPr>
        <w:t>678.6</w:t>
      </w:r>
      <w:r>
        <w:rPr>
          <w:rFonts w:ascii="宋体" w:hAnsi="宋体" w:eastAsia="宋体"/>
        </w:rPr>
        <w:t>万元, 投标费率上限：</w:t>
      </w:r>
      <w:r>
        <w:rPr>
          <w:rFonts w:hint="eastAsia" w:ascii="宋体" w:hAnsi="宋体" w:eastAsia="宋体"/>
        </w:rPr>
        <w:t>6</w:t>
      </w:r>
      <w:r>
        <w:rPr>
          <w:rFonts w:ascii="宋体" w:hAnsi="宋体" w:eastAsia="宋体"/>
        </w:rPr>
        <w:t>%，投标单位按收费标准报价</w:t>
      </w:r>
      <w:r>
        <w:rPr>
          <w:rFonts w:hint="eastAsia" w:ascii="宋体" w:hAnsi="宋体" w:eastAsia="宋体"/>
        </w:rPr>
        <w:t>。</w:t>
      </w:r>
    </w:p>
    <w:p>
      <w:pPr>
        <w:spacing w:line="420" w:lineRule="exact"/>
        <w:ind w:firstLine="420" w:firstLineChars="200"/>
        <w:rPr>
          <w:rFonts w:ascii="宋体" w:hAnsi="宋体" w:eastAsia="宋体"/>
        </w:rPr>
      </w:pPr>
      <w:r>
        <w:rPr>
          <w:rFonts w:ascii="宋体" w:hAnsi="宋体"/>
          <w:color w:val="FF0000"/>
        </w:rPr>
        <w:t>本项目以投标费率（设计服务取费费率）代替报价作为评审依据。</w:t>
      </w:r>
      <w:r>
        <w:rPr>
          <w:rFonts w:hint="eastAsia" w:ascii="宋体" w:hAnsi="宋体" w:eastAsia="宋体"/>
          <w:color w:val="FF0000"/>
        </w:rPr>
        <w:t>本项目</w:t>
      </w:r>
      <w:r>
        <w:rPr>
          <w:rFonts w:ascii="宋体" w:hAnsi="宋体" w:eastAsia="宋体"/>
          <w:color w:val="FF0000"/>
        </w:rPr>
        <w:t>最高支付上限</w:t>
      </w:r>
      <w:r>
        <w:rPr>
          <w:rFonts w:hint="eastAsia" w:ascii="宋体" w:hAnsi="宋体" w:eastAsia="宋体"/>
          <w:color w:val="FF0000"/>
        </w:rPr>
        <w:t>不超过</w:t>
      </w:r>
      <w:r>
        <w:rPr>
          <w:rFonts w:hint="eastAsia" w:ascii="宋体" w:hAnsi="宋体" w:eastAsia="宋体" w:cs="Times New Roman"/>
          <w:color w:val="FF0000"/>
          <w:szCs w:val="24"/>
        </w:rPr>
        <w:t>407,160.00元人民币。</w:t>
      </w:r>
    </w:p>
    <w:p>
      <w:pPr>
        <w:numPr>
          <w:ilvl w:val="255"/>
          <w:numId w:val="0"/>
        </w:numPr>
        <w:ind w:firstLine="42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设计服务费按照如下方法计取：设计费=以批复概算的建安工程费用为取费基数×投标费率。</w:t>
      </w:r>
    </w:p>
    <w:p>
      <w:pPr>
        <w:numPr>
          <w:ilvl w:val="255"/>
          <w:numId w:val="0"/>
        </w:numPr>
        <w:ind w:firstLine="420"/>
        <w:rPr>
          <w:rFonts w:ascii="宋体" w:hAnsi="宋体"/>
        </w:rPr>
      </w:pPr>
      <w:r>
        <w:rPr>
          <w:rFonts w:ascii="宋体" w:hAnsi="宋体" w:eastAsia="宋体" w:cs="Times New Roman"/>
          <w:szCs w:val="21"/>
        </w:rPr>
        <w:t>取费基数：</w:t>
      </w:r>
      <w:r>
        <w:rPr>
          <w:rFonts w:ascii="宋体" w:hAnsi="宋体" w:eastAsia="宋体" w:cs="Times New Roman"/>
          <w:color w:val="FF0000"/>
          <w:szCs w:val="21"/>
        </w:rPr>
        <w:t>暂以批复概算的建安工程费用作为取费基数签订合同，</w:t>
      </w:r>
      <w:r>
        <w:rPr>
          <w:rFonts w:hint="eastAsia" w:ascii="宋体" w:hAnsi="宋体" w:eastAsia="宋体" w:cs="Times New Roman"/>
          <w:color w:val="FF0000"/>
          <w:szCs w:val="21"/>
        </w:rPr>
        <w:t>付款</w:t>
      </w:r>
      <w:r>
        <w:rPr>
          <w:rFonts w:ascii="宋体" w:hAnsi="宋体" w:eastAsia="宋体" w:cs="Times New Roman"/>
          <w:color w:val="FF0000"/>
          <w:szCs w:val="21"/>
        </w:rPr>
        <w:t>以</w:t>
      </w:r>
      <w:r>
        <w:rPr>
          <w:rFonts w:hint="eastAsia" w:ascii="宋体" w:hAnsi="宋体" w:eastAsia="宋体" w:cs="Times New Roman"/>
          <w:color w:val="FF0000"/>
          <w:szCs w:val="21"/>
        </w:rPr>
        <w:t>最终批复概算的</w:t>
      </w:r>
      <w:r>
        <w:rPr>
          <w:rFonts w:ascii="宋体" w:hAnsi="宋体" w:eastAsia="宋体" w:cs="Times New Roman"/>
          <w:color w:val="FF0000"/>
          <w:szCs w:val="21"/>
        </w:rPr>
        <w:t>建安工程</w:t>
      </w:r>
      <w:r>
        <w:rPr>
          <w:rFonts w:hint="eastAsia" w:ascii="宋体" w:hAnsi="宋体" w:eastAsia="宋体" w:cs="Times New Roman"/>
          <w:color w:val="FF0000"/>
          <w:szCs w:val="21"/>
        </w:rPr>
        <w:t>费用作</w:t>
      </w:r>
      <w:r>
        <w:rPr>
          <w:rFonts w:ascii="宋体" w:hAnsi="宋体" w:eastAsia="宋体" w:cs="Times New Roman"/>
          <w:color w:val="FF0000"/>
          <w:szCs w:val="21"/>
        </w:rPr>
        <w:t>为取费基数。</w:t>
      </w:r>
    </w:p>
    <w:p>
      <w:pPr>
        <w:adjustRightInd w:val="0"/>
        <w:snapToGrid w:val="0"/>
        <w:spacing w:line="360" w:lineRule="auto"/>
        <w:ind w:firstLine="420" w:firstLineChars="200"/>
        <w:rPr>
          <w:rStyle w:val="48"/>
          <w:rFonts w:ascii="Times New Roman" w:hAnsi="Times New Roman"/>
        </w:rPr>
      </w:pPr>
      <w:r>
        <w:rPr>
          <w:rFonts w:ascii="宋体" w:hAnsi="宋体" w:eastAsia="宋体" w:cs="Times New Roman"/>
          <w:szCs w:val="21"/>
        </w:rPr>
        <w:t>3</w:t>
      </w:r>
      <w:r>
        <w:rPr>
          <w:rFonts w:hint="eastAsia" w:ascii="宋体" w:hAnsi="宋体" w:eastAsia="宋体" w:cs="Times New Roman"/>
          <w:szCs w:val="21"/>
        </w:rPr>
        <w:t>.</w:t>
      </w:r>
      <w:r>
        <w:rPr>
          <w:rFonts w:ascii="宋体" w:hAnsi="宋体" w:eastAsia="宋体" w:cs="Times New Roman"/>
          <w:szCs w:val="21"/>
        </w:rPr>
        <w:t>支付：</w:t>
      </w:r>
    </w:p>
    <w:p>
      <w:pPr>
        <w:adjustRightInd w:val="0"/>
        <w:snapToGrid w:val="0"/>
        <w:spacing w:line="360" w:lineRule="auto"/>
        <w:ind w:firstLine="420" w:firstLineChars="200"/>
        <w:rPr>
          <w:rStyle w:val="48"/>
          <w:rFonts w:ascii="Times New Roman" w:hAnsi="Times New Roman"/>
        </w:rPr>
      </w:pPr>
      <w:r>
        <w:rPr>
          <w:rStyle w:val="48"/>
          <w:rFonts w:hint="eastAsia" w:ascii="Times New Roman" w:hAnsi="Times New Roman" w:eastAsia="宋体" w:cs="Times New Roman"/>
          <w:kern w:val="0"/>
        </w:rPr>
        <w:t>本设计项目施工图完成后，中标人出具相应金额发票，整理相关付款资料并提交给采购方，经校内审批后支付合同总价的50%；</w:t>
      </w:r>
    </w:p>
    <w:p>
      <w:pPr>
        <w:adjustRightInd w:val="0"/>
        <w:snapToGrid w:val="0"/>
        <w:spacing w:line="360" w:lineRule="auto"/>
        <w:ind w:firstLine="420" w:firstLineChars="200"/>
        <w:rPr>
          <w:rStyle w:val="48"/>
          <w:rFonts w:ascii="Times New Roman" w:hAnsi="Times New Roman"/>
        </w:rPr>
      </w:pPr>
      <w:r>
        <w:rPr>
          <w:rStyle w:val="48"/>
          <w:rFonts w:hint="eastAsia" w:ascii="Times New Roman" w:hAnsi="Times New Roman" w:eastAsia="宋体" w:cs="Times New Roman"/>
          <w:kern w:val="0"/>
        </w:rPr>
        <w:t>本项目竣工验收后，配合施工单位提交结算资料，待第三方结算公司出具结算报告后，中标人出具相应金额发票，整理相关付款资料并提交给采购方，经校内审批后支付合同总价的30%；</w:t>
      </w:r>
    </w:p>
    <w:p>
      <w:pPr>
        <w:adjustRightInd w:val="0"/>
        <w:snapToGrid w:val="0"/>
        <w:spacing w:line="360" w:lineRule="auto"/>
        <w:ind w:firstLine="420" w:firstLineChars="200"/>
        <w:rPr>
          <w:rStyle w:val="48"/>
          <w:rFonts w:ascii="Times New Roman" w:hAnsi="Times New Roman"/>
        </w:rPr>
      </w:pPr>
      <w:r>
        <w:rPr>
          <w:rStyle w:val="48"/>
          <w:rFonts w:hint="eastAsia" w:ascii="Times New Roman" w:hAnsi="Times New Roman" w:eastAsia="宋体" w:cs="Times New Roman"/>
          <w:kern w:val="0"/>
        </w:rPr>
        <w:t>本项目审计完成后，中标人出具相应金额发票，整理相关付款资料并提交给采购方，经校内审批后支付</w:t>
      </w:r>
      <w:r>
        <w:rPr>
          <w:rFonts w:hint="eastAsia" w:ascii="宋体" w:hAnsi="宋体" w:eastAsia="宋体" w:cs="Times New Roman"/>
          <w:szCs w:val="21"/>
        </w:rPr>
        <w:t>剩余尾款</w:t>
      </w:r>
      <w:r>
        <w:rPr>
          <w:rStyle w:val="48"/>
          <w:rFonts w:hint="eastAsia" w:ascii="Times New Roman" w:hAnsi="Times New Roman" w:eastAsia="宋体" w:cs="Times New Roman"/>
          <w:kern w:val="0"/>
        </w:rPr>
        <w:t>。</w:t>
      </w:r>
    </w:p>
    <w:p>
      <w:pPr>
        <w:adjustRightInd w:val="0"/>
        <w:snapToGrid w:val="0"/>
        <w:spacing w:line="360" w:lineRule="auto"/>
        <w:ind w:firstLine="420" w:firstLineChars="200"/>
        <w:rPr>
          <w:rStyle w:val="48"/>
          <w:rFonts w:ascii="Times New Roman" w:hAnsi="Times New Roman"/>
        </w:rPr>
      </w:pPr>
    </w:p>
    <w:p>
      <w:pPr>
        <w:adjustRightInd w:val="0"/>
        <w:snapToGrid w:val="0"/>
        <w:spacing w:line="360" w:lineRule="auto"/>
        <w:ind w:firstLine="426" w:firstLineChars="202"/>
        <w:rPr>
          <w:rFonts w:ascii="Times New Roman" w:hAnsi="Times New Roman"/>
          <w:b/>
        </w:rPr>
      </w:pPr>
      <w:r>
        <w:rPr>
          <w:rFonts w:ascii="Times New Roman" w:hAnsi="Times New Roman" w:eastAsia="宋体" w:cs="Times New Roman"/>
          <w:b/>
          <w:szCs w:val="21"/>
        </w:rPr>
        <w:t>（</w:t>
      </w:r>
      <w:r>
        <w:rPr>
          <w:rFonts w:hint="eastAsia" w:ascii="Times New Roman" w:hAnsi="Times New Roman" w:eastAsia="宋体" w:cs="Times New Roman"/>
          <w:b/>
          <w:szCs w:val="21"/>
        </w:rPr>
        <w:t>三</w:t>
      </w:r>
      <w:r>
        <w:rPr>
          <w:rFonts w:ascii="Times New Roman" w:hAnsi="Times New Roman" w:eastAsia="宋体" w:cs="Times New Roman"/>
          <w:b/>
          <w:szCs w:val="21"/>
        </w:rPr>
        <w:t>）投标报价</w:t>
      </w:r>
    </w:p>
    <w:p>
      <w:pPr>
        <w:adjustRightInd w:val="0"/>
        <w:snapToGrid w:val="0"/>
        <w:spacing w:line="360" w:lineRule="auto"/>
        <w:ind w:firstLine="392" w:firstLineChars="187"/>
        <w:rPr>
          <w:rFonts w:ascii="Times New Roman" w:hAnsi="Times New Roman"/>
        </w:rPr>
      </w:pPr>
      <w:r>
        <w:rPr>
          <w:rFonts w:ascii="Times New Roman" w:hAnsi="Times New Roman" w:eastAsia="宋体" w:cs="Times New Roman"/>
          <w:szCs w:val="21"/>
        </w:rPr>
        <w:t>1、本项目服务费采用包干制，应包括服务成本、法定税费和企业的利润。由企业根据招标文件所提供的资料自行测算投标报价；</w:t>
      </w:r>
    </w:p>
    <w:p>
      <w:pPr>
        <w:adjustRightInd w:val="0"/>
        <w:snapToGrid w:val="0"/>
        <w:spacing w:line="360" w:lineRule="auto"/>
        <w:ind w:firstLine="392" w:firstLineChars="187"/>
        <w:rPr>
          <w:rFonts w:ascii="Times New Roman" w:hAnsi="Times New Roman"/>
        </w:rPr>
      </w:pPr>
      <w:r>
        <w:rPr>
          <w:rFonts w:ascii="Times New Roman" w:hAnsi="Times New Roman" w:eastAsia="宋体" w:cs="Times New Roman"/>
          <w:szCs w:val="21"/>
        </w:rPr>
        <w:t>2、投标人的投标报价，应是本项目招标范围和招标文件及合同条款上所列的各项内容中所述的全部，不得以任何理由予以重复，并以投标人在中提出的综合单价或总价为依据；</w:t>
      </w:r>
    </w:p>
    <w:p>
      <w:pPr>
        <w:adjustRightInd w:val="0"/>
        <w:snapToGrid w:val="0"/>
        <w:spacing w:line="360" w:lineRule="auto"/>
        <w:ind w:firstLine="392" w:firstLineChars="187"/>
        <w:rPr>
          <w:rFonts w:ascii="Times New Roman" w:hAnsi="Times New Roman"/>
        </w:rPr>
      </w:pPr>
      <w:r>
        <w:rPr>
          <w:rFonts w:ascii="Times New Roman" w:hAnsi="Times New Roman" w:eastAsia="宋体" w:cs="Times New Roman"/>
          <w:szCs w:val="21"/>
        </w:rPr>
        <w:t>3、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pPr>
        <w:adjustRightInd w:val="0"/>
        <w:snapToGrid w:val="0"/>
        <w:spacing w:line="360" w:lineRule="auto"/>
        <w:ind w:firstLine="392" w:firstLineChars="187"/>
        <w:rPr>
          <w:rFonts w:ascii="Times New Roman" w:hAnsi="Times New Roman"/>
        </w:rPr>
      </w:pPr>
      <w:r>
        <w:rPr>
          <w:rFonts w:ascii="Times New Roman" w:hAnsi="Times New Roman" w:eastAsia="宋体" w:cs="Times New Roman"/>
          <w:szCs w:val="21"/>
        </w:rPr>
        <w:t>4、投标人不得期望通过索赔等方式获取补偿，否则，除可能遭到拒绝外，还可能将被作为不良行为记录在案，并可能影响其以后参加政府采购的项目投标。各投标人在投标报价时，应充分考虑投标报价的风险。</w:t>
      </w:r>
    </w:p>
    <w:p>
      <w:pPr>
        <w:adjustRightInd w:val="0"/>
        <w:snapToGrid w:val="0"/>
        <w:spacing w:line="360" w:lineRule="auto"/>
        <w:ind w:firstLine="392" w:firstLineChars="187"/>
        <w:rPr>
          <w:rFonts w:ascii="Times New Roman" w:hAnsi="Times New Roman"/>
        </w:rPr>
      </w:pPr>
    </w:p>
    <w:p>
      <w:pPr>
        <w:adjustRightInd w:val="0"/>
        <w:snapToGrid w:val="0"/>
        <w:spacing w:line="360" w:lineRule="auto"/>
        <w:ind w:firstLine="426" w:firstLineChars="202"/>
        <w:rPr>
          <w:rFonts w:ascii="Times New Roman" w:hAnsi="Times New Roman"/>
          <w:b/>
        </w:rPr>
      </w:pPr>
      <w:r>
        <w:rPr>
          <w:rFonts w:ascii="Times New Roman" w:hAnsi="Times New Roman" w:eastAsia="宋体" w:cs="Times New Roman"/>
          <w:b/>
          <w:szCs w:val="21"/>
        </w:rPr>
        <w:t>（</w:t>
      </w:r>
      <w:r>
        <w:rPr>
          <w:rFonts w:hint="eastAsia" w:ascii="Times New Roman" w:hAnsi="Times New Roman" w:eastAsia="宋体" w:cs="Times New Roman"/>
          <w:b/>
          <w:szCs w:val="21"/>
        </w:rPr>
        <w:t>四</w:t>
      </w:r>
      <w:r>
        <w:rPr>
          <w:rFonts w:ascii="Times New Roman" w:hAnsi="Times New Roman" w:eastAsia="宋体" w:cs="Times New Roman"/>
          <w:b/>
          <w:szCs w:val="21"/>
        </w:rPr>
        <w:t>）解除合同事由</w:t>
      </w:r>
    </w:p>
    <w:p>
      <w:pPr>
        <w:adjustRightInd w:val="0"/>
        <w:snapToGrid w:val="0"/>
        <w:spacing w:line="360" w:lineRule="auto"/>
        <w:ind w:firstLine="420" w:firstLineChars="200"/>
        <w:jc w:val="left"/>
        <w:rPr>
          <w:rFonts w:ascii="Times New Roman" w:hAnsi="Times New Roman"/>
          <w:szCs w:val="24"/>
        </w:rPr>
      </w:pPr>
      <w:r>
        <w:rPr>
          <w:rFonts w:ascii="Times New Roman" w:hAnsi="Times New Roman" w:eastAsia="宋体" w:cs="Times New Roman"/>
          <w:szCs w:val="24"/>
        </w:rPr>
        <w:t>中标人有下述情况之一的，采购单位有权解除合同：</w:t>
      </w:r>
    </w:p>
    <w:p>
      <w:pPr>
        <w:widowControl/>
        <w:numPr>
          <w:ilvl w:val="0"/>
          <w:numId w:val="12"/>
        </w:numPr>
        <w:adjustRightInd w:val="0"/>
        <w:snapToGrid w:val="0"/>
        <w:spacing w:line="360" w:lineRule="auto"/>
        <w:ind w:left="420" w:firstLine="420" w:firstLineChars="200"/>
        <w:rPr>
          <w:rFonts w:ascii="Times New Roman" w:hAnsi="Times New Roman"/>
          <w:szCs w:val="24"/>
        </w:rPr>
      </w:pPr>
      <w:r>
        <w:rPr>
          <w:rFonts w:ascii="Times New Roman" w:hAnsi="Times New Roman" w:eastAsia="宋体" w:cs="Times New Roman"/>
          <w:szCs w:val="24"/>
        </w:rPr>
        <w:t>合同期内未经采购人书面同意，中标人擅自减少投标文件中承诺投入的人员的；</w:t>
      </w:r>
    </w:p>
    <w:p>
      <w:pPr>
        <w:widowControl/>
        <w:numPr>
          <w:ilvl w:val="0"/>
          <w:numId w:val="12"/>
        </w:numPr>
        <w:adjustRightInd w:val="0"/>
        <w:snapToGrid w:val="0"/>
        <w:spacing w:line="360" w:lineRule="auto"/>
        <w:ind w:left="420" w:firstLine="420" w:firstLineChars="200"/>
        <w:rPr>
          <w:rFonts w:ascii="Times New Roman" w:hAnsi="Times New Roman"/>
          <w:szCs w:val="24"/>
        </w:rPr>
      </w:pPr>
      <w:r>
        <w:rPr>
          <w:rFonts w:ascii="Times New Roman" w:hAnsi="Times New Roman" w:eastAsia="宋体" w:cs="Times New Roman"/>
          <w:szCs w:val="24"/>
        </w:rPr>
        <w:t>一年内受到两次责令限期整改的；</w:t>
      </w:r>
    </w:p>
    <w:p>
      <w:pPr>
        <w:widowControl/>
        <w:numPr>
          <w:ilvl w:val="0"/>
          <w:numId w:val="12"/>
        </w:numPr>
        <w:adjustRightInd w:val="0"/>
        <w:snapToGrid w:val="0"/>
        <w:spacing w:line="360" w:lineRule="auto"/>
        <w:ind w:left="420" w:firstLine="420" w:firstLineChars="200"/>
        <w:rPr>
          <w:rFonts w:ascii="Times New Roman" w:hAnsi="Times New Roman"/>
          <w:szCs w:val="24"/>
        </w:rPr>
      </w:pPr>
      <w:r>
        <w:rPr>
          <w:rFonts w:ascii="Times New Roman" w:hAnsi="Times New Roman" w:eastAsia="宋体" w:cs="Times New Roman"/>
          <w:szCs w:val="24"/>
        </w:rPr>
        <w:t>因中标人的原因，发生重大或以上质量事故或社会公共事件，造成严重社会影响的；</w:t>
      </w:r>
    </w:p>
    <w:p>
      <w:pPr>
        <w:widowControl/>
        <w:numPr>
          <w:ilvl w:val="0"/>
          <w:numId w:val="12"/>
        </w:numPr>
        <w:adjustRightInd w:val="0"/>
        <w:snapToGrid w:val="0"/>
        <w:spacing w:line="360" w:lineRule="auto"/>
        <w:ind w:left="420" w:firstLine="420" w:firstLineChars="200"/>
        <w:rPr>
          <w:rFonts w:ascii="宋体" w:hAnsi="宋体"/>
        </w:rPr>
      </w:pPr>
      <w:r>
        <w:rPr>
          <w:rFonts w:ascii="Times New Roman" w:hAnsi="Times New Roman" w:eastAsia="宋体" w:cs="Times New Roman"/>
          <w:szCs w:val="24"/>
        </w:rPr>
        <w:t>由于中标人的主要责任，被媒体曝光造成严重不良社会影响，经查证属实的；</w:t>
      </w:r>
    </w:p>
    <w:p>
      <w:pPr>
        <w:widowControl/>
        <w:numPr>
          <w:ilvl w:val="0"/>
          <w:numId w:val="12"/>
        </w:numPr>
        <w:adjustRightInd w:val="0"/>
        <w:snapToGrid w:val="0"/>
        <w:spacing w:line="360" w:lineRule="auto"/>
        <w:ind w:left="420" w:firstLine="420" w:firstLineChars="200"/>
        <w:rPr>
          <w:rFonts w:ascii="宋体" w:hAnsi="宋体"/>
        </w:rPr>
      </w:pPr>
      <w:r>
        <w:rPr>
          <w:rFonts w:ascii="Times New Roman" w:hAnsi="Times New Roman" w:eastAsia="宋体" w:cs="Times New Roman"/>
          <w:szCs w:val="24"/>
        </w:rPr>
        <w:t>法律法规或采购文件规定的其他解除合同的情形。</w:t>
      </w:r>
    </w:p>
    <w:p>
      <w:pPr>
        <w:pStyle w:val="214"/>
        <w:keepNext/>
        <w:keepLines/>
        <w:adjustRightInd w:val="0"/>
        <w:snapToGrid w:val="0"/>
        <w:spacing w:line="360" w:lineRule="auto"/>
        <w:ind w:left="420" w:firstLine="2530" w:firstLineChars="900"/>
        <w:textAlignment w:val="baseline"/>
        <w:outlineLvl w:val="1"/>
        <w:rPr>
          <w:rFonts w:ascii="Times New Roman" w:hAnsi="Times New Roman" w:eastAsia="宋体" w:cs="Times New Roman"/>
          <w:b/>
          <w:bCs/>
          <w:kern w:val="0"/>
          <w:sz w:val="28"/>
          <w:szCs w:val="28"/>
        </w:rPr>
      </w:pPr>
    </w:p>
    <w:p>
      <w:pPr>
        <w:pStyle w:val="214"/>
        <w:keepNext/>
        <w:keepLines/>
        <w:adjustRightInd w:val="0"/>
        <w:snapToGrid w:val="0"/>
        <w:spacing w:line="360" w:lineRule="auto"/>
        <w:ind w:left="420" w:firstLine="2530" w:firstLineChars="900"/>
        <w:textAlignment w:val="baseline"/>
        <w:outlineLvl w:val="1"/>
        <w:rPr>
          <w:rFonts w:ascii="Times New Roman" w:hAnsi="Times New Roman"/>
          <w:b/>
          <w:bCs/>
          <w:sz w:val="28"/>
          <w:szCs w:val="28"/>
        </w:rPr>
      </w:pPr>
      <w:r>
        <w:rPr>
          <w:rFonts w:ascii="Times New Roman" w:hAnsi="Times New Roman" w:eastAsia="宋体" w:cs="Times New Roman"/>
          <w:b/>
          <w:bCs/>
          <w:kern w:val="0"/>
          <w:sz w:val="28"/>
          <w:szCs w:val="28"/>
        </w:rPr>
        <w:t>五、注意事项</w:t>
      </w:r>
    </w:p>
    <w:p>
      <w:pPr>
        <w:pStyle w:val="214"/>
        <w:adjustRightInd w:val="0"/>
        <w:snapToGrid w:val="0"/>
        <w:ind w:left="420" w:firstLine="0" w:firstLineChars="0"/>
        <w:rPr>
          <w:rFonts w:ascii="Times New Roman" w:hAnsi="Times New Roman"/>
        </w:rPr>
      </w:pPr>
      <w:r>
        <w:rPr>
          <w:rFonts w:ascii="Times New Roman" w:hAnsi="Times New Roman" w:eastAsia="宋体" w:cs="Times New Roman"/>
          <w:szCs w:val="21"/>
        </w:rPr>
        <w:t>1、中标人不得将项目非法分包或转包给任何单位和个人。否则，采购单位有权即刻终止合同，并要求中标人赔偿相应损失。</w:t>
      </w:r>
    </w:p>
    <w:p>
      <w:pPr>
        <w:pStyle w:val="214"/>
        <w:adjustRightInd w:val="0"/>
        <w:snapToGrid w:val="0"/>
        <w:ind w:left="420" w:firstLine="0" w:firstLineChars="0"/>
        <w:rPr>
          <w:rFonts w:ascii="Times New Roman" w:hAnsi="Times New Roman"/>
        </w:rPr>
      </w:pPr>
      <w:r>
        <w:rPr>
          <w:rFonts w:ascii="Times New Roman" w:hAnsi="Times New Roman" w:eastAsia="宋体" w:cs="Times New Roman"/>
          <w:szCs w:val="21"/>
        </w:rPr>
        <w:t>2、投标人若认为招标文件的技术要求或其他要求有倾向性或不公正性，可在招标答疑阶段提出，以维护招标行为的公平、公正。</w:t>
      </w:r>
    </w:p>
    <w:p>
      <w:pPr>
        <w:pStyle w:val="214"/>
        <w:ind w:left="420" w:firstLine="0" w:firstLineChars="0"/>
        <w:rPr>
          <w:rFonts w:ascii="Times New Roman" w:hAnsi="Times New Roman" w:eastAsia="宋体" w:cs="Times New Roman"/>
          <w:szCs w:val="21"/>
        </w:rPr>
      </w:pPr>
      <w:r>
        <w:rPr>
          <w:rFonts w:ascii="Times New Roman" w:hAnsi="Times New Roman" w:eastAsia="宋体" w:cs="Times New Roman"/>
          <w:szCs w:val="21"/>
        </w:rPr>
        <w:t>3、投标人使用的标准必须是国际公认或国家、或地方政府颁布的同等或更高的标准，如投标人使用的标准低于上述标准,评标委员会将有权不予接受，投标人必须列表将明显的差异详细说明。</w:t>
      </w:r>
    </w:p>
    <w:p>
      <w:pPr>
        <w:pStyle w:val="214"/>
        <w:ind w:left="420" w:firstLine="0" w:firstLineChars="0"/>
        <w:rPr>
          <w:rFonts w:ascii="Times New Roman" w:hAnsi="Times New Roman" w:eastAsia="宋体" w:cs="Times New Roman"/>
          <w:szCs w:val="21"/>
        </w:rPr>
      </w:pPr>
    </w:p>
    <w:p>
      <w:pPr>
        <w:pStyle w:val="214"/>
        <w:ind w:left="420" w:firstLine="0" w:firstLineChars="0"/>
        <w:rPr>
          <w:rFonts w:ascii="宋体" w:hAnsi="Times New Roman"/>
        </w:rPr>
      </w:pPr>
    </w:p>
    <w:p>
      <w:pPr>
        <w:pStyle w:val="214"/>
        <w:ind w:left="420" w:firstLine="0" w:firstLineChars="0"/>
        <w:rPr>
          <w:rFonts w:ascii="宋体" w:hAnsi="Times New Roman"/>
        </w:rPr>
      </w:pPr>
    </w:p>
    <w:p>
      <w:pPr>
        <w:pStyle w:val="214"/>
        <w:ind w:left="420" w:firstLine="0" w:firstLineChars="0"/>
        <w:rPr>
          <w:rFonts w:ascii="宋体" w:hAnsi="Times New Roman"/>
        </w:rPr>
      </w:pPr>
    </w:p>
    <w:p>
      <w:pPr>
        <w:pStyle w:val="214"/>
        <w:ind w:left="420" w:firstLine="0" w:firstLineChars="0"/>
        <w:rPr>
          <w:rFonts w:ascii="宋体" w:hAnsi="Times New Roman"/>
        </w:rPr>
      </w:pPr>
    </w:p>
    <w:p>
      <w:pPr>
        <w:pStyle w:val="214"/>
        <w:ind w:left="420" w:firstLine="0" w:firstLineChars="0"/>
        <w:rPr>
          <w:rFonts w:ascii="宋体" w:hAnsi="Times New Roman"/>
        </w:rPr>
      </w:pPr>
    </w:p>
    <w:p>
      <w:pPr>
        <w:pStyle w:val="214"/>
        <w:ind w:left="420" w:firstLine="0" w:firstLineChars="0"/>
        <w:rPr>
          <w:rFonts w:ascii="宋体" w:hAnsi="Times New Roman"/>
        </w:rPr>
      </w:pPr>
    </w:p>
    <w:p>
      <w:pPr>
        <w:widowControl/>
        <w:spacing w:before="100" w:beforeAutospacing="1" w:after="100" w:afterAutospacing="1" w:line="560" w:lineRule="atLeast"/>
        <w:ind w:firstLine="480"/>
        <w:jc w:val="center"/>
        <w:rPr>
          <w:rFonts w:ascii="Times New Roman" w:hAnsi="Times New Roman" w:eastAsia="宋体" w:cs="Times New Roman"/>
          <w:b/>
          <w:sz w:val="24"/>
          <w:szCs w:val="24"/>
        </w:rPr>
      </w:pPr>
      <w:bookmarkStart w:id="26" w:name="_GoBack"/>
      <w:bookmarkEnd w:id="26"/>
      <w:r>
        <w:rPr>
          <w:rFonts w:hint="eastAsia" w:ascii="宋体" w:hAnsi="宋体" w:eastAsia="宋体" w:cs="Times New Roman"/>
          <w:b/>
          <w:bCs/>
          <w:sz w:val="24"/>
          <w:szCs w:val="20"/>
        </w:rPr>
        <w:t>第三章</w:t>
      </w:r>
      <w:r>
        <w:rPr>
          <w:rFonts w:ascii="宋体" w:hAnsi="宋体" w:eastAsia="宋体" w:cs="Times New Roman"/>
          <w:b/>
          <w:bCs/>
          <w:sz w:val="24"/>
          <w:szCs w:val="20"/>
        </w:rPr>
        <w:t xml:space="preserve"> </w:t>
      </w:r>
      <w:r>
        <w:rPr>
          <w:rFonts w:hint="eastAsia" w:ascii="宋体" w:hAnsi="宋体" w:eastAsia="宋体" w:cs="Times New Roman"/>
          <w:b/>
          <w:bCs/>
          <w:sz w:val="24"/>
          <w:szCs w:val="20"/>
        </w:rPr>
        <w:t xml:space="preserve"> 投标文件格式、附件</w:t>
      </w:r>
    </w:p>
    <w:p>
      <w:pPr>
        <w:rPr>
          <w:rFonts w:ascii="宋体" w:hAnsi="宋体" w:eastAsia="宋体" w:cs="Times New Roman"/>
          <w:sz w:val="24"/>
          <w:szCs w:val="24"/>
        </w:rPr>
      </w:pPr>
      <w:r>
        <w:rPr>
          <w:rFonts w:hint="eastAsia" w:ascii="宋体" w:hAnsi="宋体" w:eastAsia="宋体" w:cs="Times New Roman"/>
          <w:sz w:val="24"/>
          <w:szCs w:val="24"/>
        </w:rPr>
        <w:t>投标文件组成：</w:t>
      </w:r>
    </w:p>
    <w:p>
      <w:pPr>
        <w:ind w:firstLine="840" w:firstLineChars="400"/>
        <w:rPr>
          <w:rFonts w:ascii="宋体" w:hAnsi="宋体" w:eastAsia="宋体" w:cs="Times New Roman"/>
          <w:sz w:val="24"/>
          <w:szCs w:val="24"/>
        </w:rPr>
      </w:pPr>
      <w:r>
        <w:rPr>
          <w:rFonts w:hint="eastAsia" w:ascii="宋体" w:hAnsi="宋体" w:eastAsia="宋体" w:cs="Times New Roman"/>
          <w:szCs w:val="24"/>
        </w:rPr>
        <w:t>1、投标文件第一部分</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（1）投标函</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（2）承诺函</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（3）投标一览表</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（4）投标人情况介绍</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（5）投标人资格情况及通过相关认证情况</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（6）项投标人近期同类业绩</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（7）拟安排的项目负责人情况</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8</w:t>
      </w:r>
      <w:r>
        <w:rPr>
          <w:rFonts w:hint="eastAsia" w:ascii="宋体" w:hAnsi="宋体" w:eastAsia="宋体" w:cs="Times New Roman"/>
          <w:szCs w:val="21"/>
        </w:rPr>
        <w:t>）拟安排的项目团队成员（项目负责人除外）情况</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（9）环保执行情况</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（10）服务网点情况</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w:t>
      </w:r>
      <w:r>
        <w:rPr>
          <w:rFonts w:hint="eastAsia" w:ascii="宋体" w:hAnsi="宋体" w:eastAsia="宋体" w:cs="Times New Roman"/>
          <w:szCs w:val="21"/>
        </w:rPr>
        <w:t>1）其它招标文件要求的内容及投标人认为需要补充的内容（格式自定）</w:t>
      </w:r>
    </w:p>
    <w:p>
      <w:pPr>
        <w:ind w:firstLine="840" w:firstLineChars="400"/>
        <w:rPr>
          <w:rFonts w:ascii="宋体" w:hAnsi="宋体" w:eastAsia="宋体" w:cs="Times New Roman"/>
          <w:szCs w:val="21"/>
        </w:rPr>
      </w:pPr>
      <w:r>
        <w:rPr>
          <w:rFonts w:hint="eastAsia" w:ascii="宋体" w:hAnsi="宋体" w:eastAsia="宋体" w:cs="Times New Roman"/>
          <w:szCs w:val="21"/>
        </w:rPr>
        <w:t>2、投标文件第二</w:t>
      </w:r>
      <w:r>
        <w:rPr>
          <w:rFonts w:ascii="宋体" w:hAnsi="宋体" w:eastAsia="宋体" w:cs="Times New Roman"/>
          <w:szCs w:val="21"/>
        </w:rPr>
        <w:t>部分</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（1）法定代表人（负责人）授权委托书</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（2）实施方案</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（3）项目重点难点分析、应对措施及相关的合理化建议</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（4）质量（完成时间、安全、环保）保障措施及方案</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（5）项目完成（服务期满）后的服务承诺</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（6）违约承诺</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7）</w:t>
      </w:r>
      <w:r>
        <w:rPr>
          <w:rFonts w:hint="eastAsia" w:ascii="宋体" w:hAnsi="宋体" w:eastAsia="宋体" w:cs="Times New Roman"/>
          <w:szCs w:val="21"/>
        </w:rPr>
        <w:t>无违法违规行为承诺函</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8</w:t>
      </w:r>
      <w:r>
        <w:rPr>
          <w:rFonts w:hint="eastAsia" w:ascii="宋体" w:hAnsi="宋体" w:eastAsia="宋体" w:cs="Times New Roman"/>
          <w:szCs w:val="21"/>
        </w:rPr>
        <w:t>）其它招标文件要求的内容及投标人认为需要补充的内容（格式自定）</w:t>
      </w:r>
    </w:p>
    <w:p>
      <w:pPr>
        <w:ind w:left="718" w:leftChars="342" w:firstLine="1620" w:firstLineChars="675"/>
        <w:rPr>
          <w:rFonts w:ascii="Times New Roman" w:hAnsi="Times New Roman" w:eastAsia="宋体" w:cs="Times New Roman"/>
          <w:sz w:val="24"/>
          <w:szCs w:val="24"/>
        </w:rPr>
      </w:pPr>
    </w:p>
    <w:p>
      <w:pPr>
        <w:rPr>
          <w:rFonts w:ascii="仿宋_GB2312" w:hAnsi="Times New Roman" w:eastAsia="仿宋_GB2312" w:cs="Times New Roman"/>
          <w:sz w:val="24"/>
          <w:szCs w:val="24"/>
        </w:rPr>
      </w:pPr>
    </w:p>
    <w:p>
      <w:pPr>
        <w:rPr>
          <w:rFonts w:ascii="仿宋_GB2312" w:hAnsi="Times New Roman" w:eastAsia="仿宋_GB2312" w:cs="Times New Roman"/>
          <w:sz w:val="24"/>
          <w:szCs w:val="24"/>
        </w:rPr>
      </w:pPr>
    </w:p>
    <w:p>
      <w:pPr>
        <w:rPr>
          <w:rFonts w:ascii="仿宋_GB2312" w:hAnsi="Times New Roman" w:eastAsia="仿宋_GB2312" w:cs="Times New Roman"/>
          <w:b/>
          <w:sz w:val="30"/>
          <w:szCs w:val="30"/>
        </w:rPr>
      </w:pPr>
      <w:r>
        <w:rPr>
          <w:rFonts w:hint="eastAsia" w:ascii="仿宋_GB2312" w:hAnsi="Times New Roman" w:eastAsia="仿宋_GB2312" w:cs="Times New Roman"/>
          <w:b/>
          <w:sz w:val="30"/>
          <w:szCs w:val="30"/>
        </w:rPr>
        <w:t>投标文件第一部分：</w:t>
      </w:r>
    </w:p>
    <w:p>
      <w:pPr>
        <w:rPr>
          <w:rFonts w:ascii="Times New Roman" w:hAnsi="Times New Roman" w:eastAsia="宋体" w:cs="Times New Roman"/>
          <w:kern w:val="0"/>
          <w:szCs w:val="24"/>
        </w:rPr>
      </w:pPr>
    </w:p>
    <w:p>
      <w:pPr>
        <w:keepNext/>
        <w:keepLines/>
        <w:spacing w:before="260" w:after="260"/>
        <w:jc w:val="center"/>
        <w:outlineLvl w:val="2"/>
        <w:rPr>
          <w:rFonts w:ascii="黑体" w:hAnsi="宋体" w:eastAsia="黑体" w:cs="Times New Roman"/>
          <w:bCs/>
          <w:kern w:val="0"/>
          <w:sz w:val="24"/>
          <w:szCs w:val="32"/>
        </w:rPr>
      </w:pPr>
      <w:r>
        <w:rPr>
          <w:rFonts w:hint="eastAsia" w:ascii="黑体" w:hAnsi="宋体" w:eastAsia="黑体" w:cs="Times New Roman"/>
          <w:bCs/>
          <w:kern w:val="0"/>
          <w:sz w:val="24"/>
          <w:szCs w:val="32"/>
        </w:rPr>
        <w:t>一、投标函</w:t>
      </w:r>
    </w:p>
    <w:p>
      <w:pPr>
        <w:spacing w:line="360" w:lineRule="auto"/>
        <w:rPr>
          <w:rFonts w:ascii="宋体" w:hAnsi="宋体" w:eastAsia="宋体" w:cs="Times New Roman"/>
          <w:szCs w:val="21"/>
        </w:rPr>
      </w:pPr>
      <w:r>
        <w:rPr>
          <w:rFonts w:hint="eastAsia" w:ascii="宋体" w:hAnsi="宋体" w:eastAsia="宋体" w:cs="Times New Roman"/>
          <w:szCs w:val="21"/>
        </w:rPr>
        <w:t>致：</w:t>
      </w:r>
      <w:r>
        <w:rPr>
          <w:rFonts w:hint="eastAsia" w:ascii="宋体" w:hAnsi="宋体" w:eastAsia="宋体" w:cs="Times New Roman"/>
          <w:szCs w:val="21"/>
          <w:u w:val="single"/>
        </w:rPr>
        <w:t xml:space="preserve">  深圳大学  </w:t>
      </w:r>
    </w:p>
    <w:p>
      <w:pPr>
        <w:spacing w:after="231" w:afterLines="50"/>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1、根据已收到贵方的项目编号为</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的</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pPr>
        <w:spacing w:after="231" w:afterLines="50"/>
        <w:ind w:firstLine="420" w:firstLineChars="200"/>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、如果我方中标，我方将按照规定提交上述总价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％作为履约担保（可提供保函或现金）。</w:t>
      </w:r>
    </w:p>
    <w:p>
      <w:pPr>
        <w:spacing w:after="231" w:afterLines="50"/>
        <w:ind w:firstLine="411" w:firstLineChars="196"/>
        <w:rPr>
          <w:rFonts w:ascii="宋体" w:hAnsi="宋体" w:eastAsia="宋体" w:cs="Times New Roman"/>
          <w:szCs w:val="21"/>
        </w:rPr>
      </w:pPr>
      <w:r>
        <w:rPr>
          <w:rFonts w:hint="eastAsia" w:ascii="宋体" w:hAnsi="宋体" w:eastAsia="宋体" w:cs="Times New Roman"/>
          <w:szCs w:val="21"/>
        </w:rPr>
        <w:t>3、我方同意所递交的投标文件在“对通用条款的补充内容”中的投标有效期内有效，在此期间内我方的投标有可能中标，我方将受此约束。</w:t>
      </w:r>
    </w:p>
    <w:p>
      <w:pPr>
        <w:spacing w:after="231" w:afterLines="50"/>
        <w:ind w:firstLine="411" w:firstLineChars="196"/>
        <w:rPr>
          <w:rFonts w:ascii="宋体" w:hAnsi="宋体" w:eastAsia="宋体" w:cs="Times New Roman"/>
          <w:szCs w:val="21"/>
        </w:rPr>
      </w:pPr>
      <w:r>
        <w:rPr>
          <w:rFonts w:hint="eastAsia" w:ascii="宋体" w:hAnsi="宋体" w:eastAsia="宋体" w:cs="Times New Roman"/>
          <w:szCs w:val="21"/>
        </w:rPr>
        <w:t>4、除非另外达成协议并生效，贵方的中标通知书和本投标文件将构成约束我们双方的合同。</w:t>
      </w:r>
    </w:p>
    <w:p>
      <w:pPr>
        <w:spacing w:after="231" w:afterLines="50"/>
        <w:ind w:firstLine="411" w:firstLineChars="196"/>
        <w:rPr>
          <w:rFonts w:ascii="宋体" w:hAnsi="宋体" w:eastAsia="宋体" w:cs="Times New Roman"/>
          <w:szCs w:val="21"/>
        </w:rPr>
      </w:pPr>
      <w:r>
        <w:rPr>
          <w:rFonts w:hint="eastAsia" w:ascii="宋体" w:hAnsi="宋体" w:eastAsia="宋体" w:cs="Times New Roman"/>
          <w:szCs w:val="21"/>
        </w:rPr>
        <w:t>5、我方理解贵方将不受必须接受你们所收到的最低标价或其它任何投标文件的约束。</w:t>
      </w:r>
    </w:p>
    <w:p>
      <w:pPr>
        <w:ind w:left="540" w:leftChars="257"/>
        <w:rPr>
          <w:rFonts w:ascii="Times New Roman" w:hAnsi="Times New Roman" w:eastAsia="宋体" w:cs="Times New Roman"/>
          <w:szCs w:val="21"/>
        </w:rPr>
      </w:pPr>
    </w:p>
    <w:p>
      <w:pPr>
        <w:ind w:left="540" w:leftChars="257"/>
        <w:rPr>
          <w:rFonts w:ascii="Times New Roman" w:hAnsi="Times New Roman" w:eastAsia="宋体" w:cs="Times New Roman"/>
          <w:szCs w:val="21"/>
        </w:rPr>
      </w:pPr>
      <w:r>
        <w:rPr>
          <w:rFonts w:hint="eastAsia" w:ascii="Times New Roman" w:hAnsi="Times New Roman" w:eastAsia="宋体" w:cs="Times New Roman"/>
          <w:szCs w:val="21"/>
        </w:rPr>
        <w:t>投标人：</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(公章) </w:t>
      </w:r>
    </w:p>
    <w:p>
      <w:pPr>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单位地址：</w:t>
      </w:r>
      <w:r>
        <w:rPr>
          <w:rFonts w:hint="eastAsia" w:ascii="Times New Roman" w:hAnsi="Times New Roman" w:eastAsia="宋体" w:cs="Times New Roman"/>
          <w:szCs w:val="21"/>
          <w:u w:val="single"/>
        </w:rPr>
        <w:t xml:space="preserve">               </w:t>
      </w:r>
    </w:p>
    <w:p>
      <w:pPr>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法定代表人或其委托代理人：</w:t>
      </w:r>
      <w:r>
        <w:rPr>
          <w:rFonts w:hint="eastAsia" w:ascii="Times New Roman" w:hAnsi="Times New Roman" w:eastAsia="宋体" w:cs="Times New Roman"/>
          <w:szCs w:val="21"/>
          <w:u w:val="single"/>
        </w:rPr>
        <w:t xml:space="preserve">                   </w:t>
      </w:r>
    </w:p>
    <w:p>
      <w:pPr>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邮政编码：</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电话：</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传真：</w:t>
      </w:r>
      <w:r>
        <w:rPr>
          <w:rFonts w:hint="eastAsia" w:ascii="Times New Roman" w:hAnsi="Times New Roman" w:eastAsia="宋体" w:cs="Times New Roman"/>
          <w:szCs w:val="21"/>
          <w:u w:val="single"/>
        </w:rPr>
        <w:t xml:space="preserve">            </w:t>
      </w:r>
    </w:p>
    <w:p>
      <w:pPr>
        <w:ind w:left="540" w:leftChars="257"/>
        <w:rPr>
          <w:rFonts w:ascii="Times New Roman" w:hAnsi="Times New Roman" w:eastAsia="宋体" w:cs="Times New Roman"/>
          <w:szCs w:val="21"/>
        </w:rPr>
      </w:pPr>
      <w:r>
        <w:rPr>
          <w:rFonts w:hint="eastAsia" w:ascii="Times New Roman" w:hAnsi="Times New Roman" w:eastAsia="宋体" w:cs="Times New Roman"/>
          <w:szCs w:val="21"/>
        </w:rPr>
        <w:t>开户银行名称：</w:t>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rPr>
        <w:tab/>
      </w:r>
      <w:r>
        <w:rPr>
          <w:rFonts w:hint="eastAsia" w:ascii="Times New Roman" w:hAnsi="Times New Roman" w:eastAsia="宋体" w:cs="Times New Roman"/>
          <w:szCs w:val="21"/>
        </w:rPr>
        <w:t>开户银行帐号：</w:t>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p>
    <w:p>
      <w:pPr>
        <w:ind w:left="540" w:leftChars="257"/>
        <w:rPr>
          <w:rFonts w:ascii="Times New Roman" w:hAnsi="Times New Roman" w:eastAsia="宋体" w:cs="Times New Roman"/>
          <w:szCs w:val="21"/>
        </w:rPr>
      </w:pPr>
      <w:r>
        <w:rPr>
          <w:rFonts w:hint="eastAsia" w:ascii="Times New Roman" w:hAnsi="Times New Roman" w:eastAsia="宋体" w:cs="Times New Roman"/>
          <w:szCs w:val="21"/>
        </w:rPr>
        <w:t>开户银行地址：</w:t>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rPr>
        <w:tab/>
      </w:r>
      <w:r>
        <w:rPr>
          <w:rFonts w:hint="eastAsia" w:ascii="Times New Roman" w:hAnsi="Times New Roman" w:eastAsia="宋体" w:cs="Times New Roman"/>
          <w:szCs w:val="21"/>
        </w:rPr>
        <w:t>开户银行电话：</w:t>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p>
    <w:p>
      <w:pPr>
        <w:ind w:firstLine="539" w:firstLineChars="257"/>
        <w:rPr>
          <w:rFonts w:ascii="Times New Roman" w:hAnsi="Times New Roman" w:eastAsia="宋体" w:cs="Times New Roman"/>
          <w:sz w:val="24"/>
          <w:szCs w:val="24"/>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r>
        <w:rPr>
          <w:rFonts w:hint="eastAsia" w:ascii="Times New Roman" w:hAnsi="Times New Roman" w:eastAsia="宋体" w:cs="Times New Roman"/>
          <w:sz w:val="24"/>
          <w:szCs w:val="24"/>
        </w:rPr>
        <w:t xml:space="preserve">                                </w:t>
      </w:r>
    </w:p>
    <w:p>
      <w:pPr>
        <w:jc w:val="center"/>
        <w:rPr>
          <w:rFonts w:ascii="黑体" w:hAnsi="宋体" w:eastAsia="黑体" w:cs="Times New Roman"/>
          <w:bCs/>
          <w:kern w:val="0"/>
          <w:sz w:val="24"/>
          <w:szCs w:val="32"/>
        </w:rPr>
      </w:pPr>
      <w:r>
        <w:rPr>
          <w:rFonts w:ascii="黑体" w:hAnsi="宋体" w:eastAsia="黑体" w:cs="Times New Roman"/>
          <w:szCs w:val="24"/>
        </w:rPr>
        <w:br w:type="page"/>
      </w:r>
      <w:r>
        <w:rPr>
          <w:rFonts w:hint="eastAsia" w:ascii="黑体" w:hAnsi="宋体" w:eastAsia="黑体" w:cs="Times New Roman"/>
          <w:bCs/>
          <w:kern w:val="0"/>
          <w:sz w:val="24"/>
          <w:szCs w:val="32"/>
        </w:rPr>
        <w:t>二、投标承诺函</w:t>
      </w:r>
    </w:p>
    <w:p>
      <w:pPr>
        <w:rPr>
          <w:rFonts w:ascii="宋体" w:hAnsi="宋体" w:eastAsia="宋体" w:cs="Times New Roman"/>
          <w:sz w:val="24"/>
          <w:szCs w:val="24"/>
        </w:rPr>
      </w:pPr>
    </w:p>
    <w:p>
      <w:pPr>
        <w:rPr>
          <w:rFonts w:ascii="宋体" w:hAnsi="宋体" w:eastAsia="宋体" w:cs="Times New Roman"/>
          <w:szCs w:val="21"/>
        </w:rPr>
      </w:pPr>
      <w:r>
        <w:rPr>
          <w:rFonts w:hint="eastAsia" w:ascii="宋体" w:hAnsi="宋体" w:eastAsia="宋体" w:cs="Times New Roman"/>
          <w:szCs w:val="21"/>
        </w:rPr>
        <w:t>致：</w:t>
      </w:r>
      <w:r>
        <w:rPr>
          <w:rFonts w:hint="eastAsia" w:ascii="宋体" w:hAnsi="宋体" w:eastAsia="宋体" w:cs="Times New Roman"/>
          <w:szCs w:val="21"/>
          <w:u w:val="single"/>
        </w:rPr>
        <w:t>深圳大学</w:t>
      </w:r>
    </w:p>
    <w:p>
      <w:pPr>
        <w:rPr>
          <w:rFonts w:ascii="宋体" w:hAnsi="宋体" w:eastAsia="宋体" w:cs="Times New Roman"/>
          <w:szCs w:val="21"/>
        </w:rPr>
      </w:pPr>
    </w:p>
    <w:p>
      <w:pPr>
        <w:ind w:firstLine="540"/>
        <w:rPr>
          <w:rFonts w:ascii="宋体" w:hAnsi="宋体" w:eastAsia="宋体" w:cs="Times New Roman"/>
          <w:szCs w:val="21"/>
        </w:rPr>
      </w:pPr>
      <w:r>
        <w:rPr>
          <w:rFonts w:hint="eastAsia" w:ascii="宋体" w:hAnsi="宋体" w:eastAsia="宋体" w:cs="Times New Roman"/>
          <w:szCs w:val="21"/>
        </w:rPr>
        <w:t>我公司承诺：</w:t>
      </w:r>
    </w:p>
    <w:p>
      <w:pPr>
        <w:ind w:firstLine="540"/>
        <w:rPr>
          <w:rFonts w:ascii="宋体" w:hAnsi="宋体" w:eastAsia="宋体" w:cs="Times New Roman"/>
          <w:szCs w:val="21"/>
        </w:rPr>
      </w:pPr>
      <w:r>
        <w:rPr>
          <w:rFonts w:hint="eastAsia" w:ascii="宋体" w:hAnsi="宋体" w:eastAsia="宋体" w:cs="Times New Roman"/>
          <w:szCs w:val="21"/>
        </w:rPr>
        <w:t>1.对本招标项目所提供的货物、工程或服务未侵犯知识产权。我公司已清楚，提供虚假承诺或者被有关单位确认为侵犯知识产权的，三年内不得参加深圳大学的采购活动。</w:t>
      </w:r>
    </w:p>
    <w:p>
      <w:pPr>
        <w:ind w:firstLine="540"/>
        <w:rPr>
          <w:rFonts w:ascii="宋体" w:hAnsi="宋体" w:eastAsia="宋体" w:cs="Times New Roman"/>
          <w:szCs w:val="21"/>
        </w:rPr>
      </w:pPr>
      <w:r>
        <w:rPr>
          <w:rFonts w:hint="eastAsia" w:ascii="宋体" w:hAnsi="宋体" w:eastAsia="宋体" w:cs="Times New Roman"/>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pPr>
        <w:ind w:firstLine="540"/>
        <w:rPr>
          <w:rFonts w:ascii="宋体" w:hAnsi="宋体" w:eastAsia="宋体" w:cs="Times New Roman"/>
          <w:szCs w:val="21"/>
        </w:rPr>
      </w:pPr>
      <w:r>
        <w:rPr>
          <w:rFonts w:hint="eastAsia" w:ascii="宋体" w:hAnsi="宋体" w:eastAsia="宋体" w:cs="Times New Roman"/>
          <w:szCs w:val="21"/>
        </w:rPr>
        <w:t>3.在本项目招标过程中，评标委员会若对投标人进行现场勘察或实地考察或检验有关证明材料的原件，我公司将随时做好接受检查的准备。</w:t>
      </w:r>
    </w:p>
    <w:p>
      <w:pPr>
        <w:ind w:firstLine="54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接受</w:t>
      </w:r>
      <w:r>
        <w:rPr>
          <w:rFonts w:ascii="宋体" w:hAnsi="宋体" w:eastAsia="宋体" w:cs="Times New Roman"/>
          <w:szCs w:val="21"/>
        </w:rPr>
        <w:t>、遵守、满足招标文件</w:t>
      </w:r>
      <w:r>
        <w:rPr>
          <w:rFonts w:hint="eastAsia"/>
        </w:rPr>
        <w:t xml:space="preserve"> </w:t>
      </w:r>
      <w:r>
        <w:rPr>
          <w:rFonts w:hint="eastAsia" w:ascii="宋体" w:hAnsi="宋体" w:eastAsia="宋体" w:cs="Times New Roman"/>
          <w:szCs w:val="21"/>
        </w:rPr>
        <w:t>第二章</w:t>
      </w:r>
      <w:r>
        <w:rPr>
          <w:rFonts w:ascii="宋体" w:hAnsi="宋体" w:eastAsia="宋体" w:cs="Times New Roman"/>
          <w:szCs w:val="21"/>
        </w:rPr>
        <w:t xml:space="preserve">  招标项目需求</w:t>
      </w:r>
      <w:r>
        <w:rPr>
          <w:rFonts w:hint="eastAsia" w:ascii="宋体" w:hAnsi="宋体" w:eastAsia="宋体" w:cs="Times New Roman"/>
          <w:szCs w:val="21"/>
        </w:rPr>
        <w:t xml:space="preserve"> 的</w:t>
      </w:r>
      <w:r>
        <w:rPr>
          <w:rFonts w:ascii="宋体" w:hAnsi="宋体" w:eastAsia="宋体" w:cs="Times New Roman"/>
          <w:szCs w:val="21"/>
        </w:rPr>
        <w:t>全部内容。</w:t>
      </w:r>
    </w:p>
    <w:p>
      <w:pPr>
        <w:ind w:firstLine="540"/>
        <w:rPr>
          <w:rFonts w:ascii="宋体" w:hAnsi="宋体" w:eastAsia="宋体" w:cs="Times New Roman"/>
          <w:szCs w:val="21"/>
        </w:rPr>
      </w:pPr>
    </w:p>
    <w:p>
      <w:pPr>
        <w:ind w:firstLine="645"/>
        <w:rPr>
          <w:rFonts w:ascii="宋体" w:hAnsi="宋体" w:eastAsia="宋体" w:cs="Times New Roman"/>
          <w:szCs w:val="21"/>
        </w:rPr>
      </w:pPr>
    </w:p>
    <w:p>
      <w:pPr>
        <w:ind w:firstLine="645"/>
        <w:rPr>
          <w:rFonts w:ascii="宋体" w:hAnsi="宋体" w:eastAsia="宋体" w:cs="Times New Roman"/>
          <w:szCs w:val="21"/>
        </w:rPr>
      </w:pPr>
      <w:r>
        <w:rPr>
          <w:rFonts w:hint="eastAsia" w:ascii="宋体" w:hAnsi="宋体" w:eastAsia="宋体" w:cs="Times New Roman"/>
          <w:szCs w:val="21"/>
        </w:rPr>
        <w:t xml:space="preserve">                                </w:t>
      </w:r>
    </w:p>
    <w:p>
      <w:pPr>
        <w:ind w:firstLine="3360" w:firstLineChars="1600"/>
        <w:rPr>
          <w:rFonts w:ascii="宋体" w:hAnsi="宋体" w:eastAsia="宋体" w:cs="Times New Roman"/>
          <w:szCs w:val="21"/>
        </w:rPr>
      </w:pPr>
    </w:p>
    <w:p>
      <w:pPr>
        <w:ind w:firstLine="2730" w:firstLineChars="1300"/>
        <w:rPr>
          <w:rFonts w:ascii="宋体" w:hAnsi="宋体" w:eastAsia="宋体" w:cs="Times New Roman"/>
          <w:szCs w:val="21"/>
        </w:rPr>
      </w:pPr>
      <w:r>
        <w:rPr>
          <w:rFonts w:hint="eastAsia" w:ascii="宋体" w:hAnsi="宋体" w:eastAsia="宋体" w:cs="Times New Roman"/>
          <w:szCs w:val="21"/>
        </w:rPr>
        <w:t>公司名称：                             （公章）</w:t>
      </w:r>
    </w:p>
    <w:p>
      <w:pPr>
        <w:spacing w:line="360" w:lineRule="auto"/>
        <w:ind w:firstLine="420" w:firstLineChars="200"/>
        <w:rPr>
          <w:rFonts w:ascii="宋体" w:hAnsi="Times New Roman" w:eastAsia="宋体" w:cs="Times New Roman"/>
          <w:bCs/>
          <w:szCs w:val="21"/>
        </w:rPr>
      </w:pPr>
      <w:r>
        <w:rPr>
          <w:rFonts w:hint="eastAsia" w:ascii="宋体" w:hAnsi="Times New Roman" w:eastAsia="宋体" w:cs="Times New Roman"/>
          <w:bCs/>
          <w:szCs w:val="21"/>
        </w:rPr>
        <w:t xml:space="preserve">                                  </w:t>
      </w:r>
    </w:p>
    <w:p>
      <w:pPr>
        <w:spacing w:line="360" w:lineRule="auto"/>
        <w:ind w:firstLine="5670" w:firstLineChars="2700"/>
        <w:rPr>
          <w:rFonts w:ascii="宋体" w:hAnsi="Times New Roman" w:eastAsia="宋体" w:cs="Times New Roman"/>
          <w:bCs/>
          <w:szCs w:val="21"/>
        </w:rPr>
      </w:pPr>
      <w:r>
        <w:rPr>
          <w:rFonts w:hint="eastAsia" w:ascii="宋体" w:hAnsi="Times New Roman" w:eastAsia="宋体" w:cs="Times New Roman"/>
          <w:bCs/>
          <w:szCs w:val="21"/>
        </w:rPr>
        <w:t xml:space="preserve"> 二〇    年   月    日</w:t>
      </w:r>
    </w:p>
    <w:p>
      <w:pPr>
        <w:spacing w:line="360" w:lineRule="auto"/>
        <w:ind w:firstLine="420" w:firstLineChars="200"/>
        <w:rPr>
          <w:rFonts w:ascii="宋体" w:hAnsi="宋体" w:eastAsia="宋体" w:cs="Times New Roman"/>
          <w:b/>
          <w:bCs/>
          <w:sz w:val="24"/>
          <w:szCs w:val="24"/>
        </w:rPr>
      </w:pPr>
      <w:r>
        <w:rPr>
          <w:rFonts w:ascii="宋体" w:hAnsi="Times New Roman" w:eastAsia="宋体" w:cs="Times New Roman"/>
          <w:bCs/>
          <w:szCs w:val="21"/>
        </w:rPr>
        <w:br w:type="page"/>
      </w:r>
    </w:p>
    <w:p>
      <w:pPr>
        <w:keepNext/>
        <w:keepLines/>
        <w:spacing w:before="260" w:after="260"/>
        <w:jc w:val="center"/>
        <w:outlineLvl w:val="2"/>
        <w:rPr>
          <w:rFonts w:ascii="黑体" w:hAnsi="黑体" w:eastAsia="黑体" w:cs="Times New Roman"/>
          <w:bCs/>
          <w:sz w:val="24"/>
          <w:szCs w:val="24"/>
        </w:rPr>
      </w:pPr>
      <w:r>
        <w:rPr>
          <w:rFonts w:ascii="黑体" w:hAnsi="黑体" w:eastAsia="黑体" w:cs="Times New Roman"/>
          <w:bCs/>
          <w:sz w:val="24"/>
          <w:szCs w:val="24"/>
        </w:rPr>
        <w:t>三、投标一览表</w:t>
      </w:r>
    </w:p>
    <w:p>
      <w:pPr>
        <w:spacing w:line="360" w:lineRule="auto"/>
        <w:ind w:left="151" w:leftChars="72"/>
        <w:rPr>
          <w:rFonts w:ascii="宋体" w:hAnsi="宋体" w:eastAsia="宋体" w:cs="Times New Roman"/>
          <w:sz w:val="24"/>
          <w:szCs w:val="24"/>
        </w:rPr>
      </w:pPr>
    </w:p>
    <w:p>
      <w:pPr>
        <w:spacing w:line="360" w:lineRule="auto"/>
        <w:ind w:left="151" w:leftChars="72"/>
        <w:rPr>
          <w:rFonts w:ascii="宋体" w:hAnsi="宋体" w:eastAsia="宋体" w:cs="Times New Roman"/>
          <w:sz w:val="24"/>
        </w:rPr>
      </w:pPr>
      <w:r>
        <w:rPr>
          <w:rFonts w:hint="eastAsia" w:ascii="宋体" w:hAnsi="宋体" w:eastAsia="宋体" w:cs="Times New Roman"/>
          <w:sz w:val="24"/>
          <w:szCs w:val="24"/>
        </w:rPr>
        <w:t>投标人名称：_________________ （公章）</w:t>
      </w:r>
    </w:p>
    <w:p>
      <w:pPr>
        <w:spacing w:line="360" w:lineRule="auto"/>
        <w:ind w:left="151" w:leftChars="72"/>
        <w:rPr>
          <w:rFonts w:ascii="宋体" w:hAnsi="宋体" w:eastAsia="宋体" w:cs="Times New Roman"/>
          <w:color w:val="FF0000"/>
          <w:sz w:val="24"/>
          <w:szCs w:val="24"/>
          <w:u w:val="single"/>
        </w:rPr>
      </w:pPr>
      <w:r>
        <w:rPr>
          <w:rFonts w:hint="eastAsia" w:ascii="宋体" w:hAnsi="宋体" w:eastAsia="宋体" w:cs="Times New Roman"/>
          <w:color w:val="FF0000"/>
          <w:sz w:val="24"/>
          <w:szCs w:val="24"/>
        </w:rPr>
        <w:t xml:space="preserve">项目编号/包号：_______________ </w:t>
      </w:r>
    </w:p>
    <w:p>
      <w:pPr>
        <w:spacing w:line="360" w:lineRule="auto"/>
        <w:ind w:left="151" w:leftChars="72"/>
        <w:rPr>
          <w:rFonts w:ascii="宋体" w:hAnsi="宋体" w:eastAsia="宋体" w:cs="Times New Roman"/>
          <w:color w:val="FF0000"/>
          <w:sz w:val="24"/>
          <w:szCs w:val="24"/>
          <w:u w:val="single"/>
        </w:rPr>
      </w:pPr>
    </w:p>
    <w:tbl>
      <w:tblPr>
        <w:tblStyle w:val="42"/>
        <w:tblW w:w="802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980"/>
        <w:gridCol w:w="1440"/>
        <w:gridCol w:w="16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2988" w:type="dxa"/>
            <w:tcBorders>
              <w:top w:val="double" w:color="auto" w:sz="4" w:space="0"/>
              <w:bottom w:val="single" w:color="auto" w:sz="4" w:space="0"/>
            </w:tcBorders>
            <w:vAlign w:val="center"/>
          </w:tcPr>
          <w:p>
            <w:pPr>
              <w:jc w:val="cente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项目名称</w:t>
            </w:r>
          </w:p>
        </w:tc>
        <w:tc>
          <w:tcPr>
            <w:tcW w:w="1980" w:type="dxa"/>
            <w:tcBorders>
              <w:top w:val="double" w:color="auto" w:sz="4" w:space="0"/>
              <w:bottom w:val="single" w:color="auto" w:sz="4" w:space="0"/>
            </w:tcBorders>
            <w:vAlign w:val="center"/>
          </w:tcPr>
          <w:p>
            <w:pPr>
              <w:jc w:val="cente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投标费率（百分比）</w:t>
            </w:r>
          </w:p>
        </w:tc>
        <w:tc>
          <w:tcPr>
            <w:tcW w:w="1440" w:type="dxa"/>
            <w:tcBorders>
              <w:top w:val="double" w:color="auto" w:sz="4" w:space="0"/>
              <w:bottom w:val="single" w:color="auto" w:sz="4" w:space="0"/>
            </w:tcBorders>
            <w:vAlign w:val="center"/>
          </w:tcPr>
          <w:p>
            <w:pPr>
              <w:jc w:val="cente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服务期限（天）</w:t>
            </w:r>
          </w:p>
        </w:tc>
        <w:tc>
          <w:tcPr>
            <w:tcW w:w="1620" w:type="dxa"/>
            <w:tcBorders>
              <w:top w:val="double" w:color="auto" w:sz="4" w:space="0"/>
              <w:bottom w:val="single" w:color="auto" w:sz="4" w:space="0"/>
            </w:tcBorders>
            <w:vAlign w:val="center"/>
          </w:tcPr>
          <w:p>
            <w:pPr>
              <w:jc w:val="cente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2988" w:type="dxa"/>
            <w:tcBorders>
              <w:top w:val="single" w:color="auto" w:sz="4" w:space="0"/>
            </w:tcBorders>
            <w:vAlign w:val="center"/>
          </w:tcPr>
          <w:p>
            <w:pPr>
              <w:rPr>
                <w:rFonts w:ascii="Times New Roman" w:hAnsi="Times New Roman" w:eastAsia="宋体" w:cs="Times New Roman"/>
                <w:snapToGrid w:val="0"/>
                <w:kern w:val="0"/>
                <w:szCs w:val="24"/>
                <w:u w:val="single"/>
              </w:rPr>
            </w:pPr>
            <w:r>
              <w:rPr>
                <w:rFonts w:hint="eastAsia" w:ascii="Times New Roman" w:hAnsi="Times New Roman" w:eastAsia="宋体" w:cs="Times New Roman"/>
                <w:snapToGrid w:val="0"/>
                <w:kern w:val="0"/>
                <w:szCs w:val="24"/>
                <w:u w:val="single"/>
              </w:rPr>
              <w:t xml:space="preserve">                   </w:t>
            </w:r>
            <w:r>
              <w:rPr>
                <w:rFonts w:hint="eastAsia" w:ascii="Times New Roman" w:hAnsi="Times New Roman" w:eastAsia="宋体" w:cs="Times New Roman"/>
                <w:snapToGrid w:val="0"/>
                <w:kern w:val="0"/>
                <w:szCs w:val="24"/>
              </w:rPr>
              <w:t>项目</w:t>
            </w:r>
          </w:p>
        </w:tc>
        <w:tc>
          <w:tcPr>
            <w:tcW w:w="1980" w:type="dxa"/>
            <w:tcBorders>
              <w:top w:val="single" w:color="auto" w:sz="4" w:space="0"/>
            </w:tcBorders>
            <w:vAlign w:val="center"/>
          </w:tcPr>
          <w:p>
            <w:pP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大写：</w:t>
            </w:r>
          </w:p>
          <w:p>
            <w:pP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小写：</w:t>
            </w:r>
          </w:p>
        </w:tc>
        <w:tc>
          <w:tcPr>
            <w:tcW w:w="1440" w:type="dxa"/>
            <w:tcBorders>
              <w:top w:val="single" w:color="auto" w:sz="4" w:space="0"/>
            </w:tcBorders>
            <w:vAlign w:val="center"/>
          </w:tcPr>
          <w:p>
            <w:pPr>
              <w:rPr>
                <w:rFonts w:ascii="Times New Roman" w:hAnsi="Times New Roman" w:eastAsia="宋体" w:cs="Times New Roman"/>
                <w:snapToGrid w:val="0"/>
                <w:kern w:val="0"/>
                <w:szCs w:val="24"/>
              </w:rPr>
            </w:pPr>
          </w:p>
        </w:tc>
        <w:tc>
          <w:tcPr>
            <w:tcW w:w="1620" w:type="dxa"/>
            <w:tcBorders>
              <w:top w:val="single" w:color="auto" w:sz="4" w:space="0"/>
            </w:tcBorders>
            <w:vAlign w:val="center"/>
          </w:tcPr>
          <w:p>
            <w:pPr>
              <w:rPr>
                <w:rFonts w:ascii="Times New Roman" w:hAnsi="Times New Roman" w:eastAsia="宋体" w:cs="Times New Roman"/>
                <w:snapToGrid w:val="0"/>
                <w:kern w:val="0"/>
                <w:szCs w:val="24"/>
              </w:rPr>
            </w:pPr>
          </w:p>
        </w:tc>
      </w:tr>
    </w:tbl>
    <w:p>
      <w:pPr>
        <w:rPr>
          <w:rFonts w:ascii="Times New Roman" w:hAnsi="Times New Roman" w:eastAsia="宋体" w:cs="Times New Roman"/>
          <w:snapToGrid w:val="0"/>
          <w:kern w:val="0"/>
          <w:szCs w:val="24"/>
        </w:rPr>
      </w:pPr>
    </w:p>
    <w:p>
      <w:pP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注：1、本项目服务期限要求为x年，即xxx个日历日。</w:t>
      </w:r>
    </w:p>
    <w:p>
      <w:pPr>
        <w:spacing w:line="360" w:lineRule="auto"/>
        <w:ind w:firstLine="420" w:firstLineChars="200"/>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2、投标人如果需要对报价或其它内容加以说明，可在备注栏填写。</w:t>
      </w:r>
    </w:p>
    <w:p>
      <w:pPr>
        <w:spacing w:line="360" w:lineRule="auto"/>
        <w:ind w:firstLine="420" w:firstLineChars="200"/>
        <w:rPr>
          <w:rFonts w:ascii="Times New Roman" w:hAnsi="Times New Roman" w:eastAsia="宋体" w:cs="Times New Roman"/>
          <w:snapToGrid w:val="0"/>
          <w:color w:val="FF0000"/>
          <w:kern w:val="0"/>
          <w:szCs w:val="24"/>
        </w:rPr>
      </w:pPr>
      <w:r>
        <w:rPr>
          <w:rFonts w:hint="eastAsia" w:ascii="Times New Roman" w:hAnsi="Times New Roman" w:eastAsia="宋体" w:cs="Times New Roman"/>
          <w:snapToGrid w:val="0"/>
          <w:color w:val="FF0000"/>
          <w:kern w:val="0"/>
          <w:szCs w:val="24"/>
        </w:rPr>
        <w:t>3、</w:t>
      </w:r>
      <w:r>
        <w:rPr>
          <w:rFonts w:hint="eastAsia" w:ascii="宋体" w:hAnsi="宋体"/>
          <w:color w:val="FF0000"/>
        </w:rPr>
        <w:t>此表</w:t>
      </w:r>
      <w:r>
        <w:rPr>
          <w:rFonts w:hint="eastAsia" w:ascii="宋体" w:hAnsi="宋体"/>
          <w:color w:val="FF0000"/>
          <w:szCs w:val="21"/>
        </w:rPr>
        <w:t>需装订</w:t>
      </w:r>
      <w:r>
        <w:rPr>
          <w:rFonts w:ascii="宋体" w:hAnsi="宋体"/>
          <w:color w:val="FF0000"/>
          <w:szCs w:val="21"/>
        </w:rPr>
        <w:t>在投标文件中，且</w:t>
      </w:r>
      <w:r>
        <w:rPr>
          <w:rFonts w:hint="eastAsia" w:ascii="宋体" w:hAnsi="宋体"/>
          <w:color w:val="FF0000"/>
          <w:szCs w:val="21"/>
        </w:rPr>
        <w:t>另外再单独密封一份提交。</w:t>
      </w:r>
    </w:p>
    <w:p>
      <w:pPr>
        <w:spacing w:line="360" w:lineRule="auto"/>
        <w:ind w:left="153" w:hanging="153"/>
        <w:rPr>
          <w:rFonts w:ascii="宋体" w:hAnsi="宋体" w:eastAsia="宋体" w:cs="Times New Roman"/>
          <w:sz w:val="24"/>
          <w:szCs w:val="24"/>
        </w:rPr>
      </w:pPr>
    </w:p>
    <w:p>
      <w:pPr>
        <w:spacing w:line="360" w:lineRule="auto"/>
        <w:ind w:left="153" w:hanging="153"/>
        <w:rPr>
          <w:rFonts w:ascii="宋体" w:hAnsi="宋体" w:eastAsia="宋体" w:cs="Times New Roman"/>
          <w:sz w:val="24"/>
          <w:szCs w:val="24"/>
        </w:rPr>
      </w:pPr>
    </w:p>
    <w:p>
      <w:pPr>
        <w:spacing w:line="360" w:lineRule="auto"/>
        <w:ind w:left="5864" w:leftChars="-65" w:hanging="6000" w:hangingChars="2500"/>
        <w:rPr>
          <w:rFonts w:ascii="宋体" w:hAnsi="宋体" w:eastAsia="宋体" w:cs="Times New Roman"/>
          <w:sz w:val="24"/>
          <w:szCs w:val="24"/>
        </w:rPr>
      </w:pPr>
      <w:r>
        <w:rPr>
          <w:rFonts w:hint="eastAsia" w:ascii="宋体" w:hAnsi="宋体"/>
          <w:sz w:val="24"/>
        </w:rPr>
        <w:t>投标人代表（法定代表人或其委托代理人）：___________________（签名</w:t>
      </w:r>
      <w:r>
        <w:rPr>
          <w:rFonts w:ascii="宋体" w:hAnsi="宋体"/>
          <w:sz w:val="24"/>
        </w:rPr>
        <w:t>或签章</w:t>
      </w:r>
      <w:r>
        <w:rPr>
          <w:rFonts w:hint="eastAsia" w:ascii="宋体" w:hAnsi="宋体"/>
          <w:sz w:val="24"/>
        </w:rPr>
        <w:t xml:space="preserve">） </w:t>
      </w:r>
      <w:r>
        <w:rPr>
          <w:rFonts w:hint="eastAsia" w:ascii="宋体" w:hAnsi="宋体" w:eastAsia="宋体" w:cs="Times New Roman"/>
          <w:sz w:val="24"/>
          <w:szCs w:val="24"/>
        </w:rPr>
        <w:t xml:space="preserve"> 日期：   年   月   日</w:t>
      </w:r>
    </w:p>
    <w:p>
      <w:pPr>
        <w:rPr>
          <w:rFonts w:ascii="仿宋_GB2312" w:hAnsi="Times New Roman" w:eastAsia="仿宋_GB2312" w:cs="Times New Roman"/>
          <w:b/>
          <w:sz w:val="30"/>
          <w:szCs w:val="30"/>
        </w:rPr>
      </w:pPr>
      <w:r>
        <w:rPr>
          <w:rFonts w:ascii="宋体" w:hAnsi="宋体" w:eastAsia="宋体" w:cs="Times New Roman"/>
          <w:szCs w:val="20"/>
        </w:rPr>
        <w:br w:type="page"/>
      </w:r>
    </w:p>
    <w:p>
      <w:pPr>
        <w:rPr>
          <w:rFonts w:ascii="Times New Roman" w:hAnsi="Times New Roman" w:eastAsia="宋体" w:cs="Times New Roman"/>
          <w:szCs w:val="24"/>
        </w:rPr>
      </w:pPr>
    </w:p>
    <w:p>
      <w:pPr>
        <w:keepNext/>
        <w:keepLines/>
        <w:spacing w:before="120" w:after="120"/>
        <w:jc w:val="center"/>
        <w:outlineLvl w:val="2"/>
        <w:rPr>
          <w:rFonts w:ascii="黑体" w:hAnsi="宋体" w:eastAsia="黑体" w:cs="Times New Roman"/>
          <w:bCs/>
          <w:kern w:val="0"/>
          <w:sz w:val="24"/>
          <w:szCs w:val="32"/>
        </w:rPr>
      </w:pPr>
      <w:r>
        <w:rPr>
          <w:rFonts w:hint="eastAsia" w:ascii="黑体" w:hAnsi="宋体" w:eastAsia="黑体" w:cs="Times New Roman"/>
          <w:bCs/>
          <w:kern w:val="0"/>
          <w:sz w:val="24"/>
          <w:szCs w:val="32"/>
        </w:rPr>
        <w:t>四、投标人情况介绍</w:t>
      </w:r>
    </w:p>
    <w:tbl>
      <w:tblPr>
        <w:tblStyle w:val="42"/>
        <w:tblW w:w="91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77"/>
        <w:gridCol w:w="4514"/>
        <w:gridCol w:w="14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序号</w:t>
            </w:r>
          </w:p>
        </w:tc>
        <w:tc>
          <w:tcPr>
            <w:tcW w:w="2477" w:type="dxa"/>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项  目</w:t>
            </w:r>
          </w:p>
        </w:tc>
        <w:tc>
          <w:tcPr>
            <w:tcW w:w="4514"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内容及说明</w:t>
            </w:r>
          </w:p>
        </w:tc>
        <w:tc>
          <w:tcPr>
            <w:tcW w:w="1411"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一</w:t>
            </w:r>
          </w:p>
        </w:tc>
        <w:tc>
          <w:tcPr>
            <w:tcW w:w="6991" w:type="dxa"/>
            <w:gridSpan w:val="2"/>
          </w:tcPr>
          <w:p>
            <w:pPr>
              <w:rPr>
                <w:rFonts w:ascii="Times New Roman" w:hAnsi="Times New Roman" w:eastAsia="宋体" w:cs="Times New Roman"/>
                <w:b/>
                <w:szCs w:val="21"/>
              </w:rPr>
            </w:pPr>
            <w:r>
              <w:rPr>
                <w:rFonts w:hint="eastAsia" w:ascii="Times New Roman" w:hAnsi="Times New Roman" w:eastAsia="宋体" w:cs="Times New Roman"/>
                <w:b/>
                <w:szCs w:val="21"/>
              </w:rPr>
              <w:t>营业执照</w:t>
            </w:r>
          </w:p>
        </w:tc>
        <w:tc>
          <w:tcPr>
            <w:tcW w:w="141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2477"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注册年度及注册编号</w:t>
            </w:r>
          </w:p>
        </w:tc>
        <w:tc>
          <w:tcPr>
            <w:tcW w:w="4514" w:type="dxa"/>
            <w:vAlign w:val="center"/>
          </w:tcPr>
          <w:p>
            <w:pP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2477"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注册资金（万元）</w:t>
            </w:r>
          </w:p>
        </w:tc>
        <w:tc>
          <w:tcPr>
            <w:tcW w:w="4514" w:type="dxa"/>
            <w:vAlign w:val="center"/>
          </w:tcPr>
          <w:p>
            <w:pP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2477"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经营场所</w:t>
            </w:r>
          </w:p>
        </w:tc>
        <w:tc>
          <w:tcPr>
            <w:tcW w:w="4514" w:type="dxa"/>
            <w:vAlign w:val="center"/>
          </w:tcPr>
          <w:p>
            <w:pP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2477"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有效期</w:t>
            </w:r>
          </w:p>
        </w:tc>
        <w:tc>
          <w:tcPr>
            <w:tcW w:w="4514" w:type="dxa"/>
            <w:vAlign w:val="center"/>
          </w:tcPr>
          <w:p>
            <w:pP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二</w:t>
            </w:r>
          </w:p>
        </w:tc>
        <w:tc>
          <w:tcPr>
            <w:tcW w:w="6991" w:type="dxa"/>
            <w:gridSpan w:val="2"/>
            <w:vAlign w:val="center"/>
          </w:tcPr>
          <w:p>
            <w:pPr>
              <w:rPr>
                <w:rFonts w:ascii="Times New Roman" w:hAnsi="Times New Roman" w:eastAsia="宋体" w:cs="Times New Roman"/>
                <w:b/>
                <w:szCs w:val="21"/>
              </w:rPr>
            </w:pPr>
            <w:r>
              <w:rPr>
                <w:rFonts w:hint="eastAsia" w:ascii="Times New Roman" w:hAnsi="Times New Roman" w:eastAsia="宋体" w:cs="Times New Roman"/>
                <w:b/>
                <w:szCs w:val="21"/>
              </w:rPr>
              <w:t>税务登记证</w:t>
            </w:r>
          </w:p>
        </w:tc>
        <w:tc>
          <w:tcPr>
            <w:tcW w:w="141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税务登记证编号</w:t>
            </w:r>
          </w:p>
        </w:tc>
        <w:tc>
          <w:tcPr>
            <w:tcW w:w="4514" w:type="dxa"/>
            <w:vAlign w:val="center"/>
          </w:tcPr>
          <w:p>
            <w:pP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三</w:t>
            </w:r>
          </w:p>
        </w:tc>
        <w:tc>
          <w:tcPr>
            <w:tcW w:w="6991" w:type="dxa"/>
            <w:gridSpan w:val="2"/>
            <w:vAlign w:val="center"/>
          </w:tcPr>
          <w:p>
            <w:pPr>
              <w:rPr>
                <w:rFonts w:ascii="Times New Roman" w:hAnsi="Times New Roman" w:eastAsia="宋体" w:cs="Times New Roman"/>
                <w:b/>
                <w:szCs w:val="21"/>
              </w:rPr>
            </w:pPr>
            <w:r>
              <w:rPr>
                <w:rFonts w:hint="eastAsia" w:ascii="Times New Roman" w:hAnsi="Times New Roman" w:eastAsia="宋体" w:cs="Times New Roman"/>
                <w:b/>
                <w:szCs w:val="21"/>
              </w:rPr>
              <w:t>资格（质）证书（</w:t>
            </w:r>
            <w:r>
              <w:rPr>
                <w:rFonts w:hint="eastAsia" w:ascii="Times New Roman" w:hAnsi="Times New Roman" w:eastAsia="宋体" w:cs="Times New Roman"/>
                <w:szCs w:val="21"/>
              </w:rPr>
              <w:t>若有其他资质证书，可按表格格式扩展</w:t>
            </w:r>
            <w:r>
              <w:rPr>
                <w:rFonts w:hint="eastAsia" w:ascii="Times New Roman" w:hAnsi="Times New Roman" w:eastAsia="宋体" w:cs="Times New Roman"/>
                <w:b/>
                <w:szCs w:val="21"/>
              </w:rPr>
              <w:t>）</w:t>
            </w:r>
          </w:p>
        </w:tc>
        <w:tc>
          <w:tcPr>
            <w:tcW w:w="141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证书名称</w:t>
            </w: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批准单位</w:t>
            </w: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等级</w:t>
            </w: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批准时间及编号</w:t>
            </w: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有效期</w:t>
            </w: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四</w:t>
            </w:r>
          </w:p>
        </w:tc>
        <w:tc>
          <w:tcPr>
            <w:tcW w:w="6991" w:type="dxa"/>
            <w:gridSpan w:val="2"/>
            <w:vAlign w:val="center"/>
          </w:tcPr>
          <w:p>
            <w:pPr>
              <w:rPr>
                <w:rFonts w:ascii="Times New Roman" w:hAnsi="Times New Roman" w:eastAsia="宋体" w:cs="Times New Roman"/>
                <w:b/>
                <w:szCs w:val="21"/>
              </w:rPr>
            </w:pPr>
            <w:r>
              <w:rPr>
                <w:rFonts w:hint="eastAsia" w:ascii="Times New Roman" w:hAnsi="Times New Roman" w:eastAsia="宋体" w:cs="Times New Roman"/>
                <w:b/>
                <w:szCs w:val="21"/>
              </w:rPr>
              <w:t>其他</w:t>
            </w:r>
            <w:r>
              <w:rPr>
                <w:rFonts w:hint="eastAsia" w:ascii="Times New Roman" w:hAnsi="Times New Roman" w:eastAsia="宋体" w:cs="Times New Roman"/>
                <w:szCs w:val="21"/>
              </w:rPr>
              <w:t>（投标人认为需补充的其他说明）</w:t>
            </w: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2477" w:type="dxa"/>
            <w:vAlign w:val="center"/>
          </w:tcPr>
          <w:p>
            <w:pPr>
              <w:jc w:val="center"/>
              <w:rPr>
                <w:rFonts w:ascii="Times New Roman" w:hAnsi="Times New Roman" w:eastAsia="宋体" w:cs="Times New Roman"/>
                <w:szCs w:val="21"/>
              </w:rPr>
            </w:pP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bl>
    <w:p>
      <w:pPr>
        <w:ind w:left="630" w:hanging="630" w:hangingChars="300"/>
        <w:rPr>
          <w:rFonts w:ascii="Times New Roman" w:hAnsi="Times New Roman" w:eastAsia="宋体" w:cs="Times New Roman"/>
          <w:szCs w:val="24"/>
        </w:rPr>
      </w:pPr>
      <w:r>
        <w:rPr>
          <w:rFonts w:hint="eastAsia" w:ascii="Times New Roman" w:hAnsi="Times New Roman" w:eastAsia="宋体" w:cs="Times New Roman"/>
          <w:szCs w:val="24"/>
        </w:rPr>
        <w:t>注：1、在按要求填写好此表格后，各投标单位可以用其它的方式，就自身整体情况作出详细的介绍。</w:t>
      </w:r>
    </w:p>
    <w:p>
      <w:pPr>
        <w:ind w:left="420"/>
        <w:rPr>
          <w:rFonts w:ascii="Times New Roman" w:hAnsi="Times New Roman" w:eastAsia="宋体" w:cs="Times New Roman"/>
          <w:b/>
          <w:bCs/>
          <w:szCs w:val="24"/>
        </w:rPr>
      </w:pPr>
      <w:r>
        <w:rPr>
          <w:rFonts w:hint="eastAsia" w:ascii="Times New Roman" w:hAnsi="Times New Roman" w:eastAsia="宋体" w:cs="Times New Roman"/>
          <w:b/>
          <w:szCs w:val="24"/>
        </w:rPr>
        <w:t>2、提供招标公告中“5、投标人资格要求：”中的相关证明材料扫描件。</w:t>
      </w:r>
    </w:p>
    <w:p>
      <w:pPr>
        <w:ind w:left="632" w:hanging="632" w:hangingChars="300"/>
        <w:rPr>
          <w:rFonts w:ascii="Times New Roman" w:hAnsi="Times New Roman" w:eastAsia="宋体" w:cs="Times New Roman"/>
          <w:b/>
          <w:bCs/>
          <w:szCs w:val="24"/>
        </w:rPr>
      </w:pPr>
    </w:p>
    <w:p>
      <w:pPr>
        <w:ind w:left="632" w:hanging="632" w:hangingChars="300"/>
        <w:rPr>
          <w:rFonts w:ascii="Times New Roman" w:hAnsi="Times New Roman" w:eastAsia="宋体" w:cs="Times New Roman"/>
          <w:b/>
          <w:bCs/>
          <w:szCs w:val="24"/>
        </w:rPr>
      </w:pP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五、投标人资格情况及通过相关认证情况</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六、投标人近期同类业绩</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七、拟安排的项目负责人情况</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八、拟安排的项目团队成员（项目负责人除外）情况</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九、环保执行情况</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十、服务网点情况</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十一、</w:t>
      </w:r>
      <w:r>
        <w:rPr>
          <w:rFonts w:hint="eastAsia" w:ascii="黑体" w:hAnsi="宋体" w:eastAsia="黑体" w:cs="Times New Roman"/>
          <w:bCs/>
          <w:sz w:val="24"/>
          <w:szCs w:val="24"/>
        </w:rPr>
        <w:t>其它招标文件要求的内容及投标人认为需要补充的内容（格式自定）</w:t>
      </w:r>
    </w:p>
    <w:p>
      <w:pPr>
        <w:rPr>
          <w:rFonts w:ascii="Times New Roman" w:hAnsi="Times New Roman" w:eastAsia="宋体" w:cs="Times New Roman"/>
          <w:szCs w:val="24"/>
        </w:rPr>
      </w:pPr>
    </w:p>
    <w:p>
      <w:pPr>
        <w:widowControl/>
        <w:jc w:val="left"/>
        <w:rPr>
          <w:rFonts w:ascii="仿宋_GB2312" w:hAnsi="Times New Roman" w:eastAsia="仿宋_GB2312" w:cs="Times New Roman"/>
          <w:b/>
          <w:sz w:val="30"/>
          <w:szCs w:val="30"/>
        </w:rPr>
      </w:pPr>
      <w:r>
        <w:rPr>
          <w:rFonts w:ascii="仿宋_GB2312" w:hAnsi="Times New Roman" w:eastAsia="仿宋_GB2312" w:cs="Times New Roman"/>
          <w:b/>
          <w:sz w:val="30"/>
          <w:szCs w:val="30"/>
        </w:rPr>
        <w:br w:type="page"/>
      </w:r>
    </w:p>
    <w:p>
      <w:pPr>
        <w:rPr>
          <w:rFonts w:ascii="Times New Roman" w:hAnsi="Times New Roman" w:eastAsia="宋体" w:cs="Times New Roman"/>
          <w:b/>
          <w:sz w:val="30"/>
          <w:szCs w:val="30"/>
        </w:rPr>
      </w:pPr>
      <w:r>
        <w:rPr>
          <w:rFonts w:hint="eastAsia" w:ascii="仿宋_GB2312" w:hAnsi="Times New Roman" w:eastAsia="仿宋_GB2312" w:cs="Times New Roman"/>
          <w:b/>
          <w:sz w:val="30"/>
          <w:szCs w:val="30"/>
        </w:rPr>
        <w:t>投标文件第二部分：</w:t>
      </w:r>
    </w:p>
    <w:p>
      <w:pPr>
        <w:keepNext/>
        <w:keepLines/>
        <w:spacing w:before="260" w:after="260"/>
        <w:jc w:val="center"/>
        <w:outlineLvl w:val="2"/>
        <w:rPr>
          <w:rFonts w:ascii="黑体" w:hAnsi="宋体" w:eastAsia="黑体" w:cs="Times New Roman"/>
          <w:bCs/>
          <w:sz w:val="24"/>
          <w:szCs w:val="24"/>
        </w:rPr>
      </w:pPr>
      <w:r>
        <w:rPr>
          <w:rFonts w:ascii="宋体" w:hAnsi="宋体" w:eastAsia="宋体" w:cs="Times New Roman"/>
          <w:b/>
          <w:bCs/>
          <w:sz w:val="28"/>
          <w:szCs w:val="32"/>
        </w:rPr>
        <w:tab/>
      </w:r>
      <w:r>
        <w:rPr>
          <w:rFonts w:hint="eastAsia" w:ascii="黑体" w:hAnsi="宋体" w:eastAsia="黑体" w:cs="Times New Roman"/>
          <w:bCs/>
          <w:kern w:val="0"/>
          <w:sz w:val="24"/>
          <w:szCs w:val="24"/>
        </w:rPr>
        <w:t>一、法定代表人（</w:t>
      </w:r>
      <w:r>
        <w:rPr>
          <w:rFonts w:ascii="黑体" w:hAnsi="宋体" w:eastAsia="黑体" w:cs="Times New Roman"/>
          <w:bCs/>
          <w:kern w:val="0"/>
          <w:sz w:val="24"/>
          <w:szCs w:val="24"/>
        </w:rPr>
        <w:t>负责人）授权</w:t>
      </w:r>
      <w:r>
        <w:rPr>
          <w:rFonts w:hint="eastAsia" w:ascii="黑体" w:hAnsi="宋体" w:eastAsia="黑体" w:cs="Times New Roman"/>
          <w:bCs/>
          <w:kern w:val="0"/>
          <w:sz w:val="24"/>
          <w:szCs w:val="24"/>
        </w:rPr>
        <w:t>书</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本授权委托书声明：我</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（姓名）系</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（投标人名称）的法定代表人，现授权委托</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（单位名称）的</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（姓名）为我公司签署本项目已递交的投标文件的法定代表人的授权委托代理人，代理人全权代表我所签署的本项目已递交的投标文件内容我均承认。</w:t>
      </w:r>
    </w:p>
    <w:p>
      <w:pPr>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代理人无转委托权，特此委托。</w:t>
      </w:r>
    </w:p>
    <w:p>
      <w:pPr>
        <w:rPr>
          <w:rFonts w:ascii="Times New Roman" w:hAnsi="Times New Roman" w:eastAsia="宋体" w:cs="Times New Roman"/>
          <w:szCs w:val="21"/>
        </w:rPr>
      </w:pPr>
    </w:p>
    <w:p>
      <w:pPr>
        <w:spacing w:line="360" w:lineRule="auto"/>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代理人：</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性别：</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年龄：</w:t>
      </w:r>
      <w:r>
        <w:rPr>
          <w:rFonts w:hint="eastAsia" w:ascii="Times New Roman" w:hAnsi="Times New Roman" w:eastAsia="宋体" w:cs="Times New Roman"/>
          <w:szCs w:val="21"/>
          <w:u w:val="single"/>
        </w:rPr>
        <w:t xml:space="preserve">           </w:t>
      </w:r>
    </w:p>
    <w:p>
      <w:pPr>
        <w:spacing w:line="360" w:lineRule="auto"/>
        <w:ind w:left="540" w:leftChars="257"/>
        <w:rPr>
          <w:rFonts w:ascii="Times New Roman" w:hAnsi="Times New Roman" w:eastAsia="宋体" w:cs="Times New Roman"/>
          <w:szCs w:val="21"/>
        </w:rPr>
      </w:pPr>
      <w:r>
        <w:rPr>
          <w:rFonts w:hint="eastAsia" w:ascii="Times New Roman" w:hAnsi="Times New Roman" w:eastAsia="宋体" w:cs="Times New Roman"/>
          <w:szCs w:val="21"/>
        </w:rPr>
        <w:t>联系电话：</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手机：</w:t>
      </w:r>
      <w:r>
        <w:rPr>
          <w:rFonts w:hint="eastAsia" w:ascii="Times New Roman" w:hAnsi="Times New Roman" w:eastAsia="宋体" w:cs="Times New Roman"/>
          <w:szCs w:val="21"/>
          <w:u w:val="single"/>
        </w:rPr>
        <w:t xml:space="preserve">                   </w:t>
      </w:r>
    </w:p>
    <w:p>
      <w:pPr>
        <w:spacing w:line="360" w:lineRule="auto"/>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身份证号码：</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职务：</w:t>
      </w:r>
      <w:r>
        <w:rPr>
          <w:rFonts w:hint="eastAsia" w:ascii="Times New Roman" w:hAnsi="Times New Roman" w:eastAsia="宋体" w:cs="Times New Roman"/>
          <w:szCs w:val="21"/>
          <w:u w:val="single"/>
        </w:rPr>
        <w:t xml:space="preserve">       </w:t>
      </w:r>
    </w:p>
    <w:p>
      <w:pPr>
        <w:spacing w:line="360" w:lineRule="auto"/>
        <w:ind w:left="540" w:leftChars="257"/>
        <w:rPr>
          <w:rFonts w:ascii="Times New Roman" w:hAnsi="Times New Roman" w:eastAsia="宋体" w:cs="Times New Roman"/>
          <w:szCs w:val="21"/>
        </w:rPr>
      </w:pPr>
      <w:r>
        <w:rPr>
          <w:rFonts w:hint="eastAsia" w:ascii="Times New Roman" w:hAnsi="Times New Roman" w:eastAsia="宋体" w:cs="Times New Roman"/>
          <w:szCs w:val="21"/>
        </w:rPr>
        <w:t>投标人：</w:t>
      </w:r>
      <w:r>
        <w:rPr>
          <w:rFonts w:hint="eastAsia" w:ascii="Times New Roman" w:hAnsi="Times New Roman" w:eastAsia="宋体" w:cs="Times New Roman"/>
          <w:szCs w:val="21"/>
          <w:u w:val="single"/>
        </w:rPr>
        <w:t xml:space="preserve">                                         </w:t>
      </w:r>
    </w:p>
    <w:p>
      <w:pPr>
        <w:spacing w:line="360" w:lineRule="auto"/>
        <w:ind w:left="540" w:leftChars="257"/>
        <w:rPr>
          <w:rFonts w:ascii="Times New Roman" w:hAnsi="Times New Roman" w:eastAsia="宋体" w:cs="Times New Roman"/>
          <w:szCs w:val="21"/>
        </w:rPr>
      </w:pPr>
      <w:r>
        <w:rPr>
          <w:rFonts w:hint="eastAsia" w:ascii="Times New Roman" w:hAnsi="Times New Roman" w:eastAsia="宋体" w:cs="Times New Roman"/>
          <w:szCs w:val="21"/>
        </w:rPr>
        <w:t>法定代表人：</w:t>
      </w:r>
      <w:r>
        <w:rPr>
          <w:rFonts w:hint="eastAsia" w:ascii="Times New Roman" w:hAnsi="Times New Roman" w:eastAsia="宋体" w:cs="Times New Roman"/>
          <w:szCs w:val="21"/>
          <w:u w:val="single"/>
        </w:rPr>
        <w:t xml:space="preserve">                                     （亲笔签名</w:t>
      </w:r>
      <w:r>
        <w:rPr>
          <w:rFonts w:ascii="Times New Roman" w:hAnsi="Times New Roman" w:eastAsia="宋体" w:cs="Times New Roman"/>
          <w:szCs w:val="21"/>
          <w:u w:val="single"/>
        </w:rPr>
        <w:t>或签章</w:t>
      </w:r>
      <w:r>
        <w:rPr>
          <w:rFonts w:hint="eastAsia" w:ascii="Times New Roman" w:hAnsi="Times New Roman" w:eastAsia="宋体" w:cs="Times New Roman"/>
          <w:szCs w:val="21"/>
          <w:u w:val="single"/>
        </w:rPr>
        <w:t>）（公章）</w:t>
      </w:r>
    </w:p>
    <w:p>
      <w:pPr>
        <w:spacing w:line="360" w:lineRule="auto"/>
        <w:ind w:left="540" w:leftChars="257"/>
        <w:rPr>
          <w:rFonts w:ascii="Times New Roman" w:hAnsi="Times New Roman" w:eastAsia="宋体" w:cs="Times New Roman"/>
          <w:szCs w:val="21"/>
        </w:rPr>
      </w:pPr>
      <w:r>
        <w:rPr>
          <w:rFonts w:hint="eastAsia" w:ascii="Times New Roman" w:hAnsi="Times New Roman" w:eastAsia="宋体" w:cs="Times New Roman"/>
          <w:szCs w:val="21"/>
        </w:rPr>
        <w:t>授权委托日期：</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月 </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日</w:t>
      </w:r>
    </w:p>
    <w:p>
      <w:pPr>
        <w:rPr>
          <w:rFonts w:ascii="Times New Roman" w:hAnsi="Times New Roman" w:eastAsia="宋体" w:cs="Times New Roman"/>
          <w:szCs w:val="24"/>
        </w:rPr>
      </w:pP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二、实施方案</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三、项目重点难点分析、应对措施及相关的合理化建议</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四、质量（完成时间、安全、环保）保障措施及方案</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五、项目完成（服务期满）后的服务承诺</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六、违约承诺</w:t>
      </w:r>
    </w:p>
    <w:p>
      <w:pPr>
        <w:widowControl/>
        <w:jc w:val="left"/>
        <w:rPr>
          <w:rFonts w:ascii="黑体" w:hAnsi="宋体" w:eastAsia="黑体" w:cs="Times New Roman"/>
          <w:bCs/>
          <w:kern w:val="0"/>
          <w:sz w:val="24"/>
          <w:szCs w:val="24"/>
        </w:rPr>
      </w:pPr>
      <w:r>
        <w:rPr>
          <w:rFonts w:ascii="黑体" w:hAnsi="宋体" w:eastAsia="黑体" w:cs="Times New Roman"/>
          <w:bCs/>
          <w:kern w:val="0"/>
          <w:sz w:val="24"/>
          <w:szCs w:val="24"/>
        </w:rPr>
        <w:br w:type="page"/>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七、无违法违规行为承诺函</w:t>
      </w:r>
    </w:p>
    <w:p>
      <w:pPr>
        <w:spacing w:line="360" w:lineRule="auto"/>
        <w:rPr>
          <w:rFonts w:ascii="宋体" w:hAnsi="宋体"/>
          <w:sz w:val="24"/>
        </w:rPr>
      </w:pPr>
      <w:r>
        <w:rPr>
          <w:rFonts w:hint="eastAsia" w:ascii="宋体" w:hAnsi="宋体"/>
          <w:sz w:val="24"/>
        </w:rPr>
        <w:t>深圳大学招投标管理中心：</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我公司在参加本次项目投标活动</w:t>
      </w:r>
      <w:r>
        <w:rPr>
          <w:rFonts w:ascii="宋体" w:hAnsi="宋体"/>
          <w:sz w:val="24"/>
        </w:rPr>
        <w:t>中，作出如下承诺</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一</w:t>
      </w:r>
      <w:r>
        <w:rPr>
          <w:rFonts w:ascii="宋体" w:hAnsi="宋体"/>
          <w:sz w:val="24"/>
        </w:rPr>
        <w:t>、参加本次采购活动前三年内，在经营活动中没有重大非法记录，</w:t>
      </w:r>
    </w:p>
    <w:p>
      <w:pPr>
        <w:spacing w:line="360" w:lineRule="auto"/>
        <w:ind w:firstLine="480" w:firstLineChars="200"/>
        <w:rPr>
          <w:rFonts w:ascii="宋体" w:hAnsi="宋体"/>
          <w:sz w:val="24"/>
        </w:rPr>
      </w:pPr>
      <w:r>
        <w:rPr>
          <w:rFonts w:hint="eastAsia" w:ascii="宋体" w:hAnsi="宋体"/>
          <w:sz w:val="24"/>
        </w:rPr>
        <w:t>二</w:t>
      </w:r>
      <w:r>
        <w:rPr>
          <w:rFonts w:ascii="宋体" w:hAnsi="宋体"/>
          <w:sz w:val="24"/>
        </w:rPr>
        <w:t>、未挂靠</w:t>
      </w:r>
      <w:r>
        <w:rPr>
          <w:rFonts w:hint="eastAsia" w:ascii="宋体" w:hAnsi="宋体"/>
          <w:sz w:val="24"/>
        </w:rPr>
        <w:t>、</w:t>
      </w:r>
      <w:r>
        <w:rPr>
          <w:rFonts w:ascii="宋体" w:hAnsi="宋体"/>
          <w:sz w:val="24"/>
        </w:rPr>
        <w:t>借用资质进行投标等违法违规行为，</w:t>
      </w:r>
    </w:p>
    <w:p>
      <w:pPr>
        <w:spacing w:line="360" w:lineRule="auto"/>
        <w:ind w:firstLine="480" w:firstLineChars="200"/>
        <w:rPr>
          <w:rFonts w:ascii="宋体" w:hAnsi="宋体"/>
          <w:sz w:val="24"/>
        </w:rPr>
      </w:pPr>
      <w:r>
        <w:rPr>
          <w:rFonts w:hint="eastAsia" w:ascii="宋体" w:hAnsi="宋体"/>
          <w:sz w:val="24"/>
        </w:rPr>
        <w:t>三</w:t>
      </w:r>
      <w:r>
        <w:rPr>
          <w:rFonts w:ascii="宋体" w:hAnsi="宋体"/>
          <w:sz w:val="24"/>
        </w:rPr>
        <w:t>、提供的相关文件均真实、有效。</w:t>
      </w:r>
    </w:p>
    <w:p>
      <w:pPr>
        <w:spacing w:line="360" w:lineRule="auto"/>
        <w:ind w:firstLine="480" w:firstLineChars="200"/>
        <w:rPr>
          <w:rFonts w:ascii="宋体" w:hAnsi="宋体"/>
          <w:sz w:val="24"/>
        </w:rPr>
      </w:pPr>
      <w:r>
        <w:rPr>
          <w:rFonts w:hint="eastAsia" w:ascii="宋体" w:hAnsi="宋体"/>
          <w:sz w:val="24"/>
        </w:rPr>
        <w:t>若查实</w:t>
      </w:r>
      <w:r>
        <w:rPr>
          <w:rFonts w:ascii="宋体" w:hAnsi="宋体"/>
          <w:sz w:val="24"/>
        </w:rPr>
        <w:t>我公司提供的</w:t>
      </w:r>
      <w:r>
        <w:rPr>
          <w:rFonts w:hint="eastAsia" w:ascii="宋体" w:hAnsi="宋体"/>
          <w:sz w:val="24"/>
        </w:rPr>
        <w:t>资料</w:t>
      </w:r>
      <w:r>
        <w:rPr>
          <w:rFonts w:ascii="宋体" w:hAnsi="宋体"/>
          <w:sz w:val="24"/>
        </w:rPr>
        <w:t>及上述承诺不</w:t>
      </w:r>
      <w:r>
        <w:rPr>
          <w:rFonts w:hint="eastAsia" w:ascii="宋体" w:hAnsi="宋体"/>
          <w:sz w:val="24"/>
        </w:rPr>
        <w:t>属实</w:t>
      </w:r>
      <w:r>
        <w:rPr>
          <w:rFonts w:ascii="宋体" w:hAnsi="宋体"/>
          <w:sz w:val="24"/>
        </w:rPr>
        <w:t>，则招标人有权取消我公司的投标资格及中标资格，且我公司将无条件承担由此给本次招标带来的一切</w:t>
      </w:r>
      <w:r>
        <w:rPr>
          <w:rFonts w:hint="eastAsia" w:ascii="宋体" w:hAnsi="宋体"/>
          <w:sz w:val="24"/>
        </w:rPr>
        <w:t>后果</w:t>
      </w:r>
      <w:r>
        <w:rPr>
          <w:rFonts w:ascii="宋体" w:hAnsi="宋体"/>
          <w:sz w:val="24"/>
        </w:rPr>
        <w:t>（</w:t>
      </w:r>
      <w:r>
        <w:rPr>
          <w:rFonts w:hint="eastAsia" w:ascii="宋体" w:hAnsi="宋体"/>
          <w:sz w:val="24"/>
        </w:rPr>
        <w:t>包括</w:t>
      </w:r>
      <w:r>
        <w:rPr>
          <w:rFonts w:ascii="宋体" w:hAnsi="宋体"/>
          <w:sz w:val="24"/>
        </w:rPr>
        <w:t>经济损失）</w:t>
      </w:r>
      <w:r>
        <w:rPr>
          <w:rFonts w:hint="eastAsia" w:ascii="宋体" w:hAnsi="宋体"/>
          <w:sz w:val="24"/>
        </w:rPr>
        <w:t>。</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特此声明</w:t>
      </w:r>
    </w:p>
    <w:p>
      <w:pPr>
        <w:spacing w:line="360" w:lineRule="auto"/>
        <w:rPr>
          <w:rFonts w:ascii="宋体" w:hAnsi="宋体"/>
          <w:sz w:val="24"/>
        </w:rPr>
      </w:pPr>
      <w:r>
        <w:rPr>
          <w:rFonts w:hint="eastAsia" w:ascii="宋体" w:hAnsi="宋体"/>
          <w:sz w:val="24"/>
        </w:rPr>
        <w:t>投标人名称：</w:t>
      </w:r>
      <w:r>
        <w:rPr>
          <w:rFonts w:hint="eastAsia" w:ascii="宋体" w:hAnsi="宋体"/>
          <w:b/>
          <w:color w:val="FF0000"/>
          <w:sz w:val="24"/>
        </w:rPr>
        <w:t>（加盖公章）</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法定</w:t>
      </w:r>
      <w:r>
        <w:rPr>
          <w:rFonts w:ascii="宋体" w:hAnsi="宋体"/>
          <w:sz w:val="24"/>
        </w:rPr>
        <w:t>代表或</w:t>
      </w:r>
      <w:r>
        <w:rPr>
          <w:rFonts w:hint="eastAsia" w:ascii="宋体" w:hAnsi="宋体"/>
          <w:sz w:val="24"/>
        </w:rPr>
        <w:t>投标代表签名：</w:t>
      </w:r>
    </w:p>
    <w:p>
      <w:pPr>
        <w:spacing w:line="360" w:lineRule="auto"/>
        <w:rPr>
          <w:rFonts w:ascii="宋体" w:hAnsi="宋体" w:eastAsia="宋体" w:cs="Times New Roman"/>
          <w:bCs/>
          <w:sz w:val="24"/>
          <w:szCs w:val="24"/>
        </w:rPr>
      </w:pPr>
      <w:r>
        <w:rPr>
          <w:rFonts w:hint="eastAsia" w:ascii="宋体" w:hAnsi="宋体" w:eastAsia="宋体" w:cs="Times New Roman"/>
          <w:bCs/>
          <w:sz w:val="24"/>
          <w:szCs w:val="24"/>
        </w:rPr>
        <w:t>日期：    年   月  日</w:t>
      </w:r>
    </w:p>
    <w:p>
      <w:pPr>
        <w:widowControl/>
        <w:jc w:val="left"/>
      </w:pPr>
      <w:r>
        <w:br w:type="page"/>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八、</w:t>
      </w:r>
      <w:r>
        <w:rPr>
          <w:rFonts w:hint="eastAsia" w:ascii="黑体" w:hAnsi="宋体" w:eastAsia="黑体" w:cs="Times New Roman"/>
          <w:bCs/>
          <w:sz w:val="24"/>
          <w:szCs w:val="24"/>
        </w:rPr>
        <w:t>其它招标文件要求的内容及投标人认为需要补充的内容</w:t>
      </w:r>
      <w:r>
        <w:rPr>
          <w:rFonts w:hint="eastAsia" w:ascii="黑体" w:hAnsi="宋体" w:eastAsia="黑体" w:cs="Times New Roman"/>
          <w:bCs/>
          <w:kern w:val="0"/>
          <w:sz w:val="24"/>
          <w:szCs w:val="24"/>
        </w:rPr>
        <w:t>（格式自定）</w:t>
      </w:r>
    </w:p>
    <w:p>
      <w:pPr>
        <w:rPr>
          <w:rFonts w:ascii="Times New Roman" w:hAnsi="Times New Roman" w:eastAsia="宋体" w:cs="Times New Roman"/>
          <w:szCs w:val="24"/>
        </w:rPr>
      </w:pPr>
    </w:p>
    <w:p>
      <w:pPr>
        <w:keepNext/>
        <w:keepLines/>
        <w:adjustRightInd w:val="0"/>
        <w:spacing w:before="260" w:after="260"/>
        <w:jc w:val="center"/>
        <w:textAlignment w:val="baseline"/>
        <w:outlineLvl w:val="1"/>
        <w:rPr>
          <w:rFonts w:ascii="宋体" w:hAnsi="宋体" w:eastAsia="宋体" w:cs="Times New Roman"/>
          <w:b/>
          <w:bCs/>
          <w:sz w:val="24"/>
          <w:szCs w:val="20"/>
        </w:rPr>
      </w:pPr>
      <w:r>
        <w:rPr>
          <w:rFonts w:hint="eastAsia" w:ascii="宋体" w:hAnsi="宋体" w:eastAsia="宋体" w:cs="Times New Roman"/>
          <w:b/>
          <w:bCs/>
          <w:sz w:val="24"/>
          <w:szCs w:val="20"/>
        </w:rPr>
        <w:t>第四章  采购合同的签订、履约及验收</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一、重要提示</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（一）中标人将于中标通知书发出之日起十个工作日内，按照招标文件和投标文件内容与采购单位签订书面合同，合同书应采用本招标文件规定的合同样本；</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（二）中标人如不按招标文件 第二册 通用条款第47.1款的规定与采购单位签订合同，则深圳大学</w:t>
      </w:r>
      <w:r>
        <w:rPr>
          <w:rFonts w:ascii="Times New Roman" w:hAnsi="Times New Roman" w:eastAsia="宋体" w:cs="Times New Roman"/>
          <w:szCs w:val="24"/>
        </w:rPr>
        <w:t>招投标管理中心</w:t>
      </w:r>
      <w:r>
        <w:rPr>
          <w:rFonts w:hint="eastAsia" w:ascii="Times New Roman" w:hAnsi="Times New Roman" w:eastAsia="宋体" w:cs="Times New Roman"/>
          <w:szCs w:val="24"/>
        </w:rPr>
        <w:t>有充分的理由废除中标，并没收其投标保证金，给深圳大学造成的损失超过投标担保数额的，还应当对超过部分予以赔偿，同时承担相应法律责任；</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（三）中标人应当按照合同约定履行义务，完成中标项目，不得将中标项目转让（转包）给他人；</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（四）采购人与中标人签订的合同必须遵守本招标文件的合同条件，并且不得更改合同条件。</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（五）采购人与中标人应于合同签订之日起10日内，由采购人或委托中标人将采购合同副本抄送深圳大学</w:t>
      </w:r>
      <w:r>
        <w:rPr>
          <w:rFonts w:ascii="Times New Roman" w:hAnsi="Times New Roman" w:eastAsia="宋体" w:cs="Times New Roman"/>
          <w:szCs w:val="24"/>
        </w:rPr>
        <w:t>招投标管理中心</w:t>
      </w:r>
      <w:r>
        <w:rPr>
          <w:rFonts w:hint="eastAsia" w:ascii="Times New Roman" w:hAnsi="Times New Roman" w:eastAsia="宋体" w:cs="Times New Roman"/>
          <w:szCs w:val="24"/>
        </w:rPr>
        <w:t>备案。</w:t>
      </w:r>
    </w:p>
    <w:p>
      <w:pPr>
        <w:ind w:firstLine="411" w:firstLineChars="196"/>
        <w:rPr>
          <w:rFonts w:ascii="Times New Roman" w:hAnsi="Times New Roman" w:eastAsia="宋体" w:cs="Times New Roman"/>
          <w:szCs w:val="24"/>
        </w:rPr>
      </w:pPr>
      <w:r>
        <w:rPr>
          <w:rFonts w:hint="eastAsia" w:ascii="Times New Roman" w:hAnsi="Times New Roman" w:eastAsia="宋体" w:cs="Times New Roman"/>
          <w:szCs w:val="24"/>
        </w:rPr>
        <w:t>（六）依据</w:t>
      </w:r>
      <w:r>
        <w:rPr>
          <w:rFonts w:ascii="Times New Roman" w:hAnsi="Times New Roman" w:eastAsia="宋体" w:cs="Times New Roman"/>
          <w:szCs w:val="24"/>
        </w:rPr>
        <w:t>相关规定</w:t>
      </w:r>
      <w:r>
        <w:rPr>
          <w:rFonts w:hint="eastAsia" w:ascii="Times New Roman" w:hAnsi="Times New Roman" w:eastAsia="宋体" w:cs="Times New Roman"/>
          <w:szCs w:val="24"/>
        </w:rPr>
        <w:t>，供应商未按规定签订、履行采购合同，造成严重后果的，一至三年内禁止其参与深圳大学的采购，并由深圳大学</w:t>
      </w:r>
      <w:r>
        <w:rPr>
          <w:rFonts w:ascii="Times New Roman" w:hAnsi="Times New Roman" w:eastAsia="宋体" w:cs="Times New Roman"/>
          <w:szCs w:val="24"/>
        </w:rPr>
        <w:t>采购管理</w:t>
      </w:r>
      <w:r>
        <w:rPr>
          <w:rFonts w:hint="eastAsia" w:ascii="Times New Roman" w:hAnsi="Times New Roman" w:eastAsia="宋体" w:cs="Times New Roman"/>
          <w:szCs w:val="24"/>
        </w:rPr>
        <w:t>部门记入供应商诚信档案；情节严重的，取消其参与深圳大学的采购资格；给他人造成损失的，依法承担赔偿责任。</w:t>
      </w:r>
    </w:p>
    <w:p>
      <w:pPr>
        <w:ind w:firstLine="411" w:firstLineChars="196"/>
        <w:rPr>
          <w:rFonts w:ascii="Times New Roman" w:hAnsi="Times New Roman" w:eastAsia="宋体" w:cs="Times New Roman"/>
          <w:szCs w:val="24"/>
        </w:rPr>
      </w:pPr>
      <w:r>
        <w:rPr>
          <w:rFonts w:hint="eastAsia" w:ascii="Times New Roman" w:hAnsi="Times New Roman" w:eastAsia="宋体" w:cs="Times New Roman"/>
          <w:szCs w:val="24"/>
        </w:rPr>
        <w:t>（七）供应商必须诚信投标，对项目需求进行实质性响应。采购单位将组织（必要时，邀请参加本项目投标的供应商）实施项目履约验收，如未按合同履约，将按上述第（六）条规定进行处理。</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二、合同条款及格式（仅供参考）</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三、深圳大学采购履约情况反馈表</w:t>
      </w:r>
    </w:p>
    <w:p>
      <w:pPr>
        <w:spacing w:line="240" w:lineRule="atLeast"/>
        <w:rPr>
          <w:rFonts w:ascii="宋体" w:hAnsi="宋体" w:eastAsia="宋体" w:cs="Times New Roman"/>
          <w:b/>
          <w:szCs w:val="21"/>
        </w:rPr>
      </w:pPr>
      <w:r>
        <w:rPr>
          <w:rFonts w:hint="eastAsia" w:ascii="宋体" w:hAnsi="宋体" w:eastAsia="宋体" w:cs="Times New Roman"/>
          <w:b/>
          <w:szCs w:val="21"/>
        </w:rPr>
        <w:t>采购单位名称：                       联系人及电话：</w:t>
      </w:r>
    </w:p>
    <w:p>
      <w:pPr>
        <w:spacing w:line="60" w:lineRule="exact"/>
        <w:rPr>
          <w:rFonts w:ascii="宋体" w:hAnsi="宋体" w:eastAsia="宋体" w:cs="Times New Roman"/>
          <w:b/>
          <w:szCs w:val="21"/>
        </w:rPr>
      </w:pPr>
    </w:p>
    <w:tbl>
      <w:tblPr>
        <w:tblStyle w:val="42"/>
        <w:tblW w:w="891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2" w:type="dxa"/>
            <w:gridSpan w:val="3"/>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采购项目名称</w:t>
            </w:r>
          </w:p>
        </w:tc>
        <w:tc>
          <w:tcPr>
            <w:tcW w:w="2520" w:type="dxa"/>
            <w:vAlign w:val="center"/>
          </w:tcPr>
          <w:p>
            <w:pPr>
              <w:spacing w:line="240" w:lineRule="atLeast"/>
              <w:jc w:val="center"/>
              <w:rPr>
                <w:rFonts w:ascii="宋体" w:hAnsi="宋体" w:eastAsia="宋体" w:cs="Times New Roman"/>
                <w:szCs w:val="21"/>
              </w:rPr>
            </w:pPr>
          </w:p>
        </w:tc>
        <w:tc>
          <w:tcPr>
            <w:tcW w:w="1980" w:type="dxa"/>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项目编号</w:t>
            </w:r>
          </w:p>
        </w:tc>
        <w:tc>
          <w:tcPr>
            <w:tcW w:w="2135" w:type="dxa"/>
            <w:vAlign w:val="center"/>
          </w:tcPr>
          <w:p>
            <w:pPr>
              <w:spacing w:line="240" w:lineRule="atLeas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中标供应商名称</w:t>
            </w:r>
          </w:p>
        </w:tc>
        <w:tc>
          <w:tcPr>
            <w:tcW w:w="2520" w:type="dxa"/>
            <w:vAlign w:val="center"/>
          </w:tcPr>
          <w:p>
            <w:pPr>
              <w:spacing w:line="240" w:lineRule="atLeast"/>
              <w:jc w:val="center"/>
              <w:rPr>
                <w:rFonts w:ascii="宋体" w:hAnsi="宋体" w:eastAsia="宋体" w:cs="Times New Roman"/>
                <w:szCs w:val="21"/>
              </w:rPr>
            </w:pPr>
          </w:p>
        </w:tc>
        <w:tc>
          <w:tcPr>
            <w:tcW w:w="1980" w:type="dxa"/>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供应商</w:t>
            </w:r>
          </w:p>
          <w:p>
            <w:pPr>
              <w:spacing w:line="240" w:lineRule="atLeast"/>
              <w:jc w:val="center"/>
              <w:rPr>
                <w:rFonts w:ascii="宋体" w:hAnsi="宋体" w:eastAsia="宋体" w:cs="Times New Roman"/>
                <w:szCs w:val="21"/>
              </w:rPr>
            </w:pPr>
            <w:r>
              <w:rPr>
                <w:rFonts w:hint="eastAsia" w:ascii="宋体" w:hAnsi="宋体" w:eastAsia="宋体" w:cs="Times New Roman"/>
                <w:szCs w:val="21"/>
              </w:rPr>
              <w:t>联系人及电话</w:t>
            </w:r>
          </w:p>
        </w:tc>
        <w:tc>
          <w:tcPr>
            <w:tcW w:w="2135" w:type="dxa"/>
            <w:vAlign w:val="center"/>
          </w:tcPr>
          <w:p>
            <w:pPr>
              <w:spacing w:line="240" w:lineRule="atLeas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中标金额</w:t>
            </w:r>
          </w:p>
        </w:tc>
        <w:tc>
          <w:tcPr>
            <w:tcW w:w="2520" w:type="dxa"/>
            <w:vAlign w:val="center"/>
          </w:tcPr>
          <w:p>
            <w:pPr>
              <w:spacing w:line="240" w:lineRule="atLeast"/>
              <w:jc w:val="center"/>
              <w:rPr>
                <w:rFonts w:ascii="宋体" w:hAnsi="宋体" w:eastAsia="宋体" w:cs="Times New Roman"/>
                <w:szCs w:val="21"/>
              </w:rPr>
            </w:pPr>
          </w:p>
        </w:tc>
        <w:tc>
          <w:tcPr>
            <w:tcW w:w="1980" w:type="dxa"/>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合同履约时间</w:t>
            </w:r>
          </w:p>
        </w:tc>
        <w:tc>
          <w:tcPr>
            <w:tcW w:w="2135" w:type="dxa"/>
            <w:vAlign w:val="center"/>
          </w:tcPr>
          <w:p>
            <w:pPr>
              <w:spacing w:line="240" w:lineRule="atLeast"/>
              <w:rPr>
                <w:rFonts w:ascii="宋体" w:hAnsi="宋体" w:eastAsia="宋体" w:cs="Times New Roman"/>
                <w:szCs w:val="21"/>
              </w:rPr>
            </w:pPr>
            <w:r>
              <w:rPr>
                <w:rFonts w:hint="eastAsia" w:ascii="宋体" w:hAnsi="宋体" w:eastAsia="宋体" w:cs="Times New Roman"/>
                <w:szCs w:val="21"/>
              </w:rPr>
              <w:t>自       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vAlign w:val="center"/>
          </w:tcPr>
          <w:p>
            <w:pPr>
              <w:spacing w:line="240" w:lineRule="atLeast"/>
              <w:jc w:val="center"/>
              <w:rPr>
                <w:rFonts w:ascii="宋体" w:hAnsi="宋体" w:eastAsia="宋体" w:cs="Times New Roman"/>
                <w:b/>
                <w:szCs w:val="21"/>
              </w:rPr>
            </w:pPr>
            <w:r>
              <w:rPr>
                <w:rFonts w:hint="eastAsia" w:ascii="宋体" w:hAnsi="宋体" w:eastAsia="宋体" w:cs="Times New Roman"/>
                <w:b/>
                <w:szCs w:val="21"/>
              </w:rPr>
              <w:t>履约情况评价</w:t>
            </w:r>
          </w:p>
        </w:tc>
        <w:tc>
          <w:tcPr>
            <w:tcW w:w="1440" w:type="dxa"/>
            <w:gridSpan w:val="2"/>
            <w:tcBorders>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总体评价</w:t>
            </w:r>
          </w:p>
        </w:tc>
        <w:tc>
          <w:tcPr>
            <w:tcW w:w="6635" w:type="dxa"/>
            <w:gridSpan w:val="3"/>
            <w:tcBorders>
              <w:left w:val="single" w:color="auto" w:sz="4" w:space="0"/>
            </w:tcBorders>
            <w:vAlign w:val="center"/>
          </w:tcPr>
          <w:p>
            <w:pPr>
              <w:spacing w:line="240" w:lineRule="atLeast"/>
              <w:ind w:firstLine="105" w:firstLineChars="50"/>
              <w:jc w:val="center"/>
              <w:rPr>
                <w:rFonts w:ascii="宋体" w:hAnsi="宋体" w:eastAsia="宋体" w:cs="Times New Roman"/>
                <w:szCs w:val="21"/>
              </w:rPr>
            </w:pPr>
            <w:r>
              <w:rPr>
                <w:rFonts w:hint="eastAsia" w:ascii="宋体" w:hAnsi="宋体" w:eastAsia="宋体" w:cs="Times New Roman"/>
                <w:szCs w:val="21"/>
              </w:rPr>
              <w:t>□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eastAsia="宋体" w:cs="Times New Roman"/>
                <w:szCs w:val="21"/>
              </w:rPr>
            </w:pPr>
          </w:p>
        </w:tc>
        <w:tc>
          <w:tcPr>
            <w:tcW w:w="720" w:type="dxa"/>
            <w:vMerge w:val="restart"/>
            <w:tcBorders>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分项评价</w:t>
            </w:r>
          </w:p>
        </w:tc>
        <w:tc>
          <w:tcPr>
            <w:tcW w:w="720" w:type="dxa"/>
            <w:tcBorders>
              <w:left w:val="single" w:color="auto" w:sz="4" w:space="0"/>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质量方面</w:t>
            </w:r>
          </w:p>
        </w:tc>
        <w:tc>
          <w:tcPr>
            <w:tcW w:w="6635" w:type="dxa"/>
            <w:gridSpan w:val="3"/>
            <w:tcBorders>
              <w:lef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eastAsia="宋体" w:cs="Times New Roman"/>
                <w:szCs w:val="21"/>
              </w:rPr>
            </w:pPr>
          </w:p>
        </w:tc>
        <w:tc>
          <w:tcPr>
            <w:tcW w:w="720" w:type="dxa"/>
            <w:vMerge w:val="continue"/>
            <w:tcBorders>
              <w:right w:val="single" w:color="auto" w:sz="4" w:space="0"/>
            </w:tcBorders>
            <w:vAlign w:val="center"/>
          </w:tcPr>
          <w:p>
            <w:pPr>
              <w:spacing w:line="240" w:lineRule="atLeast"/>
              <w:jc w:val="center"/>
              <w:rPr>
                <w:rFonts w:ascii="宋体" w:hAnsi="宋体" w:eastAsia="宋体" w:cs="Times New Roman"/>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价格方面</w:t>
            </w:r>
          </w:p>
        </w:tc>
        <w:tc>
          <w:tcPr>
            <w:tcW w:w="6635" w:type="dxa"/>
            <w:gridSpan w:val="3"/>
            <w:tcBorders>
              <w:lef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eastAsia="宋体" w:cs="Times New Roman"/>
                <w:szCs w:val="21"/>
              </w:rPr>
            </w:pPr>
          </w:p>
        </w:tc>
        <w:tc>
          <w:tcPr>
            <w:tcW w:w="720" w:type="dxa"/>
            <w:vMerge w:val="continue"/>
            <w:tcBorders>
              <w:right w:val="single" w:color="auto" w:sz="4" w:space="0"/>
            </w:tcBorders>
            <w:vAlign w:val="center"/>
          </w:tcPr>
          <w:p>
            <w:pPr>
              <w:spacing w:line="240" w:lineRule="atLeast"/>
              <w:jc w:val="center"/>
              <w:rPr>
                <w:rFonts w:ascii="宋体" w:hAnsi="宋体" w:eastAsia="宋体" w:cs="Times New Roman"/>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服务方面</w:t>
            </w:r>
          </w:p>
        </w:tc>
        <w:tc>
          <w:tcPr>
            <w:tcW w:w="6635" w:type="dxa"/>
            <w:gridSpan w:val="3"/>
            <w:tcBorders>
              <w:lef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eastAsia="宋体" w:cs="Times New Roman"/>
                <w:szCs w:val="21"/>
              </w:rPr>
            </w:pPr>
          </w:p>
        </w:tc>
        <w:tc>
          <w:tcPr>
            <w:tcW w:w="720" w:type="dxa"/>
            <w:vMerge w:val="continue"/>
            <w:tcBorders>
              <w:right w:val="single" w:color="auto" w:sz="4" w:space="0"/>
            </w:tcBorders>
            <w:vAlign w:val="center"/>
          </w:tcPr>
          <w:p>
            <w:pPr>
              <w:spacing w:line="240" w:lineRule="atLeast"/>
              <w:jc w:val="center"/>
              <w:rPr>
                <w:rFonts w:ascii="宋体" w:hAnsi="宋体" w:eastAsia="宋体" w:cs="Times New Roman"/>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时间方面</w:t>
            </w:r>
          </w:p>
        </w:tc>
        <w:tc>
          <w:tcPr>
            <w:tcW w:w="6635" w:type="dxa"/>
            <w:gridSpan w:val="3"/>
            <w:tcBorders>
              <w:lef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eastAsia="宋体" w:cs="Times New Roman"/>
                <w:szCs w:val="21"/>
              </w:rPr>
            </w:pPr>
          </w:p>
        </w:tc>
        <w:tc>
          <w:tcPr>
            <w:tcW w:w="720" w:type="dxa"/>
            <w:vMerge w:val="continue"/>
            <w:tcBorders>
              <w:right w:val="single" w:color="auto" w:sz="4" w:space="0"/>
            </w:tcBorders>
            <w:vAlign w:val="center"/>
          </w:tcPr>
          <w:p>
            <w:pPr>
              <w:spacing w:line="240" w:lineRule="atLeast"/>
              <w:jc w:val="center"/>
              <w:rPr>
                <w:rFonts w:ascii="宋体" w:hAnsi="宋体" w:eastAsia="宋体" w:cs="Times New Roman"/>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环境保护</w:t>
            </w:r>
          </w:p>
        </w:tc>
        <w:tc>
          <w:tcPr>
            <w:tcW w:w="6635" w:type="dxa"/>
            <w:gridSpan w:val="3"/>
            <w:tcBorders>
              <w:lef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eastAsia="宋体" w:cs="Times New Roman"/>
                <w:szCs w:val="21"/>
              </w:rPr>
            </w:pPr>
          </w:p>
        </w:tc>
        <w:tc>
          <w:tcPr>
            <w:tcW w:w="720" w:type="dxa"/>
            <w:vMerge w:val="continue"/>
            <w:tcBorders>
              <w:right w:val="single" w:color="auto" w:sz="4" w:space="0"/>
            </w:tcBorders>
            <w:vAlign w:val="center"/>
          </w:tcPr>
          <w:p>
            <w:pPr>
              <w:spacing w:line="240" w:lineRule="atLeast"/>
              <w:jc w:val="center"/>
              <w:rPr>
                <w:rFonts w:ascii="宋体" w:hAnsi="宋体" w:eastAsia="宋体" w:cs="Times New Roman"/>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其他</w:t>
            </w:r>
          </w:p>
        </w:tc>
        <w:tc>
          <w:tcPr>
            <w:tcW w:w="6635" w:type="dxa"/>
            <w:gridSpan w:val="3"/>
            <w:tcBorders>
              <w:left w:val="single" w:color="auto" w:sz="4" w:space="0"/>
            </w:tcBorders>
            <w:vAlign w:val="center"/>
          </w:tcPr>
          <w:p>
            <w:pPr>
              <w:spacing w:before="231" w:beforeLines="50" w:after="231" w:afterLines="50" w:line="240" w:lineRule="atLeast"/>
              <w:rPr>
                <w:rFonts w:ascii="宋体" w:hAnsi="宋体" w:eastAsia="宋体" w:cs="Times New Roman"/>
                <w:szCs w:val="21"/>
                <w:u w:val="single"/>
              </w:rPr>
            </w:pPr>
            <w:r>
              <w:rPr>
                <w:rFonts w:hint="eastAsia" w:ascii="宋体" w:hAnsi="宋体" w:eastAsia="宋体" w:cs="Times New Roman"/>
                <w:szCs w:val="21"/>
              </w:rPr>
              <w:t>评价内容为：</w:t>
            </w:r>
            <w:r>
              <w:rPr>
                <w:rFonts w:hint="eastAsia" w:ascii="宋体" w:hAnsi="宋体" w:eastAsia="宋体" w:cs="Times New Roman"/>
                <w:szCs w:val="21"/>
                <w:u w:val="single"/>
              </w:rPr>
              <w:t xml:space="preserve">                    </w:t>
            </w:r>
          </w:p>
          <w:p>
            <w:pPr>
              <w:spacing w:before="231" w:beforeLines="50" w:after="231" w:afterLines="50" w:line="240" w:lineRule="atLeast"/>
              <w:rPr>
                <w:rFonts w:ascii="宋体" w:hAnsi="宋体" w:eastAsia="宋体" w:cs="Times New Roman"/>
                <w:szCs w:val="21"/>
              </w:rPr>
            </w:pPr>
            <w:r>
              <w:rPr>
                <w:rFonts w:hint="eastAsia" w:ascii="宋体" w:hAnsi="宋体" w:eastAsia="宋体" w:cs="Times New Roman"/>
                <w:szCs w:val="21"/>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61" w:hRule="atLeast"/>
          <w:jc w:val="center"/>
        </w:trPr>
        <w:tc>
          <w:tcPr>
            <w:tcW w:w="1562" w:type="dxa"/>
            <w:gridSpan w:val="2"/>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具体情况说明</w:t>
            </w:r>
          </w:p>
        </w:tc>
        <w:tc>
          <w:tcPr>
            <w:tcW w:w="7355" w:type="dxa"/>
            <w:gridSpan w:val="4"/>
          </w:tcPr>
          <w:p>
            <w:pPr>
              <w:spacing w:line="240" w:lineRule="atLeast"/>
              <w:rPr>
                <w:rFonts w:ascii="宋体" w:hAnsi="宋体" w:eastAsia="宋体" w:cs="Times New Roman"/>
                <w:szCs w:val="21"/>
              </w:rPr>
            </w:pPr>
          </w:p>
          <w:p>
            <w:pPr>
              <w:spacing w:line="240" w:lineRule="atLeas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10" w:hRule="atLeast"/>
          <w:jc w:val="center"/>
        </w:trPr>
        <w:tc>
          <w:tcPr>
            <w:tcW w:w="1562" w:type="dxa"/>
            <w:gridSpan w:val="2"/>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采购单位意见</w:t>
            </w:r>
          </w:p>
          <w:p>
            <w:pPr>
              <w:spacing w:line="240" w:lineRule="atLeast"/>
              <w:jc w:val="center"/>
              <w:rPr>
                <w:rFonts w:ascii="宋体" w:hAnsi="宋体" w:eastAsia="宋体" w:cs="Times New Roman"/>
                <w:szCs w:val="21"/>
              </w:rPr>
            </w:pPr>
            <w:r>
              <w:rPr>
                <w:rFonts w:hint="eastAsia" w:ascii="宋体" w:hAnsi="宋体" w:eastAsia="宋体" w:cs="Times New Roman"/>
                <w:szCs w:val="21"/>
              </w:rPr>
              <w:t>（公章）</w:t>
            </w:r>
          </w:p>
        </w:tc>
        <w:tc>
          <w:tcPr>
            <w:tcW w:w="7355" w:type="dxa"/>
            <w:gridSpan w:val="4"/>
            <w:vAlign w:val="center"/>
          </w:tcPr>
          <w:p>
            <w:pPr>
              <w:spacing w:line="240" w:lineRule="atLeast"/>
              <w:rPr>
                <w:rFonts w:ascii="宋体" w:hAnsi="宋体" w:eastAsia="宋体" w:cs="Times New Roman"/>
                <w:szCs w:val="21"/>
              </w:rPr>
            </w:pPr>
            <w:r>
              <w:rPr>
                <w:rFonts w:hint="eastAsia" w:ascii="宋体" w:hAnsi="宋体" w:eastAsia="宋体" w:cs="Times New Roman"/>
                <w:szCs w:val="21"/>
              </w:rPr>
              <w:t xml:space="preserve">                               </w:t>
            </w:r>
          </w:p>
          <w:p>
            <w:pPr>
              <w:spacing w:line="240" w:lineRule="atLeast"/>
              <w:ind w:firstLine="3780" w:firstLineChars="1800"/>
              <w:rPr>
                <w:rFonts w:ascii="宋体" w:hAnsi="宋体" w:eastAsia="宋体" w:cs="Times New Roman"/>
                <w:szCs w:val="21"/>
              </w:rPr>
            </w:pPr>
          </w:p>
          <w:p>
            <w:pPr>
              <w:spacing w:line="240" w:lineRule="atLeast"/>
              <w:ind w:firstLine="3780" w:firstLineChars="1800"/>
              <w:rPr>
                <w:rFonts w:ascii="宋体" w:hAnsi="宋体" w:eastAsia="宋体" w:cs="Times New Roman"/>
                <w:szCs w:val="21"/>
              </w:rPr>
            </w:pPr>
            <w:r>
              <w:rPr>
                <w:rFonts w:hint="eastAsia" w:ascii="宋体" w:hAnsi="宋体" w:eastAsia="宋体" w:cs="Times New Roman"/>
                <w:szCs w:val="21"/>
              </w:rPr>
              <w:t>日期：   年   月   日</w:t>
            </w:r>
          </w:p>
        </w:tc>
      </w:tr>
    </w:tbl>
    <w:p>
      <w:pPr>
        <w:spacing w:line="240" w:lineRule="atLeast"/>
        <w:rPr>
          <w:rFonts w:ascii="宋体" w:hAnsi="宋体" w:eastAsia="宋体" w:cs="Times New Roman"/>
          <w:szCs w:val="21"/>
        </w:rPr>
      </w:pPr>
      <w:r>
        <w:rPr>
          <w:rFonts w:hint="eastAsia" w:ascii="宋体" w:hAnsi="宋体" w:eastAsia="宋体" w:cs="Times New Roman"/>
          <w:szCs w:val="21"/>
        </w:rPr>
        <w:t>说明：</w:t>
      </w:r>
    </w:p>
    <w:p>
      <w:pPr>
        <w:spacing w:line="240" w:lineRule="atLeast"/>
        <w:rPr>
          <w:rFonts w:ascii="宋体" w:hAnsi="宋体" w:eastAsia="宋体" w:cs="Times New Roman"/>
          <w:szCs w:val="21"/>
        </w:rPr>
      </w:pPr>
      <w:r>
        <w:rPr>
          <w:rFonts w:hint="eastAsia" w:ascii="宋体" w:hAnsi="宋体" w:eastAsia="宋体" w:cs="Times New Roman"/>
          <w:szCs w:val="21"/>
        </w:rPr>
        <w:t>1、本表为采购单位向深圳</w:t>
      </w:r>
      <w:r>
        <w:rPr>
          <w:rFonts w:ascii="宋体" w:hAnsi="宋体" w:eastAsia="宋体" w:cs="Times New Roman"/>
          <w:szCs w:val="21"/>
        </w:rPr>
        <w:t>大学招投标管理中心反映</w:t>
      </w:r>
      <w:r>
        <w:rPr>
          <w:rFonts w:hint="eastAsia" w:ascii="宋体" w:hAnsi="宋体" w:eastAsia="宋体" w:cs="Times New Roman"/>
          <w:szCs w:val="21"/>
        </w:rPr>
        <w:t>深圳</w:t>
      </w:r>
      <w:r>
        <w:rPr>
          <w:rFonts w:ascii="宋体" w:hAnsi="宋体" w:eastAsia="宋体" w:cs="Times New Roman"/>
          <w:szCs w:val="21"/>
        </w:rPr>
        <w:t>大学</w:t>
      </w:r>
      <w:r>
        <w:rPr>
          <w:rFonts w:hint="eastAsia" w:ascii="宋体" w:hAnsi="宋体" w:eastAsia="宋体" w:cs="Times New Roman"/>
          <w:szCs w:val="21"/>
        </w:rPr>
        <w:t>采购项目履约情况时所用；</w:t>
      </w:r>
    </w:p>
    <w:p>
      <w:pPr>
        <w:spacing w:line="240" w:lineRule="atLeast"/>
        <w:rPr>
          <w:rFonts w:ascii="宋体" w:hAnsi="宋体" w:eastAsia="宋体" w:cs="Times New Roman"/>
          <w:szCs w:val="21"/>
        </w:rPr>
      </w:pPr>
      <w:r>
        <w:rPr>
          <w:rFonts w:hint="eastAsia" w:ascii="宋体" w:hAnsi="宋体" w:eastAsia="宋体" w:cs="Times New Roman"/>
          <w:szCs w:val="21"/>
        </w:rPr>
        <w:t>2、履约情况评价分为优、良、中、差四个等级，请在对应的框前打“√”，然后在“具体情况说明”一栏详细说明有关情况。</w:t>
      </w:r>
    </w:p>
    <w:p>
      <w:pPr>
        <w:spacing w:line="240" w:lineRule="atLeast"/>
        <w:rPr>
          <w:rFonts w:ascii="宋体" w:hAnsi="宋体" w:eastAsia="宋体" w:cs="Times New Roman"/>
          <w:szCs w:val="21"/>
        </w:rPr>
      </w:pPr>
    </w:p>
    <w:p>
      <w:pPr>
        <w:spacing w:line="240" w:lineRule="atLeast"/>
        <w:rPr>
          <w:rFonts w:ascii="宋体" w:hAnsi="宋体" w:eastAsia="宋体" w:cs="Times New Roman"/>
          <w:szCs w:val="21"/>
        </w:rPr>
      </w:pPr>
    </w:p>
    <w:p>
      <w:pPr>
        <w:pStyle w:val="2"/>
        <w:rPr>
          <w:sz w:val="44"/>
        </w:rPr>
      </w:pPr>
      <w:r>
        <w:rPr>
          <w:rFonts w:hint="eastAsia"/>
        </w:rPr>
        <w:t>第二册</w:t>
      </w:r>
      <w:r>
        <w:t xml:space="preserve">  </w:t>
      </w:r>
      <w:r>
        <w:rPr>
          <w:rFonts w:hint="eastAsia"/>
        </w:rPr>
        <w:t>通用条款（公开招标）</w:t>
      </w:r>
    </w:p>
    <w:p>
      <w:pPr>
        <w:jc w:val="center"/>
        <w:rPr>
          <w:rFonts w:ascii="宋体" w:hAnsi="宋体"/>
          <w:b/>
          <w:color w:val="FF0000"/>
          <w:sz w:val="28"/>
          <w:szCs w:val="28"/>
        </w:rPr>
      </w:pPr>
      <w:r>
        <w:rPr>
          <w:rFonts w:hint="eastAsia" w:ascii="宋体" w:hAnsi="宋体"/>
          <w:b/>
          <w:color w:val="FF0000"/>
          <w:sz w:val="28"/>
          <w:szCs w:val="28"/>
        </w:rPr>
        <w:t>（1.4.1版本）</w:t>
      </w:r>
    </w:p>
    <w:p>
      <w:pPr>
        <w:keepNext/>
        <w:keepLines/>
        <w:numPr>
          <w:ilvl w:val="0"/>
          <w:numId w:val="13"/>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总则</w:t>
      </w:r>
    </w:p>
    <w:p>
      <w:pPr>
        <w:spacing w:line="360" w:lineRule="auto"/>
        <w:rPr>
          <w:rFonts w:ascii="黑体" w:hAnsi="宋体" w:eastAsia="黑体"/>
          <w:sz w:val="24"/>
          <w:szCs w:val="24"/>
        </w:rPr>
      </w:pPr>
      <w:r>
        <w:rPr>
          <w:rFonts w:hint="eastAsia" w:ascii="黑体" w:hAnsi="宋体" w:eastAsia="黑体"/>
          <w:sz w:val="24"/>
        </w:rPr>
        <w:t>1.通用条款说明</w:t>
      </w:r>
    </w:p>
    <w:p>
      <w:pPr>
        <w:ind w:firstLine="411" w:firstLineChars="196"/>
        <w:rPr>
          <w:rFonts w:ascii="宋体" w:hAnsi="宋体" w:eastAsia="宋体"/>
          <w:szCs w:val="21"/>
        </w:rPr>
      </w:pPr>
      <w:r>
        <w:rPr>
          <w:rFonts w:hint="eastAsia" w:ascii="宋体" w:hAnsi="宋体"/>
          <w:szCs w:val="21"/>
        </w:rPr>
        <w:t>1.1深圳大学招投标管理中心发出招标文件通用条款版本，列出深圳大学采购项目进行招标采购所适用的通用条款内容。如有需要，深圳大学招投标管理中心可以对通用条款增加附录或补充内容。</w:t>
      </w:r>
    </w:p>
    <w:p>
      <w:pPr>
        <w:ind w:firstLine="411" w:firstLineChars="196"/>
        <w:rPr>
          <w:rFonts w:ascii="宋体" w:hAnsi="宋体"/>
          <w:szCs w:val="21"/>
        </w:rPr>
      </w:pPr>
      <w:r>
        <w:rPr>
          <w:rFonts w:hint="eastAsia" w:ascii="宋体" w:hAnsi="宋体"/>
          <w:szCs w:val="21"/>
        </w:rPr>
        <w:t>1.2招标文件分为第一册“专用条款”和第二册“通用条款”。</w:t>
      </w:r>
    </w:p>
    <w:p>
      <w:pPr>
        <w:ind w:firstLine="411" w:firstLineChars="196"/>
        <w:rPr>
          <w:rFonts w:ascii="宋体" w:hAnsi="宋体"/>
          <w:szCs w:val="21"/>
        </w:rPr>
      </w:pPr>
      <w:r>
        <w:rPr>
          <w:rFonts w:hint="eastAsia" w:ascii="宋体" w:hAnsi="宋体"/>
          <w:szCs w:val="21"/>
        </w:rPr>
        <w:t>1.3“专用条款”是对本次采购项目的具体要求，包含投标人资格要求、招标项目需求、投标文件格式、附件等内容。</w:t>
      </w:r>
    </w:p>
    <w:p>
      <w:pPr>
        <w:ind w:firstLine="411" w:firstLineChars="196"/>
        <w:rPr>
          <w:rFonts w:ascii="宋体" w:hAnsi="宋体"/>
          <w:szCs w:val="21"/>
        </w:rPr>
      </w:pPr>
      <w:r>
        <w:rPr>
          <w:rFonts w:hint="eastAsia" w:ascii="宋体" w:hAnsi="宋体"/>
          <w:szCs w:val="21"/>
        </w:rPr>
        <w:t>1.4“通用条款”是适用于采购项目的基础性条款，具有普遍性和通用性。</w:t>
      </w:r>
    </w:p>
    <w:p>
      <w:pPr>
        <w:ind w:firstLine="411" w:firstLineChars="196"/>
        <w:rPr>
          <w:rFonts w:ascii="宋体" w:hAnsi="宋体"/>
          <w:szCs w:val="21"/>
        </w:rPr>
      </w:pPr>
      <w:r>
        <w:rPr>
          <w:rFonts w:hint="eastAsia" w:ascii="宋体" w:hAnsi="宋体"/>
          <w:szCs w:val="21"/>
        </w:rPr>
        <w:t>1.5 “专用条款”和“通用条款”表述不一致或有冲突时，以“专用条款”为准。</w:t>
      </w:r>
    </w:p>
    <w:p>
      <w:pPr>
        <w:spacing w:line="360" w:lineRule="auto"/>
        <w:rPr>
          <w:rFonts w:ascii="黑体" w:hAnsi="宋体" w:eastAsia="黑体"/>
          <w:sz w:val="24"/>
          <w:szCs w:val="24"/>
        </w:rPr>
      </w:pPr>
      <w:r>
        <w:rPr>
          <w:rFonts w:hint="eastAsia" w:ascii="黑体" w:hAnsi="宋体" w:eastAsia="黑体"/>
          <w:sz w:val="24"/>
        </w:rPr>
        <w:t>2．招标说明</w:t>
      </w:r>
    </w:p>
    <w:p>
      <w:pPr>
        <w:ind w:firstLine="411" w:firstLineChars="196"/>
        <w:rPr>
          <w:rFonts w:ascii="宋体" w:hAnsi="宋体" w:eastAsia="宋体"/>
          <w:szCs w:val="21"/>
        </w:rPr>
      </w:pPr>
      <w:r>
        <w:rPr>
          <w:rFonts w:hint="eastAsia" w:ascii="宋体" w:hAnsi="宋体"/>
          <w:szCs w:val="21"/>
        </w:rPr>
        <w:t>本项目按照《深圳经济特区政府采购条例》、 《深圳经济特区政府采购条例实施细则》和深圳大学的有关规定，并参考有关法规和规定通过招标方式确定中标供应商。</w:t>
      </w:r>
    </w:p>
    <w:p>
      <w:pPr>
        <w:spacing w:line="360" w:lineRule="auto"/>
        <w:rPr>
          <w:rFonts w:ascii="黑体" w:hAnsi="宋体" w:eastAsia="黑体"/>
          <w:sz w:val="24"/>
          <w:szCs w:val="24"/>
        </w:rPr>
      </w:pPr>
      <w:r>
        <w:rPr>
          <w:rFonts w:hint="eastAsia" w:ascii="黑体" w:hAnsi="宋体" w:eastAsia="黑体"/>
          <w:sz w:val="24"/>
        </w:rPr>
        <w:t>3．定义</w:t>
      </w:r>
    </w:p>
    <w:p>
      <w:pPr>
        <w:ind w:firstLine="420" w:firstLineChars="200"/>
        <w:rPr>
          <w:rFonts w:ascii="宋体" w:hAnsi="宋体" w:eastAsia="宋体"/>
          <w:szCs w:val="21"/>
        </w:rPr>
      </w:pPr>
      <w:r>
        <w:rPr>
          <w:rFonts w:hint="eastAsia" w:ascii="宋体" w:hAnsi="宋体"/>
          <w:szCs w:val="21"/>
        </w:rPr>
        <w:t>招标文件中下列术语应解释为：</w:t>
      </w:r>
    </w:p>
    <w:p>
      <w:pPr>
        <w:ind w:firstLine="411" w:firstLineChars="196"/>
        <w:rPr>
          <w:rFonts w:ascii="宋体" w:hAnsi="宋体"/>
          <w:szCs w:val="21"/>
        </w:rPr>
      </w:pPr>
      <w:r>
        <w:rPr>
          <w:rFonts w:hint="eastAsia" w:ascii="宋体" w:hAnsi="宋体"/>
          <w:szCs w:val="21"/>
        </w:rPr>
        <w:t>3.1“学校采购机构”系指深圳大学招投标管理中心；</w:t>
      </w:r>
    </w:p>
    <w:p>
      <w:pPr>
        <w:ind w:firstLine="411" w:firstLineChars="196"/>
        <w:rPr>
          <w:rFonts w:ascii="宋体" w:hAnsi="宋体"/>
          <w:szCs w:val="21"/>
        </w:rPr>
      </w:pPr>
      <w:r>
        <w:rPr>
          <w:rFonts w:hint="eastAsia" w:ascii="宋体" w:hAnsi="宋体"/>
          <w:szCs w:val="21"/>
        </w:rPr>
        <w:t xml:space="preserve">3.2“采购人”或“采购单位”：系指深圳大学、深圳大学下属单位； </w:t>
      </w:r>
    </w:p>
    <w:p>
      <w:pPr>
        <w:ind w:firstLine="411" w:firstLineChars="196"/>
        <w:rPr>
          <w:rFonts w:ascii="宋体" w:hAnsi="宋体"/>
          <w:szCs w:val="21"/>
        </w:rPr>
      </w:pPr>
      <w:r>
        <w:rPr>
          <w:rFonts w:hint="eastAsia" w:ascii="宋体" w:hAnsi="宋体"/>
          <w:szCs w:val="21"/>
        </w:rPr>
        <w:t>3.3“投标人”或“投标方”，即供应商，是指参加投标竞争并愿意按照招标文件要求向采购人提供货物、工程或者服务的依法成立的法人、其他组织或者自然人；</w:t>
      </w:r>
    </w:p>
    <w:p>
      <w:pPr>
        <w:ind w:firstLine="411" w:firstLineChars="196"/>
        <w:rPr>
          <w:rFonts w:ascii="宋体" w:hAnsi="宋体"/>
          <w:szCs w:val="21"/>
        </w:rPr>
      </w:pPr>
      <w:r>
        <w:rPr>
          <w:rFonts w:hint="eastAsia" w:ascii="宋体" w:hAnsi="宋体"/>
          <w:szCs w:val="21"/>
        </w:rPr>
        <w:t>3.4“评审委员会”和“谈判小组”是依据《深圳经济特区政府采购条例》、《深圳经济特区政府采购条例实施细则》和深圳大学的有关规定组建的专门负责本次招标的评审（谈判）工作的临时性机构；</w:t>
      </w:r>
    </w:p>
    <w:p>
      <w:pPr>
        <w:ind w:firstLine="411" w:firstLineChars="196"/>
        <w:rPr>
          <w:rFonts w:ascii="宋体" w:hAnsi="宋体"/>
          <w:szCs w:val="21"/>
        </w:rPr>
      </w:pPr>
      <w:r>
        <w:rPr>
          <w:rFonts w:hint="eastAsia" w:ascii="宋体" w:hAnsi="宋体"/>
          <w:szCs w:val="21"/>
        </w:rPr>
        <w:t>3.5“日期”指公历日；</w:t>
      </w:r>
    </w:p>
    <w:p>
      <w:pPr>
        <w:ind w:firstLine="411" w:firstLineChars="196"/>
        <w:rPr>
          <w:rFonts w:ascii="宋体" w:hAnsi="宋体"/>
          <w:szCs w:val="21"/>
        </w:rPr>
      </w:pPr>
      <w:r>
        <w:rPr>
          <w:rFonts w:hint="eastAsia" w:ascii="宋体" w:hAnsi="宋体"/>
          <w:szCs w:val="21"/>
        </w:rPr>
        <w:t>3.6“时间”如未特别说明，均为北京时间；</w:t>
      </w:r>
    </w:p>
    <w:p>
      <w:pPr>
        <w:ind w:firstLine="411" w:firstLineChars="196"/>
        <w:rPr>
          <w:rFonts w:ascii="宋体" w:hAnsi="宋体"/>
          <w:szCs w:val="21"/>
        </w:rPr>
      </w:pPr>
      <w:r>
        <w:rPr>
          <w:rFonts w:hint="eastAsia" w:ascii="宋体" w:hAnsi="宋体"/>
          <w:szCs w:val="21"/>
        </w:rPr>
        <w:t>3.7“合同”指由本次招标所产生的合同或合约文件；</w:t>
      </w:r>
    </w:p>
    <w:p>
      <w:pPr>
        <w:ind w:firstLine="411" w:firstLineChars="196"/>
        <w:rPr>
          <w:rFonts w:ascii="宋体" w:hAnsi="宋体"/>
          <w:szCs w:val="21"/>
        </w:rPr>
      </w:pPr>
      <w:r>
        <w:rPr>
          <w:rFonts w:hint="eastAsia" w:ascii="宋体" w:hAnsi="宋体"/>
          <w:szCs w:val="21"/>
        </w:rPr>
        <w:t>3.8招标文件中的标题或题名仅起引导作用，而不应视为对招标文件内容的理解和解释。</w:t>
      </w:r>
    </w:p>
    <w:p>
      <w:pPr>
        <w:spacing w:line="360" w:lineRule="auto"/>
        <w:rPr>
          <w:rFonts w:ascii="黑体" w:hAnsi="宋体" w:eastAsia="黑体"/>
          <w:sz w:val="24"/>
          <w:szCs w:val="24"/>
        </w:rPr>
      </w:pPr>
      <w:r>
        <w:rPr>
          <w:rFonts w:hint="eastAsia" w:ascii="黑体" w:hAnsi="宋体" w:eastAsia="黑体"/>
          <w:sz w:val="24"/>
        </w:rPr>
        <w:t>4. 供应商责任</w:t>
      </w:r>
    </w:p>
    <w:p>
      <w:pPr>
        <w:ind w:firstLine="411" w:firstLineChars="196"/>
        <w:rPr>
          <w:rFonts w:ascii="宋体" w:hAnsi="宋体" w:eastAsia="宋体"/>
          <w:szCs w:val="21"/>
        </w:rPr>
      </w:pPr>
      <w:r>
        <w:rPr>
          <w:rFonts w:hint="eastAsia" w:ascii="宋体" w:hAnsi="宋体"/>
          <w:szCs w:val="21"/>
        </w:rPr>
        <w:t>4.1欢迎诚信、有实力和有社会责任心的供应商参与深圳大学采购事务。</w:t>
      </w:r>
    </w:p>
    <w:p>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spacing w:line="360" w:lineRule="auto"/>
        <w:rPr>
          <w:rFonts w:ascii="黑体" w:hAnsi="宋体" w:eastAsia="黑体"/>
          <w:sz w:val="24"/>
          <w:szCs w:val="24"/>
        </w:rPr>
      </w:pPr>
      <w:r>
        <w:rPr>
          <w:rFonts w:hint="eastAsia" w:ascii="黑体" w:hAnsi="宋体" w:eastAsia="黑体"/>
          <w:sz w:val="24"/>
        </w:rPr>
        <w:t>5．投标人参加深圳大学采购活动的条件</w:t>
      </w:r>
    </w:p>
    <w:p>
      <w:pPr>
        <w:ind w:firstLine="411" w:firstLineChars="196"/>
        <w:rPr>
          <w:rFonts w:ascii="宋体" w:hAnsi="宋体" w:eastAsia="宋体"/>
          <w:szCs w:val="21"/>
        </w:rPr>
      </w:pPr>
      <w:r>
        <w:rPr>
          <w:rFonts w:hint="eastAsia" w:ascii="宋体" w:hAnsi="宋体"/>
          <w:szCs w:val="21"/>
        </w:rPr>
        <w:t>5.1投标人的资格要求</w:t>
      </w:r>
    </w:p>
    <w:p>
      <w:pPr>
        <w:ind w:firstLine="411" w:firstLineChars="196"/>
        <w:rPr>
          <w:rFonts w:ascii="宋体" w:hAnsi="宋体"/>
          <w:szCs w:val="21"/>
        </w:rPr>
      </w:pPr>
      <w:r>
        <w:rPr>
          <w:rFonts w:hint="eastAsia" w:ascii="宋体" w:hAnsi="宋体"/>
          <w:szCs w:val="21"/>
        </w:rPr>
        <w:t>参加本项目的投标人应具备的资格条件详见本项目招标公告中的内容。</w:t>
      </w:r>
    </w:p>
    <w:p>
      <w:pPr>
        <w:spacing w:line="360" w:lineRule="auto"/>
        <w:rPr>
          <w:rFonts w:ascii="黑体" w:hAnsi="宋体" w:eastAsia="黑体"/>
          <w:sz w:val="24"/>
          <w:szCs w:val="24"/>
        </w:rPr>
      </w:pPr>
      <w:r>
        <w:rPr>
          <w:rFonts w:hint="eastAsia" w:ascii="黑体" w:hAnsi="宋体" w:eastAsia="黑体"/>
          <w:sz w:val="24"/>
        </w:rPr>
        <w:t>6．联合体投标</w:t>
      </w:r>
    </w:p>
    <w:p>
      <w:pPr>
        <w:ind w:firstLine="411" w:firstLineChars="196"/>
        <w:rPr>
          <w:rFonts w:ascii="宋体" w:hAnsi="宋体" w:eastAsia="宋体"/>
        </w:rPr>
      </w:pPr>
      <w:r>
        <w:rPr>
          <w:rFonts w:hint="eastAsia" w:ascii="宋体" w:hAnsi="宋体"/>
        </w:rPr>
        <w:t>6.1　</w:t>
      </w:r>
      <w:r>
        <w:rPr>
          <w:rFonts w:hint="eastAsia"/>
        </w:rPr>
        <w:t>以下有关联合体投标的条款仅适用于允许投标人组成联合体投标的项目。</w:t>
      </w:r>
    </w:p>
    <w:p>
      <w:pPr>
        <w:ind w:firstLine="411" w:firstLineChars="196"/>
        <w:rPr>
          <w:rFonts w:ascii="宋体" w:hAnsi="宋体"/>
        </w:rPr>
      </w:pPr>
      <w:r>
        <w:rPr>
          <w:rFonts w:hint="eastAsia" w:ascii="宋体" w:hAnsi="宋体"/>
        </w:rPr>
        <w:t>6.2　由两个或</w:t>
      </w:r>
      <w:r>
        <w:rPr>
          <w:rFonts w:hint="eastAsia"/>
        </w:rPr>
        <w:t>两个以上的自然人、法人或者其他组织可以组成一个联合体，以一个供应商的身份</w:t>
      </w:r>
      <w:r>
        <w:rPr>
          <w:rFonts w:hint="eastAsia" w:ascii="宋体" w:hAnsi="宋体"/>
        </w:rPr>
        <w:t>共同投标时，应符合以下原则：</w:t>
      </w:r>
    </w:p>
    <w:p>
      <w:pPr>
        <w:ind w:firstLine="411" w:firstLineChars="196"/>
        <w:rPr>
          <w:rFonts w:ascii="宋体" w:hAnsi="宋体"/>
        </w:rPr>
      </w:pPr>
      <w:r>
        <w:rPr>
          <w:rFonts w:hint="eastAsia" w:ascii="宋体" w:hAnsi="宋体"/>
        </w:rPr>
        <w:t xml:space="preserve">（1）投标联合体各方参加深圳大学的采购活动应当具备下列条件： </w:t>
      </w:r>
    </w:p>
    <w:p>
      <w:pPr>
        <w:ind w:left="420" w:leftChars="200" w:firstLine="411" w:firstLineChars="196"/>
        <w:rPr>
          <w:rFonts w:ascii="宋体" w:hAnsi="宋体"/>
        </w:rPr>
      </w:pPr>
      <w:r>
        <w:rPr>
          <w:rFonts w:hint="eastAsia" w:ascii="宋体" w:hAnsi="宋体"/>
        </w:rPr>
        <w:t xml:space="preserve">1、具有独立承担民事责任的能力； </w:t>
      </w:r>
    </w:p>
    <w:p>
      <w:pPr>
        <w:ind w:left="420" w:firstLine="411" w:firstLineChars="196"/>
        <w:rPr>
          <w:rFonts w:ascii="宋体" w:hAnsi="宋体"/>
        </w:rPr>
      </w:pPr>
      <w:r>
        <w:rPr>
          <w:rFonts w:hint="eastAsia" w:ascii="宋体" w:hAnsi="宋体"/>
        </w:rPr>
        <w:t xml:space="preserve">2、有良好的商业信誉和健全的财务会计制度； </w:t>
      </w:r>
    </w:p>
    <w:p>
      <w:pPr>
        <w:ind w:left="420" w:leftChars="200" w:firstLine="411" w:firstLineChars="196"/>
        <w:rPr>
          <w:rFonts w:ascii="宋体" w:hAnsi="宋体"/>
        </w:rPr>
      </w:pPr>
      <w:r>
        <w:rPr>
          <w:rFonts w:hint="eastAsia" w:ascii="宋体" w:hAnsi="宋体"/>
        </w:rPr>
        <w:t xml:space="preserve">3、具有履行合同所必需的设备和专业技术能力； </w:t>
      </w:r>
    </w:p>
    <w:p>
      <w:pPr>
        <w:ind w:left="420" w:leftChars="200" w:firstLine="411" w:firstLineChars="196"/>
        <w:rPr>
          <w:rFonts w:ascii="宋体" w:hAnsi="宋体"/>
        </w:rPr>
      </w:pPr>
      <w:r>
        <w:rPr>
          <w:rFonts w:hint="eastAsia" w:ascii="宋体" w:hAnsi="宋体"/>
        </w:rPr>
        <w:t xml:space="preserve">4、有依法缴纳税收和社会保障资金的良好记录； </w:t>
      </w:r>
    </w:p>
    <w:p>
      <w:pPr>
        <w:ind w:left="420" w:leftChars="200" w:firstLine="411" w:firstLineChars="196"/>
        <w:rPr>
          <w:rFonts w:ascii="宋体" w:hAnsi="宋体"/>
        </w:rPr>
      </w:pPr>
      <w:r>
        <w:rPr>
          <w:rFonts w:hint="eastAsia" w:ascii="宋体" w:hAnsi="宋体"/>
        </w:rPr>
        <w:t xml:space="preserve">5、参加采购活动前三年内，在经营活动中没有重大违法记录； </w:t>
      </w:r>
    </w:p>
    <w:p>
      <w:pPr>
        <w:ind w:left="420" w:leftChars="200" w:firstLine="411" w:firstLineChars="196"/>
        <w:rPr>
          <w:rFonts w:ascii="宋体" w:hAnsi="宋体"/>
        </w:rPr>
      </w:pPr>
      <w:r>
        <w:rPr>
          <w:rFonts w:hint="eastAsia" w:ascii="宋体" w:hAnsi="宋体"/>
        </w:rPr>
        <w:t xml:space="preserve">6、法律、行政法规规定的其他条件。 </w:t>
      </w:r>
    </w:p>
    <w:p>
      <w:pPr>
        <w:ind w:firstLine="411" w:firstLineChars="196"/>
        <w:rPr>
          <w:rFonts w:ascii="宋体" w:hAnsi="宋体"/>
        </w:rPr>
      </w:pPr>
      <w:r>
        <w:rPr>
          <w:rFonts w:hint="eastAsia" w:ascii="宋体" w:hAnsi="宋体"/>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pPr>
        <w:ind w:firstLine="411" w:firstLineChars="196"/>
        <w:rPr>
          <w:rFonts w:ascii="宋体" w:hAnsi="宋体"/>
        </w:rPr>
      </w:pPr>
      <w:r>
        <w:rPr>
          <w:rFonts w:hint="eastAsia" w:ascii="宋体" w:hAnsi="宋体"/>
        </w:rPr>
        <w:t>（3）投标人的投标文件及中标后签署的合同协议对联合体各方均具法律约束力；</w:t>
      </w:r>
    </w:p>
    <w:p>
      <w:pPr>
        <w:ind w:firstLine="411" w:firstLineChars="196"/>
        <w:rPr>
          <w:rFonts w:ascii="宋体" w:hAnsi="宋体"/>
        </w:rPr>
      </w:pPr>
      <w:r>
        <w:rPr>
          <w:rFonts w:hint="eastAsia" w:ascii="宋体" w:hAnsi="宋体"/>
        </w:rPr>
        <w:t>（4）联合体各方应当签订共同投标协议，明确约定各方拟承担的工作和责任，并将该共同投标协议随投标文件一并递交给学校采购机构；</w:t>
      </w:r>
    </w:p>
    <w:p>
      <w:pPr>
        <w:ind w:firstLine="411" w:firstLineChars="196"/>
        <w:rPr>
          <w:rFonts w:ascii="宋体" w:hAnsi="宋体"/>
        </w:rPr>
      </w:pPr>
      <w:r>
        <w:rPr>
          <w:rFonts w:hint="eastAsia" w:ascii="宋体" w:hAnsi="宋体"/>
        </w:rPr>
        <w:t>（5）是否允许联合体参加投标，应当由采购人和采购代理机构根据项目的实际情况和潜在供应商的数量自主决定，如果决定接受联合体投标则应当在采购公告中明示。</w:t>
      </w:r>
    </w:p>
    <w:p>
      <w:pPr>
        <w:ind w:firstLine="411" w:firstLineChars="196"/>
        <w:rPr>
          <w:rFonts w:ascii="宋体" w:hAnsi="宋体"/>
        </w:rPr>
      </w:pPr>
      <w:r>
        <w:rPr>
          <w:rFonts w:hint="eastAsia" w:ascii="宋体" w:hAnsi="宋体"/>
        </w:rPr>
        <w:t>（6）联合体的各方应当共同推荐一联合体投标授权代表方，由联合体各方提交一份授权书，证明其有资格代表联合体各方签署投标文件，该授权书作为投标文件的组成部分一并提交给学校采购机构；</w:t>
      </w:r>
    </w:p>
    <w:p>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pPr>
        <w:ind w:firstLine="411" w:firstLineChars="196"/>
        <w:rPr>
          <w:rFonts w:ascii="宋体" w:hAnsi="宋体"/>
        </w:rPr>
      </w:pPr>
      <w:r>
        <w:rPr>
          <w:rFonts w:hint="eastAsia" w:ascii="宋体" w:hAnsi="宋体"/>
        </w:rPr>
        <w:t>（8）以联合体形式参加本项目采购活动的，联合体各方不得再单独参加或者与其他供应商另外组成联合体参加同一合同项下的采购活动，出现上述情况者，其投标和与此有关联合体、总包单位的投标将被拒绝；</w:t>
      </w:r>
    </w:p>
    <w:p>
      <w:pPr>
        <w:ind w:firstLine="411" w:firstLineChars="196"/>
        <w:rPr>
          <w:rFonts w:ascii="宋体" w:hAnsi="宋体"/>
        </w:rPr>
      </w:pPr>
      <w:r>
        <w:rPr>
          <w:rFonts w:hint="eastAsia" w:ascii="宋体" w:hAnsi="宋体"/>
        </w:rPr>
        <w:t>（9）本通用条款中“投标人”一词亦指联合体各方，专用条款另有规定或说明的除外。</w:t>
      </w:r>
    </w:p>
    <w:p>
      <w:pPr>
        <w:spacing w:line="360" w:lineRule="auto"/>
        <w:rPr>
          <w:rFonts w:ascii="黑体" w:hAnsi="宋体" w:eastAsia="黑体"/>
          <w:sz w:val="24"/>
        </w:rPr>
      </w:pPr>
      <w:r>
        <w:rPr>
          <w:rFonts w:hint="eastAsia" w:ascii="黑体" w:hAnsi="宋体" w:eastAsia="黑体"/>
          <w:sz w:val="24"/>
        </w:rPr>
        <w:t>7.本项目若涉及采购货物，则合格的货物及相应服务应满足以下要求：</w:t>
      </w:r>
    </w:p>
    <w:p>
      <w:pPr>
        <w:ind w:firstLine="411" w:firstLineChars="196"/>
        <w:rPr>
          <w:rFonts w:ascii="宋体" w:hAnsi="宋体" w:eastAsia="宋体"/>
        </w:rPr>
      </w:pPr>
      <w:r>
        <w:rPr>
          <w:rFonts w:hint="eastAsia" w:ascii="宋体" w:hAnsi="宋体"/>
        </w:rPr>
        <w:t>7.1  必须是全新、未使用过的原装合格正品（包括零部件），如安装或配置了软件的，须为正版软件。</w:t>
      </w:r>
    </w:p>
    <w:p>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ind w:firstLine="411" w:firstLineChars="196"/>
        <w:rPr>
          <w:rFonts w:ascii="宋体" w:hAnsi="宋体"/>
        </w:rPr>
      </w:pPr>
      <w:r>
        <w:rPr>
          <w:rFonts w:hint="eastAsia" w:ascii="宋体" w:hAnsi="宋体"/>
        </w:rPr>
        <w:t>7.3  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rPr>
      </w:pPr>
      <w:r>
        <w:rPr>
          <w:rFonts w:hint="eastAsia" w:ascii="宋体" w:hAnsi="宋体"/>
        </w:rPr>
        <w:t>7.4  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pPr>
        <w:ind w:firstLine="411" w:firstLineChars="196"/>
        <w:rPr>
          <w:rFonts w:ascii="宋体" w:hAnsi="宋体"/>
        </w:rPr>
      </w:pPr>
      <w:r>
        <w:rPr>
          <w:rFonts w:hint="eastAsia" w:ascii="宋体" w:hAnsi="宋体"/>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pPr>
        <w:ind w:firstLine="411" w:firstLineChars="196"/>
        <w:rPr>
          <w:rFonts w:ascii="宋体" w:hAnsi="宋体"/>
        </w:rPr>
      </w:pPr>
      <w:r>
        <w:rPr>
          <w:rFonts w:hint="eastAsia" w:ascii="宋体" w:hAnsi="宋体"/>
        </w:rPr>
        <w:t>7.6  对工期的要求：投标人在投标时对其所投项目应提交货进度、交货计划等，在合同规定的时间内完工验收。</w:t>
      </w:r>
    </w:p>
    <w:p>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pPr>
        <w:spacing w:line="360" w:lineRule="auto"/>
        <w:rPr>
          <w:rFonts w:ascii="黑体" w:hAnsi="宋体" w:eastAsia="黑体"/>
          <w:sz w:val="24"/>
        </w:rPr>
      </w:pPr>
      <w:r>
        <w:rPr>
          <w:rFonts w:hint="eastAsia" w:ascii="黑体" w:hAnsi="宋体" w:eastAsia="黑体"/>
          <w:sz w:val="24"/>
        </w:rPr>
        <w:t>8．投标费用</w:t>
      </w:r>
    </w:p>
    <w:p>
      <w:pPr>
        <w:ind w:firstLine="411" w:firstLineChars="196"/>
        <w:rPr>
          <w:rFonts w:ascii="宋体" w:hAnsi="宋体" w:eastAsia="宋体"/>
          <w:szCs w:val="21"/>
        </w:rPr>
      </w:pPr>
      <w:r>
        <w:rPr>
          <w:rFonts w:hint="eastAsia" w:ascii="宋体" w:hAnsi="宋体"/>
          <w:szCs w:val="21"/>
        </w:rPr>
        <w:t>不论投标结果如何，投标人应承担其编制投标文件与递交投标文件所涉及的一切费用。</w:t>
      </w:r>
    </w:p>
    <w:p>
      <w:pPr>
        <w:spacing w:line="360" w:lineRule="auto"/>
        <w:rPr>
          <w:rFonts w:ascii="黑体" w:hAnsi="宋体" w:eastAsia="黑体"/>
          <w:sz w:val="24"/>
          <w:szCs w:val="24"/>
        </w:rPr>
      </w:pPr>
      <w:r>
        <w:rPr>
          <w:rFonts w:hint="eastAsia" w:ascii="黑体" w:hAnsi="宋体" w:eastAsia="黑体"/>
          <w:sz w:val="24"/>
        </w:rPr>
        <w:t>9．踏勘现场</w:t>
      </w:r>
    </w:p>
    <w:p>
      <w:pPr>
        <w:ind w:firstLine="411" w:firstLineChars="196"/>
        <w:rPr>
          <w:rFonts w:ascii="宋体" w:hAnsi="宋体" w:eastAsia="宋体"/>
        </w:rPr>
      </w:pPr>
      <w:r>
        <w:rPr>
          <w:rFonts w:hint="eastAsia" w:ascii="宋体" w:hAnsi="宋体"/>
        </w:rPr>
        <w:t>9.1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pPr>
        <w:ind w:firstLine="411" w:firstLineChars="196"/>
        <w:rPr>
          <w:rFonts w:ascii="宋体" w:hAnsi="宋体"/>
        </w:rPr>
      </w:pPr>
      <w:r>
        <w:rPr>
          <w:rFonts w:hint="eastAsia" w:ascii="宋体" w:hAnsi="宋体"/>
        </w:rPr>
        <w:t>9.3采购人必须通过学校采购机构向投标人提供有关现场的资料和数据。</w:t>
      </w:r>
    </w:p>
    <w:p>
      <w:pPr>
        <w:ind w:firstLine="411" w:firstLineChars="196"/>
        <w:rPr>
          <w:rFonts w:ascii="宋体" w:hAnsi="宋体"/>
        </w:rPr>
      </w:pPr>
      <w:r>
        <w:rPr>
          <w:rFonts w:hint="eastAsia" w:ascii="宋体" w:hAnsi="宋体"/>
        </w:rPr>
        <w:t>9.4任何人或任何组织在踏勘现场时向投标人提交的任何书面资料或口头承诺，未经学校采购机构在网上发布或书面通知，均作无效处理。</w:t>
      </w:r>
    </w:p>
    <w:p>
      <w:pPr>
        <w:spacing w:line="360" w:lineRule="auto"/>
        <w:rPr>
          <w:rFonts w:ascii="黑体" w:hAnsi="宋体" w:eastAsia="黑体"/>
          <w:sz w:val="24"/>
        </w:rPr>
      </w:pPr>
      <w:r>
        <w:rPr>
          <w:rFonts w:hint="eastAsia" w:ascii="黑体" w:hAnsi="宋体" w:eastAsia="黑体"/>
          <w:sz w:val="24"/>
        </w:rPr>
        <w:t>10．招标答疑</w:t>
      </w:r>
    </w:p>
    <w:p>
      <w:pPr>
        <w:ind w:firstLine="411" w:firstLineChars="196"/>
        <w:rPr>
          <w:rFonts w:ascii="宋体" w:hAnsi="宋体" w:eastAsia="宋体"/>
          <w:szCs w:val="21"/>
        </w:rPr>
      </w:pPr>
      <w:r>
        <w:rPr>
          <w:rFonts w:hint="eastAsia" w:ascii="宋体" w:hAnsi="宋体"/>
          <w:szCs w:val="21"/>
        </w:rPr>
        <w:t>10.1招标答疑的目的是澄清、解答投标人在查阅招标文件后或现场踏勘中可能提出的与投标有关的疑问或询问。</w:t>
      </w:r>
    </w:p>
    <w:p>
      <w:pPr>
        <w:ind w:firstLine="411" w:firstLineChars="196"/>
        <w:rPr>
          <w:rFonts w:ascii="宋体" w:hAnsi="宋体"/>
          <w:szCs w:val="21"/>
        </w:rPr>
      </w:pPr>
      <w:r>
        <w:rPr>
          <w:rFonts w:hint="eastAsia" w:ascii="宋体" w:hAnsi="宋体"/>
          <w:szCs w:val="21"/>
        </w:rPr>
        <w:t>10.2投标人如对招标文件内容有疑问，必须在招标文件规定的答疑截止时间前以书面形式提交给学校采购机构。</w:t>
      </w:r>
    </w:p>
    <w:p>
      <w:pPr>
        <w:ind w:firstLine="411" w:firstLineChars="196"/>
        <w:rPr>
          <w:rFonts w:ascii="宋体" w:hAnsi="宋体"/>
          <w:szCs w:val="21"/>
        </w:rPr>
      </w:pPr>
      <w:r>
        <w:rPr>
          <w:rFonts w:hint="eastAsia" w:ascii="宋体" w:hAnsi="宋体"/>
          <w:szCs w:val="21"/>
        </w:rPr>
        <w:t>10.3学校采购机构对疑问所做出的澄清和解答，以书面答复（包括网站发布信息）为准。答疑纪要的有效性规定按照本通用条款第13.3、13.4款规定执行。</w:t>
      </w:r>
    </w:p>
    <w:p>
      <w:pPr>
        <w:ind w:firstLine="411" w:firstLineChars="196"/>
        <w:rPr>
          <w:rFonts w:ascii="宋体" w:hAnsi="宋体"/>
          <w:szCs w:val="21"/>
        </w:rPr>
      </w:pPr>
      <w:r>
        <w:rPr>
          <w:rFonts w:hint="eastAsia" w:ascii="宋体" w:hAnsi="宋体"/>
          <w:szCs w:val="21"/>
        </w:rPr>
        <w:t>10.4如学校采购机构认为有必要组织现场答疑会，投标人应按照招标文件规定的时间或学校采购机构另行书面通知（包括网站发布的通知）的时间和地点，参与现场答疑会。</w:t>
      </w:r>
    </w:p>
    <w:p>
      <w:pPr>
        <w:ind w:firstLine="411" w:firstLineChars="196"/>
        <w:rPr>
          <w:rFonts w:ascii="宋体" w:hAnsi="宋体"/>
          <w:szCs w:val="21"/>
        </w:rPr>
      </w:pPr>
      <w:r>
        <w:rPr>
          <w:rFonts w:hint="eastAsia" w:ascii="宋体" w:hAnsi="宋体"/>
          <w:szCs w:val="21"/>
        </w:rPr>
        <w:t>10.5未参与招标答疑不作为否定投标人资格的理由。</w:t>
      </w:r>
    </w:p>
    <w:p>
      <w:pPr>
        <w:ind w:firstLine="411" w:firstLineChars="196"/>
        <w:rPr>
          <w:rFonts w:ascii="宋体" w:hAnsi="宋体"/>
          <w:szCs w:val="24"/>
        </w:rPr>
      </w:pPr>
    </w:p>
    <w:p>
      <w:pPr>
        <w:keepNext/>
        <w:keepLines/>
        <w:numPr>
          <w:ilvl w:val="0"/>
          <w:numId w:val="13"/>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招标文件</w:t>
      </w:r>
    </w:p>
    <w:p>
      <w:pPr>
        <w:spacing w:line="360" w:lineRule="auto"/>
        <w:rPr>
          <w:rFonts w:ascii="黑体" w:hAnsi="宋体" w:eastAsia="黑体"/>
          <w:sz w:val="24"/>
          <w:szCs w:val="24"/>
        </w:rPr>
      </w:pPr>
      <w:r>
        <w:rPr>
          <w:rFonts w:hint="eastAsia" w:ascii="黑体" w:hAnsi="宋体" w:eastAsia="黑体"/>
          <w:sz w:val="24"/>
        </w:rPr>
        <w:t>11．招标文件的编制与组成</w:t>
      </w:r>
    </w:p>
    <w:p>
      <w:pPr>
        <w:snapToGrid w:val="0"/>
        <w:ind w:firstLine="420" w:firstLineChars="200"/>
        <w:rPr>
          <w:rFonts w:ascii="宋体" w:hAnsi="宋体" w:eastAsia="宋体"/>
          <w:szCs w:val="21"/>
        </w:rPr>
      </w:pPr>
      <w:r>
        <w:rPr>
          <w:rFonts w:hint="eastAsia" w:ascii="宋体" w:hAnsi="宋体"/>
          <w:szCs w:val="21"/>
        </w:rPr>
        <w:t>11.1招标文件除以下内容外，学校采购机构在招标（或谈判）期间发出的答疑、澄清或修改等相关公告或通知内容，均是招标文件的组成部分，对投标人起约束作用；</w:t>
      </w:r>
    </w:p>
    <w:p>
      <w:pPr>
        <w:ind w:firstLine="411" w:firstLineChars="196"/>
        <w:rPr>
          <w:rFonts w:ascii="宋体" w:hAnsi="宋体"/>
          <w:szCs w:val="21"/>
        </w:rPr>
      </w:pPr>
      <w:r>
        <w:rPr>
          <w:rFonts w:hint="eastAsia" w:ascii="宋体" w:hAnsi="宋体"/>
          <w:szCs w:val="21"/>
        </w:rPr>
        <w:t>招标文件包括下列内容：</w:t>
      </w:r>
    </w:p>
    <w:p>
      <w:pPr>
        <w:ind w:left="420" w:leftChars="200" w:firstLine="412" w:firstLineChars="196"/>
        <w:rPr>
          <w:rFonts w:ascii="宋体" w:hAnsi="宋体"/>
          <w:b/>
          <w:szCs w:val="21"/>
        </w:rPr>
      </w:pPr>
      <w:r>
        <w:rPr>
          <w:rFonts w:hint="eastAsia" w:ascii="宋体" w:hAnsi="宋体"/>
          <w:b/>
          <w:szCs w:val="21"/>
        </w:rPr>
        <w:t>第一册  专用条款</w:t>
      </w:r>
    </w:p>
    <w:p>
      <w:pPr>
        <w:ind w:left="1079" w:leftChars="514"/>
        <w:rPr>
          <w:rFonts w:ascii="宋体" w:hAnsi="宋体"/>
          <w:b/>
          <w:szCs w:val="21"/>
        </w:rPr>
      </w:pPr>
      <w:r>
        <w:rPr>
          <w:rFonts w:hint="eastAsia" w:ascii="宋体" w:hAnsi="宋体"/>
          <w:b/>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招标项目需求</w:t>
      </w:r>
    </w:p>
    <w:p>
      <w:pPr>
        <w:ind w:left="630" w:leftChars="300" w:firstLine="411" w:firstLineChars="196"/>
        <w:rPr>
          <w:rFonts w:ascii="宋体" w:hAnsi="宋体"/>
          <w:szCs w:val="21"/>
        </w:rPr>
      </w:pPr>
      <w:r>
        <w:rPr>
          <w:rFonts w:hint="eastAsia" w:ascii="宋体" w:hAnsi="宋体"/>
          <w:szCs w:val="21"/>
        </w:rPr>
        <w:t>第三章  投标文件格式</w:t>
      </w:r>
    </w:p>
    <w:p>
      <w:pPr>
        <w:ind w:left="630" w:leftChars="300" w:firstLine="411" w:firstLineChars="196"/>
        <w:rPr>
          <w:rFonts w:ascii="宋体" w:hAnsi="宋体"/>
          <w:szCs w:val="21"/>
        </w:rPr>
      </w:pPr>
      <w:r>
        <w:rPr>
          <w:rFonts w:hint="eastAsia" w:ascii="宋体" w:hAnsi="宋体"/>
          <w:szCs w:val="21"/>
        </w:rPr>
        <w:t>第四章  合同及履约情况反馈表格式</w:t>
      </w:r>
    </w:p>
    <w:p>
      <w:pPr>
        <w:ind w:left="420" w:leftChars="200" w:firstLine="412" w:firstLineChars="196"/>
        <w:rPr>
          <w:rFonts w:ascii="宋体" w:hAnsi="宋体"/>
          <w:b/>
          <w:szCs w:val="21"/>
        </w:rPr>
      </w:pPr>
      <w:r>
        <w:rPr>
          <w:rFonts w:hint="eastAsia" w:ascii="宋体" w:hAnsi="宋体"/>
          <w:b/>
          <w:szCs w:val="21"/>
        </w:rPr>
        <w:t>第二册  通用条款</w:t>
      </w:r>
    </w:p>
    <w:p>
      <w:pPr>
        <w:tabs>
          <w:tab w:val="left" w:pos="360"/>
        </w:tabs>
        <w:ind w:firstLine="1079" w:firstLineChars="514"/>
        <w:rPr>
          <w:rFonts w:ascii="Times New Roman" w:hAnsi="Times New Roman"/>
          <w:szCs w:val="21"/>
        </w:rPr>
      </w:pPr>
      <w:r>
        <w:rPr>
          <w:rFonts w:hint="eastAsia"/>
          <w:szCs w:val="21"/>
        </w:rPr>
        <w:t>第一章</w:t>
      </w:r>
      <w:r>
        <w:rPr>
          <w:szCs w:val="21"/>
        </w:rPr>
        <w:t xml:space="preserve">  </w:t>
      </w:r>
      <w:r>
        <w:rPr>
          <w:rFonts w:hint="eastAsia"/>
          <w:szCs w:val="21"/>
        </w:rPr>
        <w:t>总则</w:t>
      </w:r>
    </w:p>
    <w:p>
      <w:pPr>
        <w:tabs>
          <w:tab w:val="left" w:pos="360"/>
        </w:tabs>
        <w:ind w:firstLine="1079" w:firstLineChars="514"/>
        <w:rPr>
          <w:szCs w:val="21"/>
        </w:rPr>
      </w:pPr>
      <w:r>
        <w:rPr>
          <w:rFonts w:hint="eastAsia"/>
          <w:szCs w:val="21"/>
        </w:rPr>
        <w:t>第二章</w:t>
      </w:r>
      <w:r>
        <w:rPr>
          <w:szCs w:val="21"/>
        </w:rPr>
        <w:t xml:space="preserve">  </w:t>
      </w:r>
      <w:r>
        <w:rPr>
          <w:rFonts w:hint="eastAsia"/>
          <w:szCs w:val="21"/>
        </w:rPr>
        <w:t>招标文件</w:t>
      </w:r>
    </w:p>
    <w:p>
      <w:pPr>
        <w:tabs>
          <w:tab w:val="left" w:pos="360"/>
        </w:tabs>
        <w:ind w:firstLine="1079" w:firstLineChars="514"/>
        <w:rPr>
          <w:szCs w:val="21"/>
        </w:rPr>
      </w:pPr>
      <w:r>
        <w:rPr>
          <w:rFonts w:hint="eastAsia"/>
          <w:szCs w:val="21"/>
        </w:rPr>
        <w:t>第三章</w:t>
      </w:r>
      <w:r>
        <w:rPr>
          <w:szCs w:val="21"/>
        </w:rPr>
        <w:t xml:space="preserve">  </w:t>
      </w:r>
      <w:r>
        <w:rPr>
          <w:rFonts w:hint="eastAsia"/>
          <w:szCs w:val="21"/>
        </w:rPr>
        <w:t>投标文件的编制</w:t>
      </w:r>
    </w:p>
    <w:p>
      <w:pPr>
        <w:tabs>
          <w:tab w:val="left" w:pos="360"/>
        </w:tabs>
        <w:ind w:firstLine="1079" w:firstLineChars="514"/>
        <w:rPr>
          <w:szCs w:val="21"/>
        </w:rPr>
      </w:pPr>
      <w:r>
        <w:rPr>
          <w:rFonts w:hint="eastAsia"/>
          <w:szCs w:val="21"/>
        </w:rPr>
        <w:t>第四章</w:t>
      </w:r>
      <w:r>
        <w:rPr>
          <w:szCs w:val="21"/>
        </w:rPr>
        <w:t xml:space="preserve">  </w:t>
      </w:r>
      <w:r>
        <w:rPr>
          <w:rFonts w:hint="eastAsia"/>
          <w:szCs w:val="21"/>
        </w:rPr>
        <w:t>投标文件的递交</w:t>
      </w:r>
    </w:p>
    <w:p>
      <w:pPr>
        <w:tabs>
          <w:tab w:val="left" w:pos="360"/>
        </w:tabs>
        <w:ind w:firstLine="1079" w:firstLineChars="514"/>
        <w:rPr>
          <w:szCs w:val="21"/>
        </w:rPr>
      </w:pPr>
      <w:r>
        <w:rPr>
          <w:rFonts w:hint="eastAsia"/>
          <w:szCs w:val="21"/>
        </w:rPr>
        <w:t>第五章</w:t>
      </w:r>
      <w:r>
        <w:rPr>
          <w:szCs w:val="21"/>
        </w:rPr>
        <w:t xml:space="preserve">  </w:t>
      </w:r>
      <w:r>
        <w:rPr>
          <w:rFonts w:hint="eastAsia"/>
          <w:szCs w:val="21"/>
        </w:rPr>
        <w:t>开标</w:t>
      </w:r>
    </w:p>
    <w:p>
      <w:pPr>
        <w:tabs>
          <w:tab w:val="left" w:pos="360"/>
        </w:tabs>
        <w:ind w:firstLine="1079" w:firstLineChars="514"/>
        <w:rPr>
          <w:szCs w:val="21"/>
        </w:rPr>
      </w:pPr>
      <w:r>
        <w:rPr>
          <w:rFonts w:hint="eastAsia"/>
          <w:szCs w:val="21"/>
        </w:rPr>
        <w:t>第六章</w:t>
      </w:r>
      <w:r>
        <w:rPr>
          <w:szCs w:val="21"/>
        </w:rPr>
        <w:t xml:space="preserve">  </w:t>
      </w:r>
      <w:r>
        <w:rPr>
          <w:rFonts w:hint="eastAsia"/>
          <w:szCs w:val="21"/>
        </w:rPr>
        <w:t>评标要求</w:t>
      </w:r>
    </w:p>
    <w:p>
      <w:pPr>
        <w:tabs>
          <w:tab w:val="left" w:pos="360"/>
        </w:tabs>
        <w:ind w:firstLine="1079" w:firstLineChars="514"/>
        <w:rPr>
          <w:szCs w:val="21"/>
        </w:rPr>
      </w:pPr>
      <w:r>
        <w:rPr>
          <w:rFonts w:hint="eastAsia"/>
          <w:szCs w:val="21"/>
        </w:rPr>
        <w:t>第七章</w:t>
      </w:r>
      <w:r>
        <w:rPr>
          <w:szCs w:val="21"/>
        </w:rPr>
        <w:t xml:space="preserve">  </w:t>
      </w:r>
      <w:r>
        <w:rPr>
          <w:rFonts w:hint="eastAsia"/>
          <w:szCs w:val="21"/>
        </w:rPr>
        <w:t>评标程序及评标方法</w:t>
      </w:r>
    </w:p>
    <w:p>
      <w:pPr>
        <w:tabs>
          <w:tab w:val="left" w:pos="360"/>
        </w:tabs>
        <w:ind w:firstLine="1079" w:firstLineChars="514"/>
        <w:rPr>
          <w:szCs w:val="21"/>
        </w:rPr>
      </w:pPr>
      <w:r>
        <w:rPr>
          <w:rFonts w:hint="eastAsia"/>
          <w:szCs w:val="21"/>
        </w:rPr>
        <w:t>第八章</w:t>
      </w:r>
      <w:r>
        <w:rPr>
          <w:szCs w:val="21"/>
        </w:rPr>
        <w:t xml:space="preserve">  </w:t>
      </w:r>
      <w:r>
        <w:rPr>
          <w:rFonts w:hint="eastAsia"/>
          <w:szCs w:val="21"/>
        </w:rPr>
        <w:t>定标及公示</w:t>
      </w:r>
    </w:p>
    <w:p>
      <w:pPr>
        <w:tabs>
          <w:tab w:val="left" w:pos="360"/>
        </w:tabs>
        <w:ind w:firstLine="1079" w:firstLineChars="514"/>
        <w:rPr>
          <w:szCs w:val="21"/>
        </w:rPr>
      </w:pPr>
      <w:r>
        <w:rPr>
          <w:rFonts w:hint="eastAsia"/>
          <w:szCs w:val="21"/>
        </w:rPr>
        <w:t>第九章</w:t>
      </w:r>
      <w:r>
        <w:rPr>
          <w:szCs w:val="21"/>
        </w:rPr>
        <w:t xml:space="preserve">  </w:t>
      </w:r>
      <w:r>
        <w:rPr>
          <w:rFonts w:hint="eastAsia"/>
          <w:szCs w:val="21"/>
        </w:rPr>
        <w:t>公开招标失败的后续处理</w:t>
      </w:r>
    </w:p>
    <w:p>
      <w:pPr>
        <w:tabs>
          <w:tab w:val="left" w:pos="360"/>
        </w:tabs>
        <w:ind w:firstLine="1079" w:firstLineChars="514"/>
        <w:rPr>
          <w:szCs w:val="21"/>
        </w:rPr>
      </w:pPr>
      <w:r>
        <w:rPr>
          <w:rFonts w:hint="eastAsia"/>
          <w:szCs w:val="21"/>
        </w:rPr>
        <w:t>第十章</w:t>
      </w:r>
      <w:r>
        <w:rPr>
          <w:szCs w:val="21"/>
        </w:rPr>
        <w:t xml:space="preserve">  </w:t>
      </w:r>
      <w:r>
        <w:rPr>
          <w:rFonts w:hint="eastAsia"/>
          <w:szCs w:val="21"/>
        </w:rPr>
        <w:t>合同的授予与备案</w:t>
      </w:r>
    </w:p>
    <w:p>
      <w:pPr>
        <w:tabs>
          <w:tab w:val="left" w:pos="360"/>
        </w:tabs>
        <w:ind w:firstLine="1079" w:firstLineChars="514"/>
        <w:rPr>
          <w:szCs w:val="21"/>
        </w:rPr>
      </w:pPr>
      <w:r>
        <w:rPr>
          <w:rFonts w:hint="eastAsia"/>
          <w:szCs w:val="21"/>
        </w:rPr>
        <w:t>第十一章</w:t>
      </w:r>
      <w:r>
        <w:rPr>
          <w:szCs w:val="21"/>
        </w:rPr>
        <w:t xml:space="preserve">  </w:t>
      </w:r>
      <w:r>
        <w:rPr>
          <w:rFonts w:hint="eastAsia"/>
          <w:szCs w:val="21"/>
        </w:rPr>
        <w:t>质疑处理</w:t>
      </w:r>
    </w:p>
    <w:p>
      <w:pPr>
        <w:ind w:firstLine="411" w:firstLineChars="196"/>
        <w:rPr>
          <w:rFonts w:ascii="宋体" w:hAnsi="宋体"/>
          <w:szCs w:val="21"/>
        </w:rPr>
      </w:pPr>
      <w:r>
        <w:rPr>
          <w:rFonts w:hint="eastAsia" w:ascii="宋体" w:hAnsi="宋体"/>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pPr>
        <w:ind w:firstLine="411" w:firstLineChars="196"/>
        <w:rPr>
          <w:rFonts w:ascii="宋体" w:hAnsi="宋体"/>
          <w:szCs w:val="21"/>
        </w:rPr>
      </w:pPr>
      <w:r>
        <w:rPr>
          <w:rFonts w:hint="eastAsia" w:ascii="宋体" w:hAnsi="宋体"/>
          <w:szCs w:val="21"/>
        </w:rPr>
        <w:t>11.3</w:t>
      </w:r>
      <w:r>
        <w:rPr>
          <w:rFonts w:hint="eastAsia" w:ascii="宋体" w:hAnsi="宋体"/>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pPr>
        <w:spacing w:line="360" w:lineRule="auto"/>
        <w:rPr>
          <w:rFonts w:ascii="黑体" w:hAnsi="宋体" w:eastAsia="黑体"/>
          <w:sz w:val="24"/>
          <w:szCs w:val="24"/>
        </w:rPr>
      </w:pPr>
      <w:r>
        <w:rPr>
          <w:rFonts w:hint="eastAsia" w:ascii="黑体" w:hAnsi="宋体" w:eastAsia="黑体"/>
          <w:sz w:val="24"/>
        </w:rPr>
        <w:t>12．招标文件的澄清</w:t>
      </w:r>
    </w:p>
    <w:p>
      <w:pPr>
        <w:snapToGrid w:val="0"/>
        <w:ind w:firstLine="420" w:firstLineChars="200"/>
        <w:rPr>
          <w:rFonts w:ascii="宋体" w:hAnsi="宋体" w:eastAsia="宋体"/>
          <w:szCs w:val="21"/>
        </w:rPr>
      </w:pPr>
      <w:r>
        <w:rPr>
          <w:rFonts w:hint="eastAsia" w:ascii="宋体" w:hAnsi="宋体"/>
          <w:szCs w:val="21"/>
        </w:rPr>
        <w:t>12.1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pPr>
        <w:snapToGrid w:val="0"/>
        <w:ind w:firstLine="420" w:firstLineChars="200"/>
        <w:rPr>
          <w:rFonts w:ascii="宋体" w:hAnsi="宋体"/>
          <w:szCs w:val="21"/>
        </w:rPr>
      </w:pPr>
      <w:r>
        <w:rPr>
          <w:rFonts w:hint="eastAsia" w:ascii="宋体" w:hAnsi="宋体"/>
          <w:szCs w:val="21"/>
        </w:rPr>
        <w:t>12.2对于没有提出澄清又参与了该项目投标的供应商将被视为完全认同该</w:t>
      </w:r>
      <w:r>
        <w:rPr>
          <w:rFonts w:hint="eastAsia"/>
        </w:rPr>
        <w:t>招标文件（含澄清纪要）</w:t>
      </w:r>
      <w:r>
        <w:rPr>
          <w:rFonts w:hint="eastAsia" w:ascii="宋体" w:hAnsi="宋体"/>
          <w:szCs w:val="21"/>
        </w:rPr>
        <w:t>。</w:t>
      </w:r>
    </w:p>
    <w:p>
      <w:pPr>
        <w:snapToGrid w:val="0"/>
        <w:ind w:firstLine="420" w:firstLineChars="200"/>
        <w:rPr>
          <w:rFonts w:ascii="宋体" w:hAnsi="宋体"/>
          <w:szCs w:val="21"/>
        </w:rPr>
      </w:pPr>
      <w:r>
        <w:rPr>
          <w:rFonts w:hint="eastAsia" w:ascii="宋体" w:hAnsi="宋体"/>
          <w:szCs w:val="21"/>
        </w:rPr>
        <w:t>12.3 对招标文件中描述有歧义或前后不一致的地方，评审委员会有权进行评判，但对同一条款的评判应适用于每个投标人。</w:t>
      </w:r>
    </w:p>
    <w:p>
      <w:pPr>
        <w:spacing w:line="360" w:lineRule="auto"/>
        <w:rPr>
          <w:rFonts w:ascii="黑体" w:hAnsi="宋体" w:eastAsia="黑体"/>
          <w:sz w:val="24"/>
          <w:szCs w:val="24"/>
        </w:rPr>
      </w:pPr>
      <w:r>
        <w:rPr>
          <w:rFonts w:hint="eastAsia" w:ascii="黑体" w:hAnsi="宋体" w:eastAsia="黑体"/>
          <w:sz w:val="24"/>
        </w:rPr>
        <w:t>13．招标文件的修改</w:t>
      </w:r>
    </w:p>
    <w:p>
      <w:pPr>
        <w:ind w:firstLine="411" w:firstLineChars="196"/>
        <w:rPr>
          <w:rFonts w:ascii="宋体" w:hAnsi="宋体" w:eastAsia="宋体"/>
          <w:szCs w:val="21"/>
        </w:rPr>
      </w:pPr>
      <w:r>
        <w:rPr>
          <w:rFonts w:hint="eastAsia" w:ascii="宋体" w:hAnsi="宋体"/>
          <w:szCs w:val="21"/>
        </w:rPr>
        <w:t>13.1招标文件发出后，在投标截止日期前任何时候，确需要变更招标内容的，学校采购机构可主动或在解答投标人提出的澄清问题时对招标文件进行修改；</w:t>
      </w:r>
    </w:p>
    <w:p>
      <w:pPr>
        <w:ind w:firstLine="411" w:firstLineChars="196"/>
        <w:rPr>
          <w:rFonts w:ascii="宋体" w:hAnsi="宋体"/>
          <w:szCs w:val="21"/>
        </w:rPr>
      </w:pPr>
      <w:r>
        <w:rPr>
          <w:rFonts w:hint="eastAsia" w:ascii="宋体" w:hAnsi="宋体"/>
          <w:szCs w:val="21"/>
        </w:rPr>
        <w:t>13.2招标文件的修改以书面形式（包括网站公开发布方式）发送给所有投标人，招标文件的修改内容作为招标文件的组成部分，并具有约束力。</w:t>
      </w:r>
    </w:p>
    <w:p>
      <w:pPr>
        <w:ind w:firstLine="411" w:firstLineChars="196"/>
        <w:rPr>
          <w:rFonts w:ascii="宋体" w:hAnsi="宋体"/>
          <w:szCs w:val="21"/>
        </w:rPr>
      </w:pPr>
      <w:r>
        <w:rPr>
          <w:rFonts w:hint="eastAsia" w:ascii="宋体" w:hAnsi="宋体"/>
          <w:szCs w:val="21"/>
        </w:rPr>
        <w:t>13.3招标文件、招标文件澄清（答疑）纪要、招标文件修改补充通知内容均以书面（包括网站公开发布方式）明确的内容为准。当招标文件、修改补充通知、澄清（答疑）纪要内容相互矛盾时，以最后发出的内容为准；</w:t>
      </w:r>
    </w:p>
    <w:p>
      <w:pPr>
        <w:ind w:firstLine="411" w:firstLineChars="196"/>
        <w:rPr>
          <w:rFonts w:ascii="宋体" w:hAnsi="宋体"/>
          <w:szCs w:val="21"/>
        </w:rPr>
      </w:pPr>
      <w:r>
        <w:rPr>
          <w:rFonts w:hint="eastAsia" w:ascii="宋体" w:hAnsi="宋体"/>
          <w:szCs w:val="21"/>
        </w:rPr>
        <w:t>13.4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pPr>
        <w:keepNext/>
        <w:keepLines/>
        <w:numPr>
          <w:ilvl w:val="0"/>
          <w:numId w:val="13"/>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投标文件的编制</w:t>
      </w:r>
    </w:p>
    <w:p>
      <w:pPr>
        <w:spacing w:line="360" w:lineRule="auto"/>
        <w:rPr>
          <w:rFonts w:ascii="黑体" w:hAnsi="宋体" w:eastAsia="黑体"/>
          <w:sz w:val="24"/>
          <w:szCs w:val="24"/>
        </w:rPr>
      </w:pPr>
      <w:r>
        <w:rPr>
          <w:rFonts w:hint="eastAsia" w:ascii="黑体" w:hAnsi="宋体" w:eastAsia="黑体"/>
          <w:sz w:val="24"/>
        </w:rPr>
        <w:t>14．投标文件的语言及度量单位</w:t>
      </w:r>
    </w:p>
    <w:p>
      <w:pPr>
        <w:ind w:firstLine="411" w:firstLineChars="196"/>
        <w:rPr>
          <w:rFonts w:ascii="宋体" w:hAnsi="宋体" w:eastAsia="宋体"/>
          <w:szCs w:val="21"/>
        </w:rPr>
      </w:pPr>
      <w:r>
        <w:rPr>
          <w:rFonts w:hint="eastAsia" w:ascii="宋体" w:hAnsi="宋体"/>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p>
      <w:pPr>
        <w:spacing w:line="360" w:lineRule="auto"/>
        <w:rPr>
          <w:rFonts w:ascii="黑体" w:hAnsi="宋体" w:eastAsia="黑体"/>
          <w:sz w:val="24"/>
          <w:szCs w:val="24"/>
        </w:rPr>
      </w:pPr>
      <w:r>
        <w:rPr>
          <w:rFonts w:hint="eastAsia" w:ascii="黑体" w:hAnsi="宋体" w:eastAsia="黑体"/>
          <w:sz w:val="24"/>
        </w:rPr>
        <w:t>15．投标文件的组成</w:t>
      </w:r>
    </w:p>
    <w:p>
      <w:pPr>
        <w:ind w:firstLine="412" w:firstLineChars="196"/>
        <w:rPr>
          <w:rFonts w:ascii="宋体" w:hAnsi="宋体" w:eastAsia="宋体"/>
          <w:b/>
          <w:szCs w:val="21"/>
        </w:rPr>
      </w:pPr>
      <w:r>
        <w:rPr>
          <w:rFonts w:hint="eastAsia" w:ascii="宋体" w:hAnsi="宋体"/>
          <w:b/>
          <w:szCs w:val="21"/>
        </w:rPr>
        <w:t>具体内容请详见本项目招标文件第一册“专用条款”的相关内容。</w:t>
      </w:r>
    </w:p>
    <w:p>
      <w:pPr>
        <w:spacing w:line="360" w:lineRule="auto"/>
        <w:rPr>
          <w:rFonts w:ascii="黑体" w:hAnsi="宋体" w:eastAsia="黑体"/>
          <w:sz w:val="24"/>
          <w:szCs w:val="24"/>
        </w:rPr>
      </w:pPr>
      <w:r>
        <w:rPr>
          <w:rFonts w:hint="eastAsia" w:ascii="黑体" w:hAnsi="宋体" w:eastAsia="黑体"/>
          <w:sz w:val="24"/>
        </w:rPr>
        <w:t>16．投标文件格式</w:t>
      </w:r>
    </w:p>
    <w:p>
      <w:pPr>
        <w:ind w:firstLine="411" w:firstLineChars="196"/>
        <w:rPr>
          <w:rFonts w:ascii="宋体" w:hAnsi="宋体" w:eastAsia="宋体"/>
          <w:szCs w:val="21"/>
        </w:rPr>
      </w:pPr>
      <w:r>
        <w:rPr>
          <w:rFonts w:hint="eastAsia" w:ascii="宋体" w:hAnsi="宋体"/>
          <w:szCs w:val="21"/>
        </w:rPr>
        <w:t>投标文件包括本通用条款第15条中规定的内容。如招标文件提供了投标文件格式，则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（表格可以按同样格式扩展）。</w:t>
      </w:r>
    </w:p>
    <w:p>
      <w:pPr>
        <w:spacing w:line="360" w:lineRule="auto"/>
        <w:rPr>
          <w:rFonts w:ascii="黑体" w:hAnsi="宋体" w:eastAsia="黑体"/>
          <w:sz w:val="24"/>
          <w:szCs w:val="24"/>
        </w:rPr>
      </w:pPr>
      <w:r>
        <w:rPr>
          <w:rFonts w:hint="eastAsia" w:ascii="黑体" w:hAnsi="宋体" w:eastAsia="黑体"/>
          <w:sz w:val="24"/>
        </w:rPr>
        <w:t>17．投标货币</w:t>
      </w:r>
    </w:p>
    <w:p>
      <w:pPr>
        <w:ind w:firstLine="411" w:firstLineChars="196"/>
        <w:rPr>
          <w:rFonts w:ascii="宋体" w:hAnsi="宋体" w:eastAsia="宋体"/>
          <w:szCs w:val="21"/>
        </w:rPr>
      </w:pPr>
      <w:r>
        <w:rPr>
          <w:rFonts w:hint="eastAsia" w:ascii="宋体" w:hAnsi="宋体"/>
          <w:szCs w:val="21"/>
        </w:rPr>
        <w:t>如招标文件第一册“专用条款”无另外规定，本项目的投标应以人民币计。</w:t>
      </w:r>
    </w:p>
    <w:p>
      <w:pPr>
        <w:spacing w:line="360" w:lineRule="auto"/>
        <w:rPr>
          <w:rFonts w:ascii="黑体" w:hAnsi="宋体" w:eastAsia="黑体"/>
          <w:sz w:val="24"/>
          <w:szCs w:val="24"/>
        </w:rPr>
      </w:pPr>
      <w:r>
        <w:rPr>
          <w:rFonts w:hint="eastAsia" w:ascii="黑体" w:hAnsi="宋体" w:eastAsia="黑体"/>
          <w:sz w:val="24"/>
        </w:rPr>
        <w:t>18．证明投标文件投标技术方案的合格性和符合招标文件规定的文件要求</w:t>
      </w:r>
    </w:p>
    <w:p>
      <w:pPr>
        <w:ind w:firstLine="411" w:firstLineChars="196"/>
        <w:rPr>
          <w:rFonts w:ascii="宋体" w:hAnsi="宋体" w:eastAsia="宋体"/>
          <w:szCs w:val="21"/>
        </w:rPr>
      </w:pPr>
      <w:r>
        <w:rPr>
          <w:rFonts w:hint="eastAsia" w:ascii="宋体" w:hAnsi="宋体"/>
          <w:szCs w:val="21"/>
        </w:rPr>
        <w:t>18.1 投标人应按照本项目招标文件第一册“专用条款”的要求提交证明文件证明其投标技术方案项下的货物、工程和服务的合格性符合招标文件规定。该投标技术方案及其证明文件作为投标文件的一部分。</w:t>
      </w:r>
    </w:p>
    <w:p>
      <w:pPr>
        <w:ind w:firstLine="411" w:firstLineChars="196"/>
        <w:rPr>
          <w:rFonts w:ascii="宋体" w:hAnsi="宋体"/>
          <w:szCs w:val="21"/>
        </w:rPr>
      </w:pPr>
      <w:r>
        <w:rPr>
          <w:rFonts w:hint="eastAsia" w:ascii="宋体" w:hAnsi="宋体"/>
          <w:szCs w:val="21"/>
        </w:rPr>
        <w:t>18.2 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ascii="宋体" w:hAnsi="宋体"/>
          <w:szCs w:val="21"/>
        </w:rPr>
      </w:pPr>
      <w:r>
        <w:rPr>
          <w:rFonts w:hint="eastAsia" w:ascii="宋体" w:hAnsi="宋体"/>
          <w:szCs w:val="21"/>
        </w:rPr>
        <w:t>18.2.1主要技术指标和性能的详细说明；</w:t>
      </w:r>
    </w:p>
    <w:p>
      <w:pPr>
        <w:ind w:firstLine="411" w:firstLineChars="196"/>
        <w:rPr>
          <w:rFonts w:ascii="宋体" w:hAnsi="宋体"/>
          <w:szCs w:val="21"/>
        </w:rPr>
      </w:pPr>
      <w:r>
        <w:rPr>
          <w:rFonts w:hint="eastAsia" w:ascii="宋体" w:hAnsi="宋体"/>
          <w:szCs w:val="21"/>
        </w:rPr>
        <w:t>18.2.2投标产品从采购人开始使用至招标文件中规定的周期内正常、连续地使用所必须的备件和专用工具清单，包括备件和专用工具的货源及现行价格；</w:t>
      </w:r>
    </w:p>
    <w:p>
      <w:pPr>
        <w:ind w:firstLine="411" w:firstLineChars="196"/>
        <w:rPr>
          <w:rFonts w:ascii="宋体" w:hAnsi="宋体"/>
          <w:szCs w:val="21"/>
        </w:rPr>
      </w:pPr>
      <w:r>
        <w:rPr>
          <w:rFonts w:hint="eastAsia" w:ascii="宋体" w:hAnsi="宋体"/>
          <w:szCs w:val="21"/>
        </w:rPr>
        <w:t>18.2.3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18.2.5我国政府机构出具的产品检验和核准证件应为证件正面、背面和附件标注的全部具体内容；产品检验和核准证件的尺寸和清晰度应该能够被阅读、识别和判断，提供原件复印件。</w:t>
      </w:r>
    </w:p>
    <w:p>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11" w:firstLineChars="196"/>
        <w:rPr>
          <w:rFonts w:ascii="宋体" w:hAnsi="宋体"/>
          <w:szCs w:val="21"/>
        </w:rPr>
      </w:pPr>
      <w:r>
        <w:rPr>
          <w:rFonts w:hint="eastAsia" w:ascii="宋体" w:hAnsi="宋体"/>
          <w:szCs w:val="21"/>
        </w:rPr>
        <w:t>18.4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pPr>
        <w:ind w:firstLine="411" w:firstLineChars="196"/>
        <w:rPr>
          <w:rFonts w:ascii="宋体" w:hAnsi="宋体"/>
          <w:szCs w:val="21"/>
        </w:rPr>
      </w:pPr>
      <w:r>
        <w:rPr>
          <w:rFonts w:hint="eastAsia" w:ascii="宋体" w:hAnsi="宋体"/>
          <w:szCs w:val="21"/>
        </w:rPr>
        <w:t>18.5为保证公平公正，除非另有规定或说明，投标人对同一项目投标时，不得同时提供两套或两套以上的投标方案。</w:t>
      </w:r>
    </w:p>
    <w:p>
      <w:pPr>
        <w:spacing w:line="360" w:lineRule="auto"/>
        <w:rPr>
          <w:rFonts w:ascii="黑体" w:hAnsi="宋体" w:eastAsia="黑体"/>
          <w:sz w:val="24"/>
          <w:szCs w:val="24"/>
        </w:rPr>
      </w:pPr>
      <w:r>
        <w:rPr>
          <w:rFonts w:hint="eastAsia" w:ascii="黑体" w:hAnsi="宋体" w:eastAsia="黑体"/>
          <w:sz w:val="24"/>
        </w:rPr>
        <w:t>19．投标文件其他证明文件的要求</w:t>
      </w:r>
    </w:p>
    <w:p>
      <w:pPr>
        <w:ind w:firstLine="411" w:firstLineChars="196"/>
        <w:rPr>
          <w:rFonts w:ascii="宋体" w:hAnsi="宋体" w:eastAsia="宋体"/>
          <w:szCs w:val="21"/>
        </w:rPr>
      </w:pPr>
      <w:r>
        <w:rPr>
          <w:rFonts w:hint="eastAsia" w:ascii="宋体" w:hAnsi="宋体"/>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无效处理，涉及《评标信息》打分项的则该项评分予以0分处理。</w:t>
      </w:r>
    </w:p>
    <w:p>
      <w:pPr>
        <w:ind w:firstLine="411" w:firstLineChars="196"/>
        <w:rPr>
          <w:rFonts w:ascii="宋体" w:hAnsi="宋体"/>
          <w:szCs w:val="21"/>
        </w:rPr>
      </w:pPr>
      <w:r>
        <w:rPr>
          <w:rFonts w:hint="eastAsia" w:ascii="宋体" w:hAnsi="宋体"/>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spacing w:line="360" w:lineRule="auto"/>
        <w:rPr>
          <w:rFonts w:ascii="黑体" w:hAnsi="宋体" w:eastAsia="黑体"/>
          <w:sz w:val="24"/>
          <w:szCs w:val="24"/>
        </w:rPr>
      </w:pPr>
      <w:r>
        <w:rPr>
          <w:rFonts w:hint="eastAsia" w:ascii="黑体" w:hAnsi="宋体" w:eastAsia="黑体"/>
          <w:sz w:val="24"/>
        </w:rPr>
        <w:t>20．投标有效期</w:t>
      </w:r>
    </w:p>
    <w:p>
      <w:pPr>
        <w:ind w:firstLine="411" w:firstLineChars="196"/>
        <w:rPr>
          <w:rFonts w:ascii="宋体" w:hAnsi="宋体" w:eastAsia="宋体"/>
          <w:szCs w:val="21"/>
        </w:rPr>
      </w:pPr>
      <w:r>
        <w:rPr>
          <w:rFonts w:hint="eastAsia" w:ascii="宋体" w:hAnsi="宋体"/>
          <w:szCs w:val="21"/>
        </w:rPr>
        <w:t>20.1 投标有效期为</w:t>
      </w:r>
      <w:r>
        <w:rPr>
          <w:rFonts w:hint="eastAsia" w:ascii="Arial" w:hAnsi="Arial" w:cs="Arial"/>
          <w:szCs w:val="21"/>
        </w:rPr>
        <w:t>从投标截止之日算起的日历天数，具体见专用条款中投标有效期的天数要求。</w:t>
      </w:r>
      <w:r>
        <w:rPr>
          <w:rFonts w:hint="eastAsia" w:ascii="宋体" w:hAnsi="宋体"/>
          <w:szCs w:val="21"/>
        </w:rPr>
        <w:t>在此期限内，所有投标文件均保持有效；</w:t>
      </w:r>
    </w:p>
    <w:p>
      <w:pPr>
        <w:ind w:firstLine="411" w:firstLineChars="196"/>
        <w:rPr>
          <w:rFonts w:ascii="宋体" w:hAnsi="宋体"/>
          <w:szCs w:val="21"/>
        </w:rPr>
      </w:pPr>
      <w:r>
        <w:rPr>
          <w:rFonts w:hint="eastAsia" w:ascii="宋体" w:hAnsi="宋体"/>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pPr>
        <w:ind w:firstLine="411" w:firstLineChars="196"/>
        <w:rPr>
          <w:rFonts w:ascii="宋体" w:hAnsi="宋体"/>
          <w:szCs w:val="21"/>
        </w:rPr>
      </w:pPr>
      <w:r>
        <w:rPr>
          <w:rFonts w:hint="eastAsia" w:ascii="宋体" w:hAnsi="宋体"/>
          <w:szCs w:val="21"/>
        </w:rPr>
        <w:t>20.3 中标单位的投标书有效期，截止于完成本招标文件规定的全部项目内容，并通过竣工验收及保修结束。</w:t>
      </w:r>
    </w:p>
    <w:p>
      <w:pPr>
        <w:spacing w:line="360" w:lineRule="auto"/>
        <w:rPr>
          <w:rFonts w:ascii="黑体" w:hAnsi="宋体" w:eastAsia="黑体"/>
          <w:sz w:val="24"/>
          <w:szCs w:val="24"/>
        </w:rPr>
      </w:pPr>
      <w:r>
        <w:rPr>
          <w:rFonts w:hint="eastAsia" w:ascii="黑体" w:hAnsi="宋体" w:eastAsia="黑体"/>
          <w:sz w:val="24"/>
        </w:rPr>
        <w:t>21．关于投标保证金</w:t>
      </w:r>
    </w:p>
    <w:p>
      <w:pPr>
        <w:ind w:firstLine="411" w:firstLineChars="196"/>
        <w:rPr>
          <w:rFonts w:ascii="宋体" w:hAnsi="宋体" w:eastAsia="宋体"/>
          <w:szCs w:val="21"/>
        </w:rPr>
      </w:pPr>
      <w:r>
        <w:rPr>
          <w:rFonts w:hint="eastAsia" w:ascii="宋体" w:hAnsi="宋体"/>
          <w:szCs w:val="21"/>
        </w:rPr>
        <w:t>21.1 为切实减轻企业负担，降低制度性交易成本，一般采购项目不收取投标保证金。</w:t>
      </w:r>
    </w:p>
    <w:p>
      <w:pPr>
        <w:ind w:firstLine="411" w:firstLineChars="196"/>
        <w:rPr>
          <w:rFonts w:ascii="宋体" w:hAnsi="宋体"/>
          <w:szCs w:val="21"/>
        </w:rPr>
      </w:pPr>
      <w:r>
        <w:rPr>
          <w:rFonts w:hint="eastAsia" w:ascii="宋体" w:hAnsi="宋体"/>
          <w:szCs w:val="21"/>
        </w:rPr>
        <w:t>21.2 若为重大项目，学校采购机构可自行决定另外收取投标保证金，不受21.1款限制。是否另外收取投标保证金，请见本招标文件“专用条款”《对通用条款的补充内容》中的相关要求。</w:t>
      </w:r>
    </w:p>
    <w:p>
      <w:pPr>
        <w:spacing w:line="360" w:lineRule="auto"/>
        <w:rPr>
          <w:rFonts w:ascii="黑体" w:hAnsi="宋体" w:eastAsia="黑体"/>
          <w:sz w:val="24"/>
          <w:szCs w:val="24"/>
        </w:rPr>
      </w:pPr>
      <w:r>
        <w:rPr>
          <w:rFonts w:hint="eastAsia" w:ascii="黑体" w:hAnsi="宋体" w:eastAsia="黑体"/>
          <w:sz w:val="24"/>
        </w:rPr>
        <w:t>22．投标人的替代方案</w:t>
      </w:r>
    </w:p>
    <w:p>
      <w:pPr>
        <w:ind w:firstLine="411" w:firstLineChars="196"/>
        <w:rPr>
          <w:rFonts w:ascii="宋体" w:hAnsi="宋体" w:eastAsia="宋体"/>
          <w:szCs w:val="21"/>
        </w:rPr>
      </w:pPr>
      <w:r>
        <w:rPr>
          <w:rFonts w:hint="eastAsia" w:ascii="宋体" w:hAnsi="宋体"/>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spacing w:line="360" w:lineRule="auto"/>
        <w:rPr>
          <w:rFonts w:ascii="黑体" w:hAnsi="宋体" w:eastAsia="黑体"/>
          <w:sz w:val="24"/>
          <w:szCs w:val="24"/>
        </w:rPr>
      </w:pPr>
      <w:r>
        <w:rPr>
          <w:rFonts w:hint="eastAsia" w:ascii="黑体" w:hAnsi="宋体" w:eastAsia="黑体"/>
          <w:sz w:val="24"/>
        </w:rPr>
        <w:t>23．投标文件的制作要求</w:t>
      </w:r>
    </w:p>
    <w:p>
      <w:pPr>
        <w:ind w:firstLine="411" w:firstLineChars="196"/>
        <w:rPr>
          <w:rFonts w:ascii="宋体" w:hAnsi="宋体" w:eastAsia="宋体"/>
        </w:rPr>
      </w:pPr>
      <w:r>
        <w:rPr>
          <w:rFonts w:hint="eastAsia" w:ascii="宋体" w:hAnsi="宋体"/>
        </w:rPr>
        <w:t>23.1 投标人需按项目采购文件要求准备所投项目的纸质投标文件正副本。</w:t>
      </w:r>
    </w:p>
    <w:p>
      <w:pPr>
        <w:ind w:firstLine="412" w:firstLineChars="196"/>
        <w:rPr>
          <w:rFonts w:ascii="宋体" w:hAnsi="宋体"/>
        </w:rPr>
      </w:pPr>
      <w:r>
        <w:rPr>
          <w:rFonts w:hint="eastAsia" w:ascii="宋体" w:hAnsi="宋体"/>
          <w:b/>
        </w:rPr>
        <w:tab/>
      </w:r>
      <w:r>
        <w:rPr>
          <w:rFonts w:hint="eastAsia" w:ascii="宋体" w:hAnsi="宋体"/>
        </w:rPr>
        <w:t>23.2 投标人在编辑投标文件时，在投标文件目录中属于本节点内容的必须在本节点中填写；填写到其他节点或附件的，评审委员会有权不予接受，一切后果由供应商自行承担。</w:t>
      </w:r>
    </w:p>
    <w:p>
      <w:pPr>
        <w:ind w:firstLine="411" w:firstLineChars="196"/>
        <w:rPr>
          <w:rFonts w:ascii="宋体" w:hAnsi="宋体"/>
        </w:rPr>
      </w:pPr>
      <w:r>
        <w:rPr>
          <w:rFonts w:hint="eastAsia" w:ascii="宋体" w:hAnsi="宋体"/>
        </w:rPr>
        <w:t>23.3 投标文件要求盖章、签字的地方，应按要求盖章、签字。评审委员会有权将缺、漏盖章、签字的投标文件认定为无效投标。</w:t>
      </w:r>
    </w:p>
    <w:p>
      <w:pPr>
        <w:ind w:firstLine="411" w:firstLineChars="196"/>
        <w:rPr>
          <w:rFonts w:ascii="宋体" w:hAnsi="宋体"/>
        </w:rPr>
      </w:pPr>
      <w:r>
        <w:rPr>
          <w:rFonts w:hint="eastAsia" w:ascii="宋体" w:hAnsi="宋体"/>
        </w:rPr>
        <w:t>23.4 电报、电话、传真形式的投标概不接受。</w:t>
      </w:r>
    </w:p>
    <w:p>
      <w:pPr>
        <w:keepNext/>
        <w:keepLines/>
        <w:numPr>
          <w:ilvl w:val="0"/>
          <w:numId w:val="13"/>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投标文件的递交</w:t>
      </w:r>
    </w:p>
    <w:p>
      <w:pPr>
        <w:spacing w:line="360" w:lineRule="auto"/>
        <w:rPr>
          <w:rFonts w:ascii="黑体" w:hAnsi="宋体" w:eastAsia="黑体"/>
          <w:sz w:val="24"/>
          <w:szCs w:val="24"/>
        </w:rPr>
      </w:pPr>
      <w:r>
        <w:rPr>
          <w:rFonts w:hint="eastAsia" w:ascii="黑体" w:hAnsi="宋体" w:eastAsia="黑体"/>
          <w:sz w:val="24"/>
        </w:rPr>
        <w:t>24．投标书的保密</w:t>
      </w:r>
    </w:p>
    <w:p>
      <w:pPr>
        <w:ind w:firstLine="411" w:firstLineChars="196"/>
        <w:rPr>
          <w:rFonts w:ascii="宋体" w:hAnsi="宋体" w:eastAsia="宋体"/>
        </w:rPr>
      </w:pPr>
      <w:r>
        <w:rPr>
          <w:rFonts w:hint="eastAsia" w:ascii="宋体" w:hAnsi="宋体"/>
        </w:rPr>
        <w:t>24.1在投标文件制作完成后，所有文件必须密封完整且加盖公章。</w:t>
      </w:r>
    </w:p>
    <w:p>
      <w:pPr>
        <w:ind w:firstLine="411" w:firstLineChars="196"/>
        <w:rPr>
          <w:rFonts w:ascii="宋体" w:hAnsi="宋体"/>
        </w:rPr>
      </w:pPr>
      <w:r>
        <w:rPr>
          <w:rFonts w:hint="eastAsia" w:ascii="宋体" w:hAnsi="宋体"/>
        </w:rPr>
        <w:t>24.2 所有投标文件应在其密封封面上注明项目名称、项目编号、投标人名称。</w:t>
      </w:r>
    </w:p>
    <w:p>
      <w:pPr>
        <w:spacing w:line="360" w:lineRule="auto"/>
        <w:rPr>
          <w:rFonts w:ascii="黑体" w:hAnsi="宋体" w:eastAsia="黑体"/>
          <w:sz w:val="24"/>
        </w:rPr>
      </w:pPr>
      <w:r>
        <w:rPr>
          <w:rFonts w:hint="eastAsia" w:ascii="黑体" w:hAnsi="宋体" w:eastAsia="黑体"/>
          <w:sz w:val="24"/>
        </w:rPr>
        <w:t>25．投标截止时间</w:t>
      </w:r>
    </w:p>
    <w:p>
      <w:pPr>
        <w:ind w:firstLine="411" w:firstLineChars="196"/>
        <w:rPr>
          <w:rFonts w:ascii="宋体" w:hAnsi="宋体" w:eastAsia="宋体"/>
        </w:rPr>
      </w:pPr>
      <w:r>
        <w:rPr>
          <w:rFonts w:hint="eastAsia" w:ascii="宋体" w:hAnsi="宋体"/>
        </w:rPr>
        <w:t>25.1投标人必须在采购文件规定的投标截止时间前将密封的投标文件递交到项目指定的地点。</w:t>
      </w:r>
    </w:p>
    <w:p>
      <w:pPr>
        <w:ind w:firstLine="411" w:firstLineChars="196"/>
        <w:rPr>
          <w:rFonts w:ascii="宋体" w:hAnsi="宋体"/>
        </w:rPr>
      </w:pPr>
      <w:r>
        <w:rPr>
          <w:rFonts w:hint="eastAsia" w:ascii="宋体" w:hAnsi="宋体"/>
        </w:rPr>
        <w:t>25.2学校采购机构可以按本通用条款第13条规定，通过修改招标文件自行决定酌情延长投标截止期。在此情况下，学校采购机构、采购人和投标人受投标截止期制约的所有权利和义务均应延长至新的截止期。</w:t>
      </w:r>
    </w:p>
    <w:p>
      <w:pPr>
        <w:ind w:firstLine="411" w:firstLineChars="196"/>
        <w:rPr>
          <w:rFonts w:ascii="宋体" w:hAnsi="宋体"/>
        </w:rPr>
      </w:pPr>
      <w:r>
        <w:rPr>
          <w:rFonts w:hint="eastAsia" w:ascii="宋体" w:hAnsi="宋体"/>
        </w:rPr>
        <w:t>25.3学校采购机构不接受投标截止时间后递交的投标文件。</w:t>
      </w:r>
    </w:p>
    <w:p>
      <w:pPr>
        <w:spacing w:line="360" w:lineRule="auto"/>
        <w:rPr>
          <w:rFonts w:ascii="黑体" w:hAnsi="宋体" w:eastAsia="黑体"/>
          <w:sz w:val="24"/>
        </w:rPr>
      </w:pPr>
      <w:r>
        <w:rPr>
          <w:rFonts w:hint="eastAsia" w:ascii="黑体" w:hAnsi="宋体" w:eastAsia="黑体"/>
          <w:sz w:val="24"/>
        </w:rPr>
        <w:t>26.样品的递交</w:t>
      </w:r>
    </w:p>
    <w:p>
      <w:pPr>
        <w:ind w:firstLine="420"/>
        <w:rPr>
          <w:rFonts w:ascii="宋体" w:hAnsi="宋体" w:eastAsia="宋体"/>
          <w:szCs w:val="21"/>
        </w:rPr>
      </w:pPr>
      <w:r>
        <w:rPr>
          <w:rFonts w:hint="eastAsia" w:ascii="宋体" w:hAnsi="宋体"/>
          <w:szCs w:val="21"/>
        </w:rPr>
        <w:t>26.1 如确有必要，采购人可以要求投标人提供样品。</w:t>
      </w:r>
    </w:p>
    <w:p>
      <w:pPr>
        <w:ind w:firstLine="420"/>
        <w:rPr>
          <w:rFonts w:ascii="宋体" w:hAnsi="宋体"/>
          <w:szCs w:val="21"/>
        </w:rPr>
      </w:pPr>
      <w:r>
        <w:rPr>
          <w:rFonts w:hint="eastAsia" w:ascii="宋体" w:hAnsi="宋体"/>
          <w:szCs w:val="21"/>
        </w:rPr>
        <w:t>26.2 未中标供应商的样品将于招标结束后退还。中标供应商的样品由采购人保留，作为验收的依据。</w:t>
      </w:r>
    </w:p>
    <w:p>
      <w:pPr>
        <w:ind w:firstLine="420"/>
        <w:rPr>
          <w:rFonts w:ascii="宋体" w:hAnsi="宋体"/>
          <w:szCs w:val="21"/>
        </w:rPr>
      </w:pPr>
      <w:r>
        <w:rPr>
          <w:rFonts w:hint="eastAsia" w:ascii="宋体" w:hAnsi="宋体"/>
          <w:szCs w:val="21"/>
        </w:rPr>
        <w:t>26.3投标样品未能及时退回的，学校采购机构工作人员将及时存放到样品室，并发函或电话敦促相关单位取回。经敦促仍未能按规定取回的，视同投标供应商或采购人放弃取回，学校采购机构将定期清理。</w:t>
      </w:r>
    </w:p>
    <w:p>
      <w:pPr>
        <w:spacing w:line="360" w:lineRule="auto"/>
        <w:rPr>
          <w:rFonts w:ascii="黑体" w:hAnsi="宋体" w:eastAsia="黑体"/>
          <w:sz w:val="24"/>
          <w:szCs w:val="24"/>
        </w:rPr>
      </w:pPr>
      <w:r>
        <w:rPr>
          <w:rFonts w:hint="eastAsia" w:ascii="黑体" w:hAnsi="宋体" w:eastAsia="黑体"/>
          <w:sz w:val="24"/>
        </w:rPr>
        <w:t>27．投标文件的修改和撤销</w:t>
      </w:r>
    </w:p>
    <w:p>
      <w:pPr>
        <w:ind w:firstLine="411" w:firstLineChars="196"/>
        <w:rPr>
          <w:rFonts w:ascii="宋体" w:hAnsi="宋体" w:eastAsia="宋体"/>
        </w:rPr>
      </w:pPr>
      <w:r>
        <w:rPr>
          <w:rFonts w:hint="eastAsia" w:ascii="宋体" w:hAnsi="宋体"/>
        </w:rPr>
        <w:t>27.1投标方在提交投标文件后可对其投标文件进行修改或撤回。</w:t>
      </w:r>
    </w:p>
    <w:p>
      <w:pPr>
        <w:ind w:firstLine="411" w:firstLineChars="196"/>
        <w:rPr>
          <w:rFonts w:ascii="宋体" w:hAnsi="宋体"/>
        </w:rPr>
      </w:pPr>
      <w:r>
        <w:rPr>
          <w:rFonts w:hint="eastAsia" w:ascii="宋体" w:hAnsi="宋体"/>
        </w:rPr>
        <w:t>27.2投标截止时间以后不得修改投标文件。</w:t>
      </w:r>
    </w:p>
    <w:p>
      <w:pPr>
        <w:ind w:firstLine="411" w:firstLineChars="196"/>
        <w:rPr>
          <w:rFonts w:ascii="宋体" w:hAnsi="宋体"/>
        </w:rPr>
      </w:pPr>
      <w:r>
        <w:rPr>
          <w:rFonts w:hint="eastAsia" w:ascii="宋体" w:hAnsi="宋体"/>
        </w:rPr>
        <w:t>27.3从投标截止期至投标人在投标书中确定的投标有效期之间的这段时间内，投标人不得撤回其投标。</w:t>
      </w:r>
    </w:p>
    <w:p>
      <w:pPr>
        <w:ind w:firstLine="411" w:firstLineChars="196"/>
        <w:rPr>
          <w:rFonts w:ascii="宋体" w:hAnsi="宋体"/>
          <w:szCs w:val="21"/>
        </w:rPr>
      </w:pPr>
      <w:r>
        <w:rPr>
          <w:rFonts w:hint="eastAsia" w:ascii="宋体" w:hAnsi="宋体"/>
          <w:szCs w:val="21"/>
        </w:rPr>
        <w:t>27.4学校采购机构不退还投标文件，专用条款另有规定的除外。</w:t>
      </w:r>
    </w:p>
    <w:p>
      <w:pPr>
        <w:keepNext/>
        <w:keepLines/>
        <w:numPr>
          <w:ilvl w:val="0"/>
          <w:numId w:val="13"/>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开标</w:t>
      </w:r>
    </w:p>
    <w:p>
      <w:pPr>
        <w:spacing w:line="360" w:lineRule="auto"/>
        <w:rPr>
          <w:rFonts w:ascii="黑体" w:hAnsi="宋体" w:eastAsia="黑体"/>
          <w:sz w:val="24"/>
          <w:szCs w:val="24"/>
        </w:rPr>
      </w:pPr>
      <w:r>
        <w:rPr>
          <w:rFonts w:hint="eastAsia" w:ascii="黑体" w:hAnsi="宋体" w:eastAsia="黑体"/>
          <w:sz w:val="24"/>
        </w:rPr>
        <w:t>28．开标</w:t>
      </w:r>
    </w:p>
    <w:p>
      <w:pPr>
        <w:ind w:firstLine="359" w:firstLineChars="171"/>
        <w:rPr>
          <w:rFonts w:ascii="宋体" w:hAnsi="宋体" w:eastAsia="宋体"/>
          <w:szCs w:val="21"/>
        </w:rPr>
      </w:pPr>
      <w:r>
        <w:rPr>
          <w:rFonts w:hint="eastAsia" w:ascii="宋体" w:hAnsi="宋体"/>
          <w:szCs w:val="21"/>
        </w:rPr>
        <w:t>28.1学校采购机构将在投标截止时间后，对密封的投标文件进行拆封，开标，并在开标现场公布开标结果。</w:t>
      </w:r>
    </w:p>
    <w:p>
      <w:pPr>
        <w:keepNext/>
        <w:keepLines/>
        <w:numPr>
          <w:ilvl w:val="0"/>
          <w:numId w:val="13"/>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评标要求</w:t>
      </w:r>
    </w:p>
    <w:p>
      <w:pPr>
        <w:spacing w:line="360" w:lineRule="auto"/>
        <w:rPr>
          <w:rFonts w:ascii="黑体" w:hAnsi="宋体" w:eastAsia="黑体"/>
          <w:sz w:val="24"/>
          <w:szCs w:val="24"/>
        </w:rPr>
      </w:pPr>
      <w:r>
        <w:rPr>
          <w:rFonts w:hint="eastAsia" w:ascii="黑体" w:hAnsi="宋体" w:eastAsia="黑体"/>
          <w:sz w:val="24"/>
        </w:rPr>
        <w:t>29．评审委员会组成</w:t>
      </w:r>
    </w:p>
    <w:p>
      <w:pPr>
        <w:ind w:firstLine="411" w:firstLineChars="196"/>
        <w:rPr>
          <w:rFonts w:ascii="宋体" w:hAnsi="宋体" w:eastAsia="宋体"/>
        </w:rPr>
      </w:pPr>
      <w:r>
        <w:rPr>
          <w:rFonts w:hint="eastAsia" w:ascii="宋体" w:hAnsi="宋体"/>
        </w:rPr>
        <w:t>29.1开标结束后召开评标会议，评审委员会由学校采购机构依法组建，负责评标活动。</w:t>
      </w:r>
    </w:p>
    <w:p>
      <w:pPr>
        <w:ind w:firstLine="420"/>
        <w:rPr>
          <w:rFonts w:ascii="宋体" w:hAnsi="宋体"/>
        </w:rPr>
      </w:pPr>
      <w:r>
        <w:rPr>
          <w:rFonts w:hint="eastAsia" w:ascii="宋体" w:hAnsi="宋体"/>
        </w:rPr>
        <w:t>评标委员会由采购人代表和评审专家组成，成员人数为5人以上（含5人）单数，其中评审专家不少于成员总数的三分之二。</w:t>
      </w:r>
    </w:p>
    <w:p>
      <w:pPr>
        <w:ind w:firstLine="411" w:firstLineChars="196"/>
        <w:rPr>
          <w:rFonts w:ascii="宋体" w:hAnsi="宋体"/>
        </w:rPr>
      </w:pPr>
      <w:r>
        <w:rPr>
          <w:rFonts w:hint="eastAsia" w:ascii="宋体" w:hAnsi="宋体"/>
        </w:rPr>
        <w:t>为保证评委人选的专业性，以及评标中的公平公正性，评标委员会成员从深圳大学评标专家库中随机抽取。</w:t>
      </w:r>
    </w:p>
    <w:p>
      <w:pPr>
        <w:ind w:firstLine="411" w:firstLineChars="196"/>
        <w:rPr>
          <w:rFonts w:ascii="宋体" w:hAnsi="宋体"/>
        </w:rPr>
      </w:pPr>
      <w:r>
        <w:rPr>
          <w:rFonts w:hint="eastAsia" w:ascii="宋体" w:hAnsi="宋体"/>
        </w:rPr>
        <w:t>29.2评标定标应当遵循公平、公正、科学、择优的原则。</w:t>
      </w:r>
    </w:p>
    <w:p>
      <w:pPr>
        <w:ind w:firstLine="411" w:firstLineChars="196"/>
        <w:rPr>
          <w:rFonts w:ascii="宋体" w:hAnsi="宋体"/>
        </w:rPr>
      </w:pPr>
      <w:r>
        <w:rPr>
          <w:rFonts w:hint="eastAsia" w:ascii="宋体" w:hAnsi="宋体"/>
        </w:rPr>
        <w:t>29.3评标活动依法进行，任何单位和个人不得非法干预评标过程和结果。</w:t>
      </w:r>
    </w:p>
    <w:p>
      <w:pPr>
        <w:ind w:firstLine="411" w:firstLineChars="196"/>
        <w:rPr>
          <w:rFonts w:ascii="宋体" w:hAnsi="宋体"/>
        </w:rPr>
      </w:pPr>
      <w:r>
        <w:rPr>
          <w:rFonts w:hint="eastAsia" w:ascii="宋体" w:hAnsi="宋体"/>
        </w:rPr>
        <w:t>29.4评标过程中不允许违背评标程序或采用招标文件未载明的评标方法或评标因素进行评标。</w:t>
      </w:r>
    </w:p>
    <w:p>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开标后，直到签订合同为止，凡属于对投标文件的审查、澄清、评价和比较的有关资料以及中标候选人的推荐情况、与评标有关的其他任何情况均严格保密（信息公开的内容除外）。</w:t>
      </w:r>
    </w:p>
    <w:p>
      <w:pPr>
        <w:spacing w:line="360" w:lineRule="auto"/>
        <w:rPr>
          <w:rFonts w:ascii="黑体" w:hAnsi="宋体" w:eastAsia="黑体"/>
          <w:sz w:val="24"/>
        </w:rPr>
      </w:pPr>
      <w:r>
        <w:rPr>
          <w:rFonts w:hint="eastAsia" w:ascii="黑体" w:hAnsi="宋体" w:eastAsia="黑体"/>
          <w:sz w:val="24"/>
        </w:rPr>
        <w:t>30．向评审委员会提供的资料</w:t>
      </w:r>
    </w:p>
    <w:p>
      <w:pPr>
        <w:ind w:firstLine="411" w:firstLineChars="196"/>
        <w:rPr>
          <w:rFonts w:ascii="宋体" w:hAnsi="宋体" w:eastAsia="宋体"/>
        </w:rPr>
      </w:pPr>
      <w:r>
        <w:rPr>
          <w:rFonts w:hint="eastAsia" w:ascii="宋体" w:hAnsi="宋体"/>
        </w:rPr>
        <w:t>30.1公开发布的招标文件，包括图纸、服务清单、答疑文件等；</w:t>
      </w:r>
    </w:p>
    <w:p>
      <w:pPr>
        <w:ind w:firstLine="411" w:firstLineChars="196"/>
        <w:rPr>
          <w:rFonts w:ascii="宋体" w:hAnsi="宋体"/>
        </w:rPr>
      </w:pPr>
      <w:r>
        <w:rPr>
          <w:rFonts w:hint="eastAsia" w:ascii="宋体" w:hAnsi="宋体"/>
        </w:rPr>
        <w:t>30.2其他评标必须的资料。</w:t>
      </w:r>
    </w:p>
    <w:p>
      <w:pPr>
        <w:ind w:firstLine="411" w:firstLineChars="196"/>
        <w:rPr>
          <w:rFonts w:ascii="宋体" w:hAnsi="宋体"/>
        </w:rPr>
      </w:pPr>
      <w:r>
        <w:rPr>
          <w:rFonts w:hint="eastAsia" w:ascii="宋体" w:hAnsi="宋体"/>
        </w:rPr>
        <w:t>30.3评审委员会应当认真研究招标文件，至少应了解熟悉以下内容：</w:t>
      </w:r>
    </w:p>
    <w:p>
      <w:pPr>
        <w:ind w:firstLine="411" w:firstLineChars="196"/>
        <w:rPr>
          <w:rFonts w:ascii="宋体" w:hAnsi="宋体"/>
        </w:rPr>
      </w:pPr>
      <w:r>
        <w:rPr>
          <w:rFonts w:hint="eastAsia" w:ascii="宋体" w:hAnsi="宋体"/>
        </w:rPr>
        <w:t>（1）招标的目的；</w:t>
      </w:r>
    </w:p>
    <w:p>
      <w:pPr>
        <w:ind w:firstLine="411" w:firstLineChars="196"/>
        <w:rPr>
          <w:rFonts w:ascii="宋体" w:hAnsi="宋体"/>
        </w:rPr>
      </w:pPr>
      <w:r>
        <w:rPr>
          <w:rFonts w:hint="eastAsia" w:ascii="宋体" w:hAnsi="宋体"/>
        </w:rPr>
        <w:t>（2）招标项目需求的范围和性质；</w:t>
      </w:r>
    </w:p>
    <w:p>
      <w:pPr>
        <w:ind w:firstLine="411" w:firstLineChars="196"/>
        <w:rPr>
          <w:rFonts w:ascii="宋体" w:hAnsi="宋体"/>
        </w:rPr>
      </w:pPr>
      <w:r>
        <w:rPr>
          <w:rFonts w:hint="eastAsia" w:ascii="宋体" w:hAnsi="宋体"/>
        </w:rPr>
        <w:t>（3）招标文件规定的投标人的资格、财政预算限额、商务条款；</w:t>
      </w:r>
    </w:p>
    <w:p>
      <w:pPr>
        <w:ind w:firstLine="411" w:firstLineChars="196"/>
        <w:rPr>
          <w:rFonts w:ascii="宋体" w:hAnsi="宋体"/>
        </w:rPr>
      </w:pPr>
      <w:r>
        <w:rPr>
          <w:rFonts w:hint="eastAsia" w:ascii="宋体" w:hAnsi="宋体"/>
        </w:rPr>
        <w:t>（4）招标文件规定的评标程序、评标方法和评标因素；</w:t>
      </w:r>
    </w:p>
    <w:p>
      <w:pPr>
        <w:ind w:firstLine="411" w:firstLineChars="196"/>
        <w:rPr>
          <w:rFonts w:ascii="宋体" w:hAnsi="宋体"/>
        </w:rPr>
      </w:pPr>
      <w:r>
        <w:rPr>
          <w:rFonts w:hint="eastAsia" w:ascii="宋体" w:hAnsi="宋体"/>
        </w:rPr>
        <w:t>（5）招标文件所列示的资格性审查表及符合性审查表；</w:t>
      </w:r>
    </w:p>
    <w:p>
      <w:pPr>
        <w:spacing w:line="360" w:lineRule="auto"/>
        <w:rPr>
          <w:rFonts w:ascii="黑体" w:hAnsi="宋体" w:eastAsia="黑体"/>
          <w:sz w:val="24"/>
        </w:rPr>
      </w:pPr>
      <w:r>
        <w:rPr>
          <w:rFonts w:hint="eastAsia" w:ascii="黑体" w:hAnsi="宋体" w:eastAsia="黑体"/>
          <w:sz w:val="24"/>
        </w:rPr>
        <w:t>31．独立评标</w:t>
      </w:r>
    </w:p>
    <w:p>
      <w:pPr>
        <w:ind w:firstLine="411" w:firstLineChars="196"/>
        <w:rPr>
          <w:rFonts w:ascii="宋体" w:hAnsi="宋体" w:eastAsia="宋体"/>
          <w:bCs/>
          <w:szCs w:val="21"/>
        </w:rPr>
      </w:pPr>
      <w:r>
        <w:rPr>
          <w:rFonts w:hint="eastAsia" w:ascii="宋体" w:hAnsi="宋体"/>
          <w:bCs/>
        </w:rPr>
        <w:t>30.1评审委员会成员的评标活动应当独立进行，并应遵循投标文件初审、澄清有关问题、比较与评价、确定中标供应商、编写评标报告的工作程序。</w:t>
      </w:r>
    </w:p>
    <w:p>
      <w:pPr>
        <w:keepNext/>
        <w:keepLines/>
        <w:numPr>
          <w:ilvl w:val="0"/>
          <w:numId w:val="13"/>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评标程序及评标方法</w:t>
      </w:r>
    </w:p>
    <w:p>
      <w:pPr>
        <w:spacing w:line="360" w:lineRule="auto"/>
        <w:rPr>
          <w:rFonts w:ascii="黑体" w:hAnsi="宋体" w:eastAsia="黑体"/>
          <w:sz w:val="24"/>
          <w:szCs w:val="24"/>
        </w:rPr>
      </w:pPr>
      <w:r>
        <w:rPr>
          <w:rFonts w:hint="eastAsia" w:ascii="黑体" w:hAnsi="宋体" w:eastAsia="黑体"/>
          <w:sz w:val="24"/>
        </w:rPr>
        <w:t>32．投标文件初审</w:t>
      </w:r>
    </w:p>
    <w:p>
      <w:pPr>
        <w:ind w:firstLine="411" w:firstLineChars="196"/>
        <w:rPr>
          <w:rFonts w:ascii="宋体" w:hAnsi="宋体" w:eastAsia="宋体"/>
        </w:rPr>
      </w:pPr>
      <w:r>
        <w:rPr>
          <w:rFonts w:hint="eastAsia" w:ascii="宋体" w:hAnsi="宋体"/>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pPr>
        <w:ind w:firstLine="411" w:firstLineChars="196"/>
        <w:rPr>
          <w:rFonts w:ascii="宋体" w:hAnsi="宋体"/>
        </w:rPr>
      </w:pPr>
      <w:r>
        <w:rPr>
          <w:rFonts w:hint="eastAsia" w:ascii="宋体" w:hAnsi="宋体"/>
        </w:rPr>
        <w:t>32.2投标文件初审内容请详见《资格性审查表》和《符合性审查表》部分。投标人若有一条审查不通过则按投标无效处理。评审委员会对投标单位打√为通过审查，打×为未通过审查。</w:t>
      </w:r>
    </w:p>
    <w:p>
      <w:pPr>
        <w:ind w:firstLine="411" w:firstLineChars="196"/>
        <w:rPr>
          <w:rFonts w:ascii="宋体" w:hAnsi="宋体"/>
        </w:rPr>
      </w:pPr>
      <w:r>
        <w:rPr>
          <w:rFonts w:hint="eastAsia" w:ascii="宋体" w:hAnsi="宋体"/>
        </w:rPr>
        <w:t>32.3 投标文件初审中关于供应商家数的计算:</w:t>
      </w:r>
    </w:p>
    <w:p>
      <w:pPr>
        <w:ind w:firstLine="411" w:firstLineChars="196"/>
        <w:rPr>
          <w:rFonts w:ascii="宋体" w:hAnsi="宋体"/>
        </w:rPr>
      </w:pPr>
      <w:r>
        <w:rPr>
          <w:rFonts w:hint="eastAsia" w:ascii="宋体" w:hAnsi="宋体"/>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pPr>
        <w:ind w:firstLine="411" w:firstLineChars="196"/>
        <w:rPr>
          <w:rFonts w:ascii="宋体" w:hAnsi="宋体"/>
        </w:rPr>
      </w:pPr>
      <w:r>
        <w:rPr>
          <w:rFonts w:hint="eastAsia" w:ascii="宋体" w:hAnsi="宋体"/>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ind w:firstLine="411" w:firstLineChars="196"/>
        <w:rPr>
          <w:rFonts w:ascii="宋体" w:hAnsi="宋体"/>
        </w:rPr>
      </w:pPr>
      <w:r>
        <w:rPr>
          <w:rFonts w:hint="eastAsia" w:ascii="宋体" w:hAnsi="宋体"/>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rPr>
      </w:pPr>
      <w:r>
        <w:rPr>
          <w:rFonts w:hint="eastAsia" w:ascii="宋体" w:hAnsi="宋体"/>
        </w:rPr>
        <w:t>32.4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11" w:firstLineChars="196"/>
        <w:rPr>
          <w:rFonts w:ascii="宋体" w:hAnsi="宋体"/>
        </w:rPr>
      </w:pPr>
      <w:r>
        <w:rPr>
          <w:rFonts w:hint="eastAsia" w:ascii="宋体" w:hAnsi="宋体"/>
        </w:rPr>
        <w:t>32.5投标人投标文件作无效处理的情形，具体包括但不限于以下：</w:t>
      </w:r>
    </w:p>
    <w:p>
      <w:pPr>
        <w:ind w:firstLine="411" w:firstLineChars="196"/>
        <w:rPr>
          <w:rFonts w:ascii="宋体" w:hAnsi="宋体"/>
        </w:rPr>
      </w:pPr>
      <w:r>
        <w:rPr>
          <w:rFonts w:hint="eastAsia" w:ascii="宋体" w:hAnsi="宋体"/>
        </w:rPr>
        <w:t>32.5.1不同投标人的投标文件由同一单位或者同一个人编制，或者由同一个人分阶段参与编制；</w:t>
      </w:r>
    </w:p>
    <w:p>
      <w:pPr>
        <w:ind w:firstLine="411" w:firstLineChars="196"/>
        <w:rPr>
          <w:rFonts w:ascii="宋体" w:hAnsi="宋体"/>
        </w:rPr>
      </w:pPr>
      <w:r>
        <w:rPr>
          <w:rFonts w:hint="eastAsia" w:ascii="宋体" w:hAnsi="宋体"/>
        </w:rPr>
        <w:t>32.5.2不同投标人委托同一单位或者个人办理投标事宜；</w:t>
      </w:r>
    </w:p>
    <w:p>
      <w:pPr>
        <w:ind w:firstLine="411" w:firstLineChars="196"/>
        <w:rPr>
          <w:rFonts w:ascii="宋体" w:hAnsi="宋体"/>
        </w:rPr>
      </w:pPr>
      <w:r>
        <w:rPr>
          <w:rFonts w:hint="eastAsia" w:ascii="宋体" w:hAnsi="宋体"/>
        </w:rPr>
        <w:t>32.5.3不同投标人的投标文件载明的项目管理成员或者联系人员为同一人；</w:t>
      </w:r>
    </w:p>
    <w:p>
      <w:pPr>
        <w:ind w:firstLine="411" w:firstLineChars="196"/>
        <w:rPr>
          <w:rFonts w:ascii="宋体" w:hAnsi="宋体"/>
        </w:rPr>
      </w:pPr>
      <w:r>
        <w:rPr>
          <w:rFonts w:hint="eastAsia" w:ascii="宋体" w:hAnsi="宋体"/>
        </w:rPr>
        <w:t>32.5.4不同投标人的投标文件异常一致或者投标报价呈规律性差异；</w:t>
      </w:r>
    </w:p>
    <w:p>
      <w:pPr>
        <w:ind w:firstLine="411" w:firstLineChars="196"/>
        <w:rPr>
          <w:rFonts w:ascii="宋体" w:hAnsi="宋体"/>
        </w:rPr>
      </w:pPr>
      <w:r>
        <w:rPr>
          <w:rFonts w:hint="eastAsia" w:ascii="宋体" w:hAnsi="宋体"/>
        </w:rPr>
        <w:t>32.5.5不同投标人的投标文件或部分投标文件相互混装；</w:t>
      </w:r>
    </w:p>
    <w:p>
      <w:pPr>
        <w:ind w:firstLine="411" w:firstLineChars="196"/>
        <w:rPr>
          <w:rFonts w:ascii="宋体" w:hAnsi="宋体"/>
        </w:rPr>
      </w:pPr>
      <w:r>
        <w:rPr>
          <w:rFonts w:hint="eastAsia" w:ascii="宋体" w:hAnsi="宋体"/>
        </w:rPr>
        <w:t>32.5.6投标供应商之间相互约定给予未中标的供应商利益补偿；</w:t>
      </w:r>
    </w:p>
    <w:p>
      <w:pPr>
        <w:ind w:firstLine="411" w:firstLineChars="196"/>
        <w:rPr>
          <w:rFonts w:ascii="宋体" w:hAnsi="宋体"/>
        </w:rPr>
      </w:pPr>
      <w:r>
        <w:rPr>
          <w:rFonts w:hint="eastAsia" w:ascii="宋体" w:hAnsi="宋体"/>
        </w:rPr>
        <w:t>32.5.7不同投标供应商的法定代表人、主要经营负责人、项目投标授权代表人、项目负责人、主要技术人员为同一人、属同一单位或者同一单位缴纳社会保险；</w:t>
      </w:r>
    </w:p>
    <w:p>
      <w:pPr>
        <w:ind w:firstLine="411" w:firstLineChars="196"/>
        <w:rPr>
          <w:rFonts w:ascii="宋体" w:hAnsi="宋体"/>
        </w:rPr>
      </w:pPr>
      <w:r>
        <w:rPr>
          <w:rFonts w:hint="eastAsia" w:ascii="宋体" w:hAnsi="宋体"/>
        </w:rPr>
        <w:t>32.5.8不同投标供应商的投标文件内容存在非正常一致；</w:t>
      </w:r>
    </w:p>
    <w:p>
      <w:pPr>
        <w:ind w:firstLine="411" w:firstLineChars="196"/>
        <w:rPr>
          <w:rFonts w:ascii="宋体" w:hAnsi="宋体"/>
        </w:rPr>
      </w:pPr>
      <w:r>
        <w:rPr>
          <w:rFonts w:hint="eastAsia" w:ascii="宋体" w:hAnsi="宋体"/>
        </w:rPr>
        <w:t>32.5.9在同一单位工作人员为两家以上（含两家）供应商进行同一项投标活动；</w:t>
      </w:r>
    </w:p>
    <w:p>
      <w:pPr>
        <w:ind w:firstLine="411" w:firstLineChars="196"/>
        <w:rPr>
          <w:rFonts w:ascii="宋体" w:hAnsi="宋体"/>
        </w:rPr>
      </w:pPr>
      <w:r>
        <w:rPr>
          <w:rFonts w:hint="eastAsia" w:ascii="宋体" w:hAnsi="宋体"/>
        </w:rPr>
        <w:t>32.5.10主管部门依照法律、法规认定的其他情形。</w:t>
      </w:r>
    </w:p>
    <w:p>
      <w:pPr>
        <w:ind w:firstLine="411" w:firstLineChars="196"/>
        <w:rPr>
          <w:rFonts w:ascii="宋体" w:hAnsi="宋体"/>
        </w:rPr>
      </w:pPr>
      <w:r>
        <w:rPr>
          <w:rFonts w:hint="eastAsia" w:ascii="宋体" w:hAnsi="宋体"/>
        </w:rPr>
        <w:t>32.6 对不属于《资格性审查表》和《符合性审查表》所列的其他情形，除专用条款另有规定和32.5条款所列情形外，不得作为投标无效的理由。</w:t>
      </w:r>
    </w:p>
    <w:p>
      <w:pPr>
        <w:spacing w:line="360" w:lineRule="auto"/>
        <w:rPr>
          <w:rFonts w:ascii="黑体" w:hAnsi="宋体" w:eastAsia="黑体"/>
          <w:sz w:val="24"/>
        </w:rPr>
      </w:pPr>
      <w:r>
        <w:rPr>
          <w:rFonts w:hint="eastAsia" w:ascii="黑体" w:hAnsi="宋体" w:eastAsia="黑体"/>
          <w:sz w:val="24"/>
        </w:rPr>
        <w:t>33．澄清有关问题</w:t>
      </w:r>
    </w:p>
    <w:p>
      <w:pPr>
        <w:ind w:firstLine="411" w:firstLineChars="196"/>
        <w:rPr>
          <w:rFonts w:ascii="宋体" w:hAnsi="宋体" w:eastAsia="宋体"/>
          <w:szCs w:val="21"/>
        </w:rPr>
      </w:pPr>
      <w:r>
        <w:rPr>
          <w:rFonts w:hint="eastAsia" w:ascii="宋体" w:hAnsi="宋体"/>
          <w:szCs w:val="21"/>
        </w:rPr>
        <w:t>对于投标文件中含义不明确、同类问题表述不一致或者有明显文字和计算错误的内容，评审委员会应当以书面形式要求投标人作出必要的澄清、说明或者补正。</w:t>
      </w:r>
    </w:p>
    <w:p>
      <w:pPr>
        <w:ind w:firstLine="411" w:firstLineChars="196"/>
        <w:rPr>
          <w:rFonts w:ascii="宋体" w:hAnsi="宋体"/>
          <w:szCs w:val="21"/>
        </w:rPr>
      </w:pPr>
      <w:r>
        <w:rPr>
          <w:rFonts w:hint="eastAsia" w:ascii="宋体" w:hAnsi="宋体"/>
          <w:szCs w:val="21"/>
        </w:rPr>
        <w:t>投标人的澄清、说明或者补正应当采用书面形式，并加盖公章，或者由法定代表人或其授权的代表签字。投标人的澄清、说明或者补正不得超出投标文件的范围或者改变投标文件的实质性内容。</w:t>
      </w:r>
    </w:p>
    <w:p>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pPr>
        <w:spacing w:line="360" w:lineRule="auto"/>
        <w:rPr>
          <w:rFonts w:ascii="黑体" w:hAnsi="宋体" w:eastAsia="黑体"/>
          <w:sz w:val="24"/>
          <w:szCs w:val="24"/>
        </w:rPr>
      </w:pPr>
      <w:r>
        <w:rPr>
          <w:rFonts w:hint="eastAsia" w:ascii="黑体" w:hAnsi="宋体" w:eastAsia="黑体"/>
          <w:sz w:val="24"/>
        </w:rPr>
        <w:t>34．错误的修正</w:t>
      </w:r>
    </w:p>
    <w:p>
      <w:pPr>
        <w:ind w:firstLine="411" w:firstLineChars="196"/>
        <w:rPr>
          <w:rFonts w:ascii="宋体" w:hAnsi="宋体" w:eastAsia="宋体"/>
          <w:szCs w:val="21"/>
        </w:rPr>
      </w:pPr>
      <w:r>
        <w:rPr>
          <w:rFonts w:hint="eastAsia" w:ascii="宋体" w:hAnsi="宋体"/>
          <w:szCs w:val="21"/>
        </w:rPr>
        <w:t>投标文件报价出现前后不一致的，除专用条款另有规定外，按照下列规定修正：</w:t>
      </w:r>
    </w:p>
    <w:p>
      <w:pPr>
        <w:ind w:firstLine="411" w:firstLineChars="196"/>
        <w:rPr>
          <w:rFonts w:ascii="宋体" w:hAnsi="宋体"/>
          <w:szCs w:val="21"/>
        </w:rPr>
      </w:pPr>
      <w:r>
        <w:rPr>
          <w:rFonts w:hint="eastAsia" w:ascii="宋体" w:hAnsi="宋体"/>
          <w:szCs w:val="21"/>
        </w:rPr>
        <w:t>34.1投标文件中开标一览表内容与投标文件中相应内容不一致的，以开标一览表为准；</w:t>
      </w:r>
    </w:p>
    <w:p>
      <w:pPr>
        <w:ind w:firstLine="411" w:firstLineChars="196"/>
        <w:rPr>
          <w:rFonts w:ascii="宋体" w:hAnsi="宋体"/>
          <w:szCs w:val="21"/>
        </w:rPr>
      </w:pPr>
      <w:r>
        <w:rPr>
          <w:rFonts w:hint="eastAsia" w:ascii="宋体" w:hAnsi="宋体"/>
          <w:szCs w:val="21"/>
        </w:rPr>
        <w:t>34.2大写金额和小写金额不一致的，以大写金额为准；</w:t>
      </w:r>
    </w:p>
    <w:p>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pPr>
        <w:ind w:firstLine="411" w:firstLineChars="196"/>
        <w:rPr>
          <w:rFonts w:ascii="宋体" w:hAnsi="宋体"/>
          <w:szCs w:val="21"/>
        </w:rPr>
      </w:pPr>
      <w:r>
        <w:rPr>
          <w:rFonts w:hint="eastAsia" w:ascii="宋体" w:hAnsi="宋体"/>
          <w:szCs w:val="21"/>
        </w:rPr>
        <w:t>34.4总价金额与按单价汇总金额不一致的，以单价金额计算结果为准。</w:t>
      </w:r>
    </w:p>
    <w:p>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spacing w:line="360" w:lineRule="auto"/>
        <w:rPr>
          <w:rFonts w:ascii="黑体" w:hAnsi="宋体" w:eastAsia="黑体"/>
          <w:sz w:val="24"/>
          <w:szCs w:val="24"/>
        </w:rPr>
      </w:pPr>
      <w:r>
        <w:rPr>
          <w:rFonts w:hint="eastAsia" w:ascii="黑体" w:hAnsi="宋体" w:eastAsia="黑体"/>
          <w:sz w:val="24"/>
        </w:rPr>
        <w:t>35．投标文件的比较与评价</w:t>
      </w:r>
    </w:p>
    <w:p>
      <w:pPr>
        <w:ind w:firstLine="411" w:firstLineChars="196"/>
        <w:rPr>
          <w:rFonts w:ascii="宋体" w:hAnsi="宋体" w:eastAsia="宋体"/>
          <w:szCs w:val="21"/>
        </w:rPr>
      </w:pPr>
      <w:r>
        <w:rPr>
          <w:rFonts w:hint="eastAsia" w:ascii="宋体" w:hAnsi="宋体"/>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评审委员会成员对需要共同认定的事项存在争议的，应当按照少数服从多数的原则作出结论。持不同意见的评审委员会成员应当在评标报告上签署不同意见及理由，否则视为同意评标报告。</w:t>
      </w:r>
    </w:p>
    <w:p>
      <w:pPr>
        <w:spacing w:line="360" w:lineRule="auto"/>
        <w:rPr>
          <w:rFonts w:ascii="黑体" w:hAnsi="宋体" w:eastAsia="黑体"/>
          <w:sz w:val="24"/>
          <w:szCs w:val="24"/>
        </w:rPr>
      </w:pPr>
      <w:r>
        <w:rPr>
          <w:rFonts w:hint="eastAsia" w:ascii="黑体" w:hAnsi="宋体" w:eastAsia="黑体"/>
          <w:sz w:val="24"/>
        </w:rPr>
        <w:t>36.实地考察、演示或设备测试</w:t>
      </w:r>
    </w:p>
    <w:p>
      <w:pPr>
        <w:ind w:firstLine="411" w:firstLineChars="196"/>
        <w:rPr>
          <w:rFonts w:ascii="宋体" w:hAnsi="宋体" w:eastAsia="宋体"/>
          <w:szCs w:val="21"/>
        </w:rPr>
      </w:pPr>
      <w:r>
        <w:rPr>
          <w:rFonts w:hint="eastAsia" w:ascii="宋体" w:hAnsi="宋体"/>
          <w:szCs w:val="21"/>
        </w:rPr>
        <w:t>36.1在招标过程中，评审委员会有权决定是否对本项目投标人进行现场勘察或实地考察或检验有关证明材料的原件。投标人应随时做好接受检查的准备。</w:t>
      </w:r>
    </w:p>
    <w:p>
      <w:pPr>
        <w:ind w:firstLine="411" w:firstLineChars="196"/>
        <w:rPr>
          <w:rFonts w:ascii="宋体" w:hAnsi="宋体"/>
          <w:szCs w:val="21"/>
        </w:rPr>
      </w:pPr>
      <w:r>
        <w:rPr>
          <w:rFonts w:hint="eastAsia" w:ascii="宋体" w:hAnsi="宋体"/>
          <w:szCs w:val="21"/>
        </w:rPr>
        <w:t>36.2若招标文件要求进行现场演示或设备测试的，投标人应做好相应准备。</w:t>
      </w:r>
    </w:p>
    <w:p>
      <w:pPr>
        <w:spacing w:line="360" w:lineRule="auto"/>
        <w:rPr>
          <w:rFonts w:ascii="黑体" w:hAnsi="宋体" w:eastAsia="黑体"/>
          <w:sz w:val="24"/>
          <w:szCs w:val="24"/>
        </w:rPr>
      </w:pPr>
      <w:r>
        <w:rPr>
          <w:rFonts w:hint="eastAsia" w:ascii="黑体" w:hAnsi="宋体" w:eastAsia="黑体"/>
          <w:sz w:val="24"/>
        </w:rPr>
        <w:t>37．评标方法</w:t>
      </w:r>
    </w:p>
    <w:p>
      <w:pPr>
        <w:ind w:firstLine="412" w:firstLineChars="196"/>
        <w:rPr>
          <w:rFonts w:ascii="宋体" w:hAnsi="宋体" w:eastAsia="宋体"/>
          <w:b/>
          <w:bCs/>
          <w:szCs w:val="21"/>
        </w:rPr>
      </w:pPr>
      <w:r>
        <w:rPr>
          <w:rFonts w:hint="eastAsia" w:ascii="宋体" w:hAnsi="宋体"/>
          <w:b/>
          <w:bCs/>
          <w:szCs w:val="21"/>
        </w:rPr>
        <w:t>37.1最低价法</w:t>
      </w:r>
    </w:p>
    <w:p>
      <w:pPr>
        <w:ind w:firstLine="411" w:firstLineChars="196"/>
        <w:rPr>
          <w:rFonts w:ascii="宋体" w:hAnsi="宋体"/>
          <w:bCs/>
          <w:szCs w:val="21"/>
        </w:rPr>
      </w:pPr>
      <w:r>
        <w:rPr>
          <w:rFonts w:hint="eastAsia" w:ascii="宋体" w:hAnsi="宋体"/>
          <w:bCs/>
          <w:szCs w:val="21"/>
        </w:rPr>
        <w:t>最低评标价法，是指投标文件满足招标文件全部实质性要求，且投标报价最低的投标人为中标候选人的评标方法。</w:t>
      </w:r>
    </w:p>
    <w:p>
      <w:pPr>
        <w:ind w:firstLine="412" w:firstLineChars="196"/>
        <w:rPr>
          <w:rFonts w:ascii="宋体" w:hAnsi="宋体"/>
          <w:b/>
          <w:bCs/>
          <w:szCs w:val="21"/>
        </w:rPr>
      </w:pPr>
      <w:r>
        <w:rPr>
          <w:rFonts w:hint="eastAsia" w:ascii="宋体" w:hAnsi="宋体"/>
          <w:b/>
          <w:bCs/>
          <w:szCs w:val="21"/>
        </w:rPr>
        <w:t>37.2综合评分法</w:t>
      </w:r>
    </w:p>
    <w:p>
      <w:pPr>
        <w:ind w:firstLine="411" w:firstLineChars="196"/>
        <w:rPr>
          <w:rFonts w:ascii="宋体" w:hAnsi="宋体"/>
          <w:bCs/>
          <w:szCs w:val="21"/>
        </w:rPr>
      </w:pPr>
      <w:r>
        <w:rPr>
          <w:rFonts w:hint="eastAsia" w:ascii="宋体" w:hAnsi="宋体"/>
          <w:bCs/>
          <w:szCs w:val="21"/>
        </w:rPr>
        <w:t>综合评分法，是指投标文件满足招标文件全部实质性要求，且按照评审因素的量化指标评审得分最高的投标人为中标候选人的评标方法。</w:t>
      </w:r>
    </w:p>
    <w:p>
      <w:pPr>
        <w:ind w:firstLine="412" w:firstLineChars="196"/>
        <w:rPr>
          <w:rFonts w:ascii="宋体" w:hAnsi="宋体"/>
          <w:b/>
          <w:bCs/>
          <w:szCs w:val="21"/>
        </w:rPr>
      </w:pPr>
      <w:r>
        <w:rPr>
          <w:rFonts w:hint="eastAsia" w:ascii="宋体" w:hAnsi="宋体"/>
          <w:b/>
          <w:bCs/>
          <w:szCs w:val="21"/>
        </w:rPr>
        <w:t>37.3定性评审法</w:t>
      </w:r>
    </w:p>
    <w:p>
      <w:pPr>
        <w:ind w:firstLine="411" w:firstLineChars="196"/>
        <w:rPr>
          <w:rFonts w:ascii="宋体" w:hAnsi="宋体"/>
          <w:bCs/>
          <w:szCs w:val="21"/>
        </w:rPr>
      </w:pPr>
      <w:r>
        <w:rPr>
          <w:rFonts w:hint="eastAsia" w:ascii="宋体" w:hAnsi="宋体"/>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pPr>
        <w:ind w:firstLine="412" w:firstLineChars="196"/>
        <w:rPr>
          <w:rFonts w:ascii="宋体" w:hAnsi="宋体"/>
          <w:b/>
          <w:bCs/>
          <w:szCs w:val="21"/>
        </w:rPr>
      </w:pPr>
      <w:r>
        <w:rPr>
          <w:rFonts w:hint="eastAsia" w:ascii="宋体" w:hAnsi="宋体"/>
          <w:b/>
          <w:bCs/>
          <w:szCs w:val="21"/>
        </w:rPr>
        <w:t>37.4 本项目采用的评标方法见本项目招标文件第一册“专用条款”的相关内容。</w:t>
      </w:r>
    </w:p>
    <w:p>
      <w:pPr>
        <w:ind w:firstLine="412" w:firstLineChars="196"/>
        <w:rPr>
          <w:rFonts w:ascii="宋体" w:hAnsi="宋体"/>
          <w:b/>
          <w:bCs/>
          <w:szCs w:val="21"/>
        </w:rPr>
      </w:pPr>
      <w:r>
        <w:rPr>
          <w:rFonts w:hint="eastAsia" w:ascii="宋体" w:hAnsi="宋体"/>
          <w:b/>
          <w:bCs/>
          <w:szCs w:val="21"/>
        </w:rPr>
        <w:t>37.5重新评审的情形</w:t>
      </w:r>
    </w:p>
    <w:p>
      <w:pPr>
        <w:ind w:firstLine="411" w:firstLineChars="196"/>
        <w:rPr>
          <w:rFonts w:ascii="宋体" w:hAnsi="宋体"/>
          <w:bCs/>
          <w:szCs w:val="21"/>
        </w:rPr>
      </w:pPr>
      <w:r>
        <w:rPr>
          <w:rFonts w:hint="eastAsia" w:ascii="宋体" w:hAnsi="宋体"/>
          <w:bCs/>
          <w:szCs w:val="21"/>
        </w:rPr>
        <w:t>评标结果汇总完成后，除下列情形外，任何人不得修改评标结果：</w:t>
      </w:r>
    </w:p>
    <w:p>
      <w:pPr>
        <w:ind w:firstLine="411" w:firstLineChars="196"/>
        <w:rPr>
          <w:rFonts w:ascii="宋体" w:hAnsi="宋体"/>
          <w:bCs/>
          <w:szCs w:val="21"/>
        </w:rPr>
      </w:pPr>
      <w:r>
        <w:rPr>
          <w:rFonts w:hint="eastAsia" w:ascii="宋体" w:hAnsi="宋体"/>
          <w:bCs/>
          <w:szCs w:val="21"/>
        </w:rPr>
        <w:t>（1）分值汇总计算错误的；</w:t>
      </w:r>
    </w:p>
    <w:p>
      <w:pPr>
        <w:ind w:firstLine="411" w:firstLineChars="196"/>
        <w:rPr>
          <w:rFonts w:ascii="宋体" w:hAnsi="宋体"/>
          <w:bCs/>
          <w:szCs w:val="21"/>
        </w:rPr>
      </w:pPr>
      <w:r>
        <w:rPr>
          <w:rFonts w:hint="eastAsia" w:ascii="宋体" w:hAnsi="宋体"/>
          <w:bCs/>
          <w:szCs w:val="21"/>
        </w:rPr>
        <w:t>（2）分项评分超出评分标准范围的；</w:t>
      </w:r>
    </w:p>
    <w:p>
      <w:pPr>
        <w:ind w:firstLine="411" w:firstLineChars="196"/>
        <w:rPr>
          <w:rFonts w:ascii="宋体" w:hAnsi="宋体"/>
          <w:bCs/>
          <w:szCs w:val="21"/>
        </w:rPr>
      </w:pPr>
      <w:r>
        <w:rPr>
          <w:rFonts w:hint="eastAsia" w:ascii="宋体" w:hAnsi="宋体"/>
          <w:bCs/>
          <w:szCs w:val="21"/>
        </w:rPr>
        <w:t>（3）评审委员会成员对客观评审因素评分不一致的；</w:t>
      </w:r>
    </w:p>
    <w:p>
      <w:pPr>
        <w:ind w:firstLine="411" w:firstLineChars="196"/>
        <w:rPr>
          <w:rFonts w:ascii="宋体" w:hAnsi="宋体"/>
          <w:bCs/>
          <w:szCs w:val="21"/>
        </w:rPr>
      </w:pPr>
      <w:r>
        <w:rPr>
          <w:rFonts w:hint="eastAsia" w:ascii="宋体" w:hAnsi="宋体"/>
          <w:bCs/>
          <w:szCs w:val="21"/>
        </w:rPr>
        <w:t>（4）经评审委员会认定评分畸高、畸低的。</w:t>
      </w:r>
    </w:p>
    <w:p>
      <w:pPr>
        <w:ind w:firstLine="411" w:firstLineChars="196"/>
        <w:rPr>
          <w:rFonts w:ascii="宋体" w:hAnsi="宋体"/>
          <w:bCs/>
          <w:szCs w:val="21"/>
        </w:rPr>
      </w:pPr>
      <w:r>
        <w:rPr>
          <w:rFonts w:hint="eastAsia" w:ascii="宋体" w:hAnsi="宋体"/>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pPr>
        <w:ind w:firstLine="411" w:firstLineChars="196"/>
        <w:rPr>
          <w:rFonts w:ascii="宋体" w:hAnsi="宋体"/>
          <w:b/>
          <w:bCs/>
          <w:szCs w:val="21"/>
        </w:rPr>
      </w:pPr>
      <w:r>
        <w:rPr>
          <w:rFonts w:hint="eastAsia" w:ascii="宋体" w:hAnsi="宋体"/>
          <w:bCs/>
          <w:szCs w:val="21"/>
        </w:rPr>
        <w:t>投标人对本条第一款情形提出质疑的，采购人或者学校采购机构可以组织原评审委员会进行重新评审。</w:t>
      </w:r>
    </w:p>
    <w:p>
      <w:pPr>
        <w:ind w:firstLine="412" w:firstLineChars="196"/>
        <w:rPr>
          <w:rFonts w:ascii="宋体" w:hAnsi="宋体"/>
          <w:b/>
          <w:bCs/>
          <w:szCs w:val="21"/>
        </w:rPr>
      </w:pPr>
      <w:r>
        <w:rPr>
          <w:rFonts w:hint="eastAsia" w:ascii="宋体" w:hAnsi="宋体"/>
          <w:b/>
          <w:bCs/>
          <w:szCs w:val="21"/>
        </w:rPr>
        <w:t xml:space="preserve"> 37.6重新组建评审委员会的情形</w:t>
      </w:r>
    </w:p>
    <w:p>
      <w:pPr>
        <w:ind w:firstLine="411" w:firstLineChars="196"/>
        <w:rPr>
          <w:rFonts w:ascii="宋体" w:hAnsi="宋体"/>
          <w:bCs/>
          <w:szCs w:val="21"/>
        </w:rPr>
      </w:pPr>
      <w:r>
        <w:rPr>
          <w:rFonts w:hint="eastAsia" w:ascii="宋体" w:hAnsi="宋体"/>
          <w:bCs/>
          <w:szCs w:val="21"/>
        </w:rPr>
        <w:t>评审委员会或者其成员存在下列情形导致评标结果无效的，重新组建评审委员会进行评标：</w:t>
      </w:r>
    </w:p>
    <w:p>
      <w:pPr>
        <w:ind w:firstLine="411" w:firstLineChars="196"/>
        <w:rPr>
          <w:rFonts w:ascii="宋体" w:hAnsi="宋体"/>
          <w:bCs/>
          <w:szCs w:val="21"/>
        </w:rPr>
      </w:pPr>
      <w:r>
        <w:rPr>
          <w:rFonts w:hint="eastAsia" w:ascii="宋体" w:hAnsi="宋体"/>
          <w:bCs/>
          <w:szCs w:val="21"/>
        </w:rPr>
        <w:t>（1）评审委员会组成不符合相关规定的；</w:t>
      </w:r>
    </w:p>
    <w:p>
      <w:pPr>
        <w:ind w:firstLine="411" w:firstLineChars="196"/>
        <w:rPr>
          <w:rFonts w:ascii="宋体" w:hAnsi="宋体"/>
          <w:bCs/>
          <w:szCs w:val="21"/>
        </w:rPr>
      </w:pPr>
      <w:r>
        <w:rPr>
          <w:rFonts w:hint="eastAsia" w:ascii="宋体" w:hAnsi="宋体"/>
          <w:bCs/>
          <w:szCs w:val="21"/>
        </w:rPr>
        <w:t>（2）有《政府采购货物和服务招标投标管理办法》第六十二条第一至五项情形的；</w:t>
      </w:r>
    </w:p>
    <w:p>
      <w:pPr>
        <w:ind w:firstLine="411" w:firstLineChars="196"/>
        <w:rPr>
          <w:rFonts w:ascii="宋体" w:hAnsi="宋体"/>
          <w:bCs/>
          <w:szCs w:val="21"/>
        </w:rPr>
      </w:pPr>
      <w:r>
        <w:rPr>
          <w:rFonts w:hint="eastAsia" w:ascii="宋体" w:hAnsi="宋体"/>
          <w:bCs/>
          <w:szCs w:val="21"/>
        </w:rPr>
        <w:t>（3）评审委员会及其成员独立评标受到非法干预的；</w:t>
      </w:r>
    </w:p>
    <w:p>
      <w:pPr>
        <w:ind w:firstLine="411" w:firstLineChars="196"/>
        <w:rPr>
          <w:rFonts w:ascii="宋体" w:hAnsi="宋体"/>
          <w:bCs/>
          <w:szCs w:val="21"/>
        </w:rPr>
      </w:pPr>
      <w:r>
        <w:rPr>
          <w:rFonts w:hint="eastAsia" w:ascii="宋体" w:hAnsi="宋体"/>
          <w:bCs/>
          <w:szCs w:val="21"/>
        </w:rPr>
        <w:t>（4）有政府采购法实施条例第七十五条规定的违法行为的。</w:t>
      </w:r>
    </w:p>
    <w:p>
      <w:pPr>
        <w:ind w:firstLine="411" w:firstLineChars="196"/>
        <w:rPr>
          <w:rFonts w:ascii="宋体" w:hAnsi="宋体"/>
          <w:bCs/>
          <w:szCs w:val="21"/>
        </w:rPr>
      </w:pPr>
      <w:r>
        <w:rPr>
          <w:rFonts w:hint="eastAsia" w:ascii="宋体" w:hAnsi="宋体"/>
          <w:bCs/>
          <w:szCs w:val="21"/>
        </w:rPr>
        <w:t>有违法违规行为的原评审委员会成员不得参加重新组建的评审委员会。</w:t>
      </w:r>
    </w:p>
    <w:p>
      <w:pPr>
        <w:keepNext/>
        <w:keepLines/>
        <w:numPr>
          <w:ilvl w:val="0"/>
          <w:numId w:val="13"/>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定标及公示</w:t>
      </w:r>
    </w:p>
    <w:p>
      <w:pPr>
        <w:spacing w:line="360" w:lineRule="auto"/>
        <w:rPr>
          <w:rFonts w:ascii="黑体" w:hAnsi="宋体" w:eastAsia="黑体"/>
          <w:sz w:val="24"/>
          <w:szCs w:val="24"/>
        </w:rPr>
      </w:pPr>
      <w:r>
        <w:rPr>
          <w:rFonts w:hint="eastAsia" w:ascii="黑体" w:hAnsi="宋体" w:eastAsia="黑体"/>
          <w:sz w:val="24"/>
        </w:rPr>
        <w:t>38．定标方法</w:t>
      </w:r>
    </w:p>
    <w:p>
      <w:pPr>
        <w:ind w:firstLine="411" w:firstLineChars="196"/>
        <w:rPr>
          <w:rFonts w:ascii="宋体" w:hAnsi="宋体" w:eastAsia="宋体"/>
          <w:szCs w:val="21"/>
        </w:rPr>
      </w:pPr>
      <w:r>
        <w:rPr>
          <w:rFonts w:hint="eastAsia" w:ascii="宋体" w:hAnsi="宋体"/>
          <w:szCs w:val="21"/>
        </w:rPr>
        <w:t>38.1评审委员会依据本项目招标文件所约定的评标方法进行评审和比较，向学校采购机构提交书面评标报告，并根据评标方法比较评价结果从优到劣进行排序，并推荐中标候选人或确定中标供应商。</w:t>
      </w:r>
    </w:p>
    <w:p>
      <w:pPr>
        <w:ind w:firstLine="411" w:firstLineChars="196"/>
        <w:rPr>
          <w:rFonts w:ascii="宋体" w:hAnsi="宋体"/>
          <w:szCs w:val="21"/>
        </w:rPr>
      </w:pPr>
      <w:r>
        <w:rPr>
          <w:rFonts w:hint="eastAsia" w:ascii="宋体" w:hAnsi="宋体"/>
          <w:szCs w:val="21"/>
        </w:rPr>
        <w:t>38.2采用最低价法的，评标结果按投标报价由低到高顺序排列。投标报价相同的并列。投标文件满足招标文件全部实质性要求且投标报价最低的投标人为排名第一的中标候选人。</w:t>
      </w:r>
    </w:p>
    <w:p>
      <w:pPr>
        <w:ind w:firstLine="411" w:firstLineChars="196"/>
        <w:rPr>
          <w:rFonts w:ascii="宋体" w:hAnsi="宋体"/>
          <w:szCs w:val="21"/>
        </w:rPr>
      </w:pPr>
      <w:r>
        <w:rPr>
          <w:rFonts w:hint="eastAsia" w:ascii="宋体" w:hAnsi="宋体"/>
          <w:szCs w:val="21"/>
        </w:rPr>
        <w:t>38.3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11" w:firstLineChars="196"/>
        <w:rPr>
          <w:rFonts w:ascii="宋体" w:hAnsi="宋体"/>
          <w:szCs w:val="21"/>
        </w:rPr>
      </w:pPr>
      <w:r>
        <w:rPr>
          <w:rFonts w:hint="eastAsia" w:ascii="宋体" w:hAnsi="宋体"/>
          <w:szCs w:val="21"/>
        </w:rPr>
        <w:t>38.4出现并列的情况时，采取随机抽取的方式确定并列的投标人的排序，具体操作办法及流程由评审委员会确定。</w:t>
      </w:r>
    </w:p>
    <w:p>
      <w:pPr>
        <w:ind w:firstLine="411" w:firstLineChars="196"/>
        <w:rPr>
          <w:rFonts w:ascii="宋体" w:hAnsi="宋体"/>
          <w:szCs w:val="21"/>
        </w:rPr>
      </w:pPr>
      <w:r>
        <w:rPr>
          <w:rFonts w:hint="eastAsia" w:ascii="宋体" w:hAnsi="宋体"/>
          <w:szCs w:val="21"/>
        </w:rPr>
        <w:t>38.5专用条款另有规定的，按专用条款相关要求定标。</w:t>
      </w:r>
    </w:p>
    <w:p>
      <w:pPr>
        <w:spacing w:line="360" w:lineRule="auto"/>
        <w:rPr>
          <w:rFonts w:ascii="黑体" w:hAnsi="宋体" w:eastAsia="黑体"/>
          <w:sz w:val="24"/>
          <w:szCs w:val="24"/>
        </w:rPr>
      </w:pPr>
      <w:r>
        <w:rPr>
          <w:rFonts w:hint="eastAsia" w:ascii="黑体" w:hAnsi="宋体" w:eastAsia="黑体"/>
          <w:sz w:val="24"/>
        </w:rPr>
        <w:t>39．编写评标报告</w:t>
      </w:r>
    </w:p>
    <w:p>
      <w:pPr>
        <w:ind w:firstLine="411" w:firstLineChars="196"/>
        <w:rPr>
          <w:rFonts w:ascii="宋体" w:hAnsi="宋体" w:eastAsia="宋体"/>
          <w:szCs w:val="21"/>
        </w:rPr>
      </w:pPr>
      <w:r>
        <w:rPr>
          <w:rFonts w:hint="eastAsia" w:ascii="宋体" w:hAnsi="宋体"/>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pPr>
        <w:spacing w:line="360" w:lineRule="auto"/>
        <w:rPr>
          <w:rFonts w:ascii="黑体" w:hAnsi="宋体" w:eastAsia="黑体"/>
          <w:sz w:val="24"/>
          <w:szCs w:val="24"/>
        </w:rPr>
      </w:pPr>
      <w:r>
        <w:rPr>
          <w:rFonts w:hint="eastAsia" w:ascii="黑体" w:hAnsi="宋体" w:eastAsia="黑体"/>
          <w:sz w:val="24"/>
        </w:rPr>
        <w:t>40．中标公告</w:t>
      </w:r>
    </w:p>
    <w:p>
      <w:pPr>
        <w:ind w:firstLine="411" w:firstLineChars="196"/>
        <w:rPr>
          <w:rFonts w:ascii="宋体" w:hAnsi="宋体" w:eastAsia="宋体"/>
          <w:szCs w:val="21"/>
        </w:rPr>
      </w:pPr>
      <w:r>
        <w:rPr>
          <w:rFonts w:hint="eastAsia" w:ascii="宋体" w:hAnsi="宋体"/>
          <w:szCs w:val="21"/>
        </w:rPr>
        <w:t>40.1为体现“公开、公平、公正”的原则，评标结束后，学校采购机构将在“深圳大学招投标管理中心网站”（</w:t>
      </w:r>
      <w:r>
        <w:fldChar w:fldCharType="begin"/>
      </w:r>
      <w:r>
        <w:instrText xml:space="preserve"> HYPERLINK "http://bidding.szu.edu.cn/" </w:instrText>
      </w:r>
      <w:r>
        <w:fldChar w:fldCharType="separate"/>
      </w:r>
      <w:r>
        <w:rPr>
          <w:rStyle w:val="47"/>
          <w:rFonts w:hint="eastAsia" w:ascii="宋体" w:hAnsi="宋体"/>
          <w:szCs w:val="21"/>
        </w:rPr>
        <w:t>http://bidding.szu.edu.cn/</w:t>
      </w:r>
      <w:r>
        <w:rPr>
          <w:rStyle w:val="47"/>
          <w:rFonts w:hint="eastAsia" w:ascii="宋体" w:hAnsi="宋体"/>
          <w:szCs w:val="21"/>
        </w:rPr>
        <w:fldChar w:fldCharType="end"/>
      </w:r>
      <w:r>
        <w:rPr>
          <w:rFonts w:hint="eastAsia" w:ascii="宋体" w:hAnsi="宋体"/>
          <w:szCs w:val="21"/>
        </w:rPr>
        <w:t>）上发布中标结果公告。供应商如对评标结果有异议，可在发布公示日期起七个工作日内向学校采购机构提出。若在规定期限内未提出质疑，则视为认同该评标结果。</w:t>
      </w:r>
    </w:p>
    <w:p>
      <w:pPr>
        <w:ind w:firstLine="411" w:firstLineChars="196"/>
        <w:rPr>
          <w:rFonts w:ascii="宋体" w:hAnsi="宋体"/>
          <w:szCs w:val="21"/>
        </w:rPr>
      </w:pPr>
      <w:r>
        <w:rPr>
          <w:rFonts w:hint="eastAsia" w:ascii="宋体" w:hAnsi="宋体"/>
          <w:szCs w:val="21"/>
        </w:rPr>
        <w:t>40.2质疑投诉人应保证质疑投诉内容的真实性和可靠性，并承担相应的法律责任。</w:t>
      </w:r>
    </w:p>
    <w:p>
      <w:pPr>
        <w:spacing w:line="360" w:lineRule="auto"/>
        <w:rPr>
          <w:rFonts w:ascii="黑体" w:hAnsi="宋体" w:eastAsia="黑体"/>
          <w:sz w:val="24"/>
          <w:szCs w:val="24"/>
        </w:rPr>
      </w:pPr>
      <w:r>
        <w:rPr>
          <w:rFonts w:hint="eastAsia" w:ascii="黑体" w:hAnsi="宋体" w:eastAsia="黑体"/>
          <w:sz w:val="24"/>
        </w:rPr>
        <w:t>41．中标通知书</w:t>
      </w:r>
    </w:p>
    <w:p>
      <w:pPr>
        <w:ind w:firstLine="411" w:firstLineChars="196"/>
        <w:rPr>
          <w:rFonts w:ascii="宋体" w:hAnsi="宋体" w:eastAsia="宋体"/>
          <w:szCs w:val="21"/>
        </w:rPr>
      </w:pPr>
      <w:r>
        <w:rPr>
          <w:rFonts w:hint="eastAsia" w:ascii="宋体" w:hAnsi="宋体"/>
          <w:szCs w:val="21"/>
        </w:rPr>
        <w:t>41.1中标公告公布以后,在公示期内无有效质疑投诉,中标供应商和采购人可到学校采购机构领取《中标通知书》（咨询电话：0755—26531025，地点：深圳大学粤海校区汇元楼238室）。</w:t>
      </w:r>
    </w:p>
    <w:p>
      <w:pPr>
        <w:ind w:firstLine="411" w:firstLineChars="196"/>
        <w:rPr>
          <w:rFonts w:ascii="宋体" w:hAnsi="宋体"/>
          <w:szCs w:val="21"/>
        </w:rPr>
      </w:pPr>
      <w:r>
        <w:rPr>
          <w:rFonts w:hint="eastAsia" w:ascii="宋体" w:hAnsi="宋体"/>
          <w:szCs w:val="21"/>
        </w:rPr>
        <w:t>41.2中标通知书是合同的重要组成部分。</w:t>
      </w:r>
    </w:p>
    <w:p>
      <w:pPr>
        <w:ind w:firstLine="411" w:firstLineChars="196"/>
        <w:rPr>
          <w:rFonts w:ascii="宋体" w:hAnsi="宋体"/>
          <w:szCs w:val="21"/>
        </w:rPr>
      </w:pPr>
      <w:r>
        <w:rPr>
          <w:rFonts w:hint="eastAsia" w:ascii="宋体" w:hAnsi="宋体"/>
          <w:szCs w:val="21"/>
        </w:rPr>
        <w:t>41.3因质疑投诉或其它原因导致项目结果变更或采购终止的，学校采购机构有权吊销中标通知书或终止采购合同。</w:t>
      </w:r>
    </w:p>
    <w:p>
      <w:pPr>
        <w:keepNext/>
        <w:keepLines/>
        <w:numPr>
          <w:ilvl w:val="0"/>
          <w:numId w:val="13"/>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公开招标失败的后续处理</w:t>
      </w:r>
    </w:p>
    <w:p>
      <w:pPr>
        <w:spacing w:line="360" w:lineRule="auto"/>
        <w:rPr>
          <w:rFonts w:ascii="黑体" w:hAnsi="宋体" w:eastAsia="黑体"/>
          <w:sz w:val="24"/>
          <w:szCs w:val="24"/>
        </w:rPr>
      </w:pPr>
      <w:r>
        <w:rPr>
          <w:rFonts w:hint="eastAsia" w:ascii="黑体" w:hAnsi="宋体" w:eastAsia="黑体"/>
          <w:sz w:val="24"/>
        </w:rPr>
        <w:t>42．公开招标失败的处理</w:t>
      </w:r>
    </w:p>
    <w:p>
      <w:pPr>
        <w:ind w:firstLine="411" w:firstLineChars="196"/>
        <w:rPr>
          <w:rFonts w:ascii="宋体" w:hAnsi="宋体" w:eastAsia="宋体"/>
        </w:rPr>
      </w:pPr>
      <w:r>
        <w:rPr>
          <w:rFonts w:hint="eastAsia" w:ascii="宋体" w:hAnsi="宋体"/>
          <w:szCs w:val="21"/>
        </w:rPr>
        <w:t>42.1本项目公开招标过程中若由于投标截止后</w:t>
      </w:r>
      <w:r>
        <w:rPr>
          <w:rFonts w:hint="eastAsia" w:ascii="宋体" w:hAnsi="宋体"/>
        </w:rPr>
        <w:t>实际递交投标文件的供应商数量不足、经评审委员会评审对招标文件作实质响应的供应商不足等原因造成公开招标失败，可由学校</w:t>
      </w:r>
      <w:r>
        <w:rPr>
          <w:rFonts w:hint="eastAsia" w:ascii="宋体" w:hAnsi="宋体" w:cs="宋体"/>
        </w:rPr>
        <w:t>采购机构</w:t>
      </w:r>
      <w:r>
        <w:rPr>
          <w:rFonts w:hint="eastAsia" w:ascii="宋体" w:hAnsi="宋体"/>
        </w:rPr>
        <w:t>重新组织采购。</w:t>
      </w:r>
    </w:p>
    <w:p>
      <w:pPr>
        <w:ind w:firstLine="411" w:firstLineChars="196"/>
        <w:rPr>
          <w:rFonts w:ascii="宋体" w:hAnsi="宋体"/>
          <w:szCs w:val="21"/>
        </w:rPr>
      </w:pPr>
      <w:r>
        <w:rPr>
          <w:rFonts w:hint="eastAsia" w:ascii="宋体" w:hAnsi="宋体"/>
          <w:szCs w:val="21"/>
        </w:rPr>
        <w:t>42.2对公开招标失败的项目，评审委员会在出具该项目招标失败结论的同时，提出重新采购组织形式的建议，以及进一步完善招标文件的资格、技术、商务要求的修改建议。</w:t>
      </w:r>
    </w:p>
    <w:p>
      <w:pPr>
        <w:ind w:firstLine="411" w:firstLineChars="196"/>
        <w:rPr>
          <w:rFonts w:ascii="宋体" w:hAnsi="宋体"/>
          <w:szCs w:val="21"/>
        </w:rPr>
      </w:pPr>
      <w:r>
        <w:rPr>
          <w:rFonts w:hint="eastAsia" w:ascii="宋体" w:hAnsi="宋体"/>
          <w:szCs w:val="21"/>
        </w:rPr>
        <w:t>42.3重新组织采购有以下两种组织形式：</w:t>
      </w:r>
    </w:p>
    <w:p>
      <w:pPr>
        <w:ind w:firstLine="411" w:firstLineChars="196"/>
        <w:rPr>
          <w:rFonts w:ascii="宋体" w:hAnsi="宋体"/>
          <w:szCs w:val="24"/>
        </w:rPr>
      </w:pPr>
      <w:r>
        <w:rPr>
          <w:rFonts w:hint="eastAsia" w:ascii="宋体" w:hAnsi="宋体"/>
        </w:rPr>
        <w:t>（1）由学校采购机构重新组织公开招标；</w:t>
      </w:r>
    </w:p>
    <w:p>
      <w:pPr>
        <w:ind w:firstLine="411" w:firstLineChars="196"/>
        <w:rPr>
          <w:rFonts w:ascii="宋体" w:hAnsi="宋体"/>
        </w:rPr>
      </w:pPr>
      <w:r>
        <w:rPr>
          <w:rFonts w:hint="eastAsia" w:ascii="宋体" w:hAnsi="宋体"/>
        </w:rPr>
        <w:t>（2）根据实际情况，依照学校的有关规定申请将招标失败的采购项目转为竞争性谈判或单一来源谈判方式采购。</w:t>
      </w:r>
    </w:p>
    <w:p>
      <w:pPr>
        <w:ind w:firstLine="411" w:firstLineChars="196"/>
        <w:rPr>
          <w:rFonts w:ascii="宋体" w:hAnsi="宋体"/>
        </w:rPr>
      </w:pPr>
      <w:r>
        <w:rPr>
          <w:rFonts w:hint="eastAsia" w:ascii="宋体" w:hAnsi="宋体"/>
        </w:rPr>
        <w:t>42.4公开招标失败的采购项目重新组织公开招标，学校采购机构重新按公开招标流程组织采购活动。</w:t>
      </w:r>
    </w:p>
    <w:p>
      <w:pPr>
        <w:ind w:firstLine="411" w:firstLineChars="196"/>
        <w:rPr>
          <w:rFonts w:ascii="宋体" w:hAnsi="宋体"/>
        </w:rPr>
      </w:pPr>
      <w:r>
        <w:rPr>
          <w:rFonts w:hint="eastAsia" w:ascii="宋体" w:hAnsi="宋体"/>
        </w:rPr>
        <w:t>42.5公开招标失败的采购项目按照《深圳大学采购管理办法》及相关规定的程序批准转为竞争性谈判或单一来源谈判方式采购的，按规定要求组织采购活动。</w:t>
      </w:r>
    </w:p>
    <w:p>
      <w:pPr>
        <w:keepNext/>
        <w:keepLines/>
        <w:numPr>
          <w:ilvl w:val="0"/>
          <w:numId w:val="13"/>
        </w:numPr>
        <w:adjustRightInd w:val="0"/>
        <w:spacing w:before="231" w:beforeLines="50" w:after="231" w:afterLines="50"/>
        <w:ind w:left="643" w:hanging="643"/>
        <w:jc w:val="center"/>
        <w:textAlignment w:val="baseline"/>
        <w:outlineLvl w:val="1"/>
        <w:rPr>
          <w:rFonts w:ascii="Arial" w:hAnsi="Arial" w:eastAsia="黑体"/>
          <w:b/>
          <w:bCs/>
          <w:sz w:val="28"/>
          <w:szCs w:val="28"/>
        </w:rPr>
      </w:pPr>
      <w:r>
        <w:rPr>
          <w:rFonts w:hint="eastAsia" w:ascii="Arial" w:hAnsi="Arial" w:eastAsia="黑体"/>
          <w:b/>
          <w:bCs/>
          <w:sz w:val="32"/>
          <w:szCs w:val="32"/>
        </w:rPr>
        <w:t>合同的授予与备案</w:t>
      </w:r>
    </w:p>
    <w:p>
      <w:pPr>
        <w:spacing w:line="360" w:lineRule="auto"/>
        <w:rPr>
          <w:rFonts w:ascii="黑体" w:hAnsi="宋体" w:eastAsia="黑体"/>
          <w:sz w:val="24"/>
          <w:szCs w:val="24"/>
        </w:rPr>
      </w:pPr>
      <w:r>
        <w:rPr>
          <w:rFonts w:hint="eastAsia" w:ascii="黑体" w:hAnsi="宋体" w:eastAsia="黑体"/>
          <w:sz w:val="24"/>
        </w:rPr>
        <w:t>43．合同授予标准</w:t>
      </w:r>
    </w:p>
    <w:p>
      <w:pPr>
        <w:ind w:firstLine="411" w:firstLineChars="196"/>
        <w:rPr>
          <w:rFonts w:ascii="宋体" w:hAnsi="宋体" w:eastAsia="宋体"/>
          <w:szCs w:val="21"/>
        </w:rPr>
      </w:pPr>
      <w:r>
        <w:rPr>
          <w:rFonts w:hint="eastAsia" w:ascii="宋体" w:hAnsi="宋体"/>
          <w:szCs w:val="21"/>
        </w:rPr>
        <w:t>本项目的合同将授予按本招标文件规定评审确定的中标人。</w:t>
      </w:r>
    </w:p>
    <w:p>
      <w:pPr>
        <w:spacing w:line="360" w:lineRule="auto"/>
        <w:rPr>
          <w:rFonts w:ascii="黑体" w:hAnsi="宋体" w:eastAsia="黑体"/>
          <w:sz w:val="24"/>
          <w:szCs w:val="24"/>
        </w:rPr>
      </w:pPr>
      <w:r>
        <w:rPr>
          <w:rFonts w:hint="eastAsia" w:ascii="黑体" w:hAnsi="宋体" w:eastAsia="黑体"/>
          <w:sz w:val="24"/>
        </w:rPr>
        <w:t>44．接受和拒绝任何或所有投标的权力</w:t>
      </w:r>
    </w:p>
    <w:p>
      <w:pPr>
        <w:ind w:firstLine="411" w:firstLineChars="196"/>
        <w:rPr>
          <w:rFonts w:ascii="宋体" w:hAnsi="宋体" w:eastAsia="宋体"/>
          <w:szCs w:val="21"/>
        </w:rPr>
      </w:pPr>
      <w:r>
        <w:rPr>
          <w:rFonts w:hint="eastAsia" w:ascii="宋体" w:hAnsi="宋体"/>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pPr>
        <w:spacing w:line="360" w:lineRule="auto"/>
        <w:rPr>
          <w:rFonts w:ascii="黑体" w:hAnsi="宋体" w:eastAsia="黑体"/>
          <w:sz w:val="24"/>
          <w:szCs w:val="24"/>
        </w:rPr>
      </w:pPr>
      <w:r>
        <w:rPr>
          <w:rFonts w:hint="eastAsia" w:ascii="黑体" w:hAnsi="宋体" w:eastAsia="黑体"/>
          <w:sz w:val="24"/>
        </w:rPr>
        <w:t>45．合同协议书的签订</w:t>
      </w:r>
    </w:p>
    <w:p>
      <w:pPr>
        <w:ind w:firstLine="411" w:firstLineChars="196"/>
        <w:rPr>
          <w:rFonts w:ascii="宋体" w:hAnsi="宋体" w:eastAsia="宋体"/>
          <w:szCs w:val="21"/>
        </w:rPr>
      </w:pPr>
      <w:r>
        <w:rPr>
          <w:rFonts w:hint="eastAsia" w:ascii="宋体" w:hAnsi="宋体"/>
          <w:szCs w:val="21"/>
        </w:rPr>
        <w:t>45.1中标人将于中标通知书发出之日起10个工作日内，按照采购文件（招标文件和投标文件等）内容与采购人签订政府采购合同；合同的实质性内容应当符合招标文件的规定。</w:t>
      </w:r>
    </w:p>
    <w:p>
      <w:pPr>
        <w:spacing w:line="0" w:lineRule="atLeast"/>
        <w:ind w:firstLine="411" w:firstLineChars="196"/>
        <w:rPr>
          <w:rFonts w:ascii="宋体" w:hAnsi="宋体"/>
          <w:szCs w:val="21"/>
        </w:rPr>
      </w:pPr>
      <w:r>
        <w:rPr>
          <w:rFonts w:hint="eastAsia" w:ascii="宋体" w:hAnsi="宋体"/>
          <w:szCs w:val="21"/>
        </w:rPr>
        <w:t>45.2中标人如不按本通用条款第45.1款的规定与采购人签订合同，学校采购机构将有充分的理由取消中标人的中标，并计入供应商诚信档案。</w:t>
      </w:r>
    </w:p>
    <w:p>
      <w:pPr>
        <w:spacing w:line="0" w:lineRule="atLeast"/>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pPr>
        <w:spacing w:line="360" w:lineRule="auto"/>
        <w:rPr>
          <w:rFonts w:ascii="黑体" w:hAnsi="宋体" w:eastAsia="黑体"/>
          <w:sz w:val="24"/>
          <w:szCs w:val="24"/>
        </w:rPr>
      </w:pPr>
      <w:r>
        <w:rPr>
          <w:rFonts w:hint="eastAsia" w:ascii="黑体" w:hAnsi="宋体" w:eastAsia="黑体"/>
          <w:sz w:val="24"/>
        </w:rPr>
        <w:t>46．履约担保</w:t>
      </w:r>
    </w:p>
    <w:p>
      <w:pPr>
        <w:spacing w:line="0" w:lineRule="atLeast"/>
        <w:ind w:firstLine="411" w:firstLineChars="196"/>
        <w:rPr>
          <w:rFonts w:ascii="宋体" w:hAnsi="宋体" w:eastAsia="宋体"/>
          <w:szCs w:val="21"/>
        </w:rPr>
      </w:pPr>
      <w:r>
        <w:rPr>
          <w:rFonts w:hint="eastAsia" w:ascii="宋体" w:hAnsi="宋体"/>
          <w:szCs w:val="21"/>
        </w:rPr>
        <w:t>46.1在签订项目合同的同时，中标人应按“对通用条款的补充内容”中规定的金额向采购人提交履约保证金。</w:t>
      </w:r>
    </w:p>
    <w:p>
      <w:pPr>
        <w:spacing w:line="0" w:lineRule="atLeast"/>
        <w:ind w:firstLine="411" w:firstLineChars="196"/>
        <w:rPr>
          <w:rFonts w:ascii="宋体" w:hAnsi="宋体"/>
          <w:szCs w:val="21"/>
        </w:rPr>
      </w:pPr>
      <w:r>
        <w:rPr>
          <w:rFonts w:hint="eastAsia" w:ascii="宋体" w:hAnsi="宋体"/>
          <w:szCs w:val="21"/>
        </w:rPr>
        <w:t>46.2如果中标人不能按“对通用条款的补充内容”中规</w:t>
      </w:r>
      <w:r>
        <w:rPr>
          <w:rFonts w:hint="eastAsia"/>
        </w:rPr>
        <w:t>定的金额向采购人提交履约保证金，采购人将有充分的理由通过学校采购机构取消其中标，给采购人造成</w:t>
      </w:r>
      <w:r>
        <w:rPr>
          <w:rFonts w:hint="eastAsia" w:ascii="宋体" w:hAnsi="宋体"/>
          <w:szCs w:val="21"/>
        </w:rPr>
        <w:t>的损失，中标人还应当予以赔偿。</w:t>
      </w:r>
    </w:p>
    <w:p>
      <w:pPr>
        <w:spacing w:line="360" w:lineRule="auto"/>
        <w:rPr>
          <w:rFonts w:ascii="黑体" w:hAnsi="宋体" w:eastAsia="黑体"/>
          <w:sz w:val="24"/>
          <w:szCs w:val="24"/>
        </w:rPr>
      </w:pPr>
      <w:r>
        <w:rPr>
          <w:rFonts w:hint="eastAsia" w:ascii="黑体" w:hAnsi="宋体" w:eastAsia="黑体"/>
          <w:sz w:val="24"/>
        </w:rPr>
        <w:t>47.合同的备案</w:t>
      </w:r>
    </w:p>
    <w:p>
      <w:pPr>
        <w:spacing w:line="0" w:lineRule="atLeast"/>
        <w:ind w:firstLine="411" w:firstLineChars="196"/>
        <w:rPr>
          <w:rFonts w:ascii="宋体" w:hAnsi="宋体" w:eastAsia="宋体"/>
          <w:szCs w:val="21"/>
        </w:rPr>
      </w:pPr>
      <w:r>
        <w:rPr>
          <w:rFonts w:hint="eastAsia" w:ascii="宋体" w:hAnsi="宋体"/>
          <w:szCs w:val="21"/>
        </w:rPr>
        <w:t>采购人与中标人应于合同签订之日起10日内，由采购人或委托中标人将采购合同副本抄送学校采购机构备案。</w:t>
      </w:r>
    </w:p>
    <w:p>
      <w:pPr>
        <w:spacing w:line="360" w:lineRule="auto"/>
        <w:rPr>
          <w:rFonts w:ascii="黑体" w:hAnsi="宋体" w:eastAsia="黑体"/>
          <w:sz w:val="24"/>
          <w:szCs w:val="24"/>
        </w:rPr>
      </w:pPr>
      <w:r>
        <w:rPr>
          <w:rFonts w:hint="eastAsia" w:ascii="黑体" w:hAnsi="宋体" w:eastAsia="黑体"/>
          <w:sz w:val="24"/>
        </w:rPr>
        <w:t>48.履约情况的反馈</w:t>
      </w:r>
    </w:p>
    <w:p>
      <w:pPr>
        <w:spacing w:line="0" w:lineRule="atLeast"/>
        <w:ind w:firstLine="411" w:firstLineChars="196"/>
        <w:rPr>
          <w:rFonts w:ascii="宋体" w:hAnsi="宋体" w:eastAsia="宋体"/>
          <w:szCs w:val="21"/>
        </w:rPr>
      </w:pPr>
      <w:r>
        <w:rPr>
          <w:rFonts w:hint="eastAsia" w:ascii="宋体" w:hAnsi="宋体"/>
          <w:szCs w:val="21"/>
        </w:rPr>
        <w:t>采购人应及时向学校采购机构反馈中标人的履约情况（填写《深圳大学</w:t>
      </w:r>
      <w:r>
        <w:rPr>
          <w:rFonts w:hint="eastAsia"/>
        </w:rPr>
        <w:t>采购履约情况反馈表》</w:t>
      </w:r>
      <w:r>
        <w:rPr>
          <w:rFonts w:hint="eastAsia" w:ascii="宋体" w:hAnsi="宋体"/>
          <w:szCs w:val="21"/>
        </w:rPr>
        <w:t>），中标人的履约情况将作为供应商考核的重要依据，并将成为日后深圳大学采购活动中的项目评标依据。</w:t>
      </w:r>
    </w:p>
    <w:p>
      <w:pPr>
        <w:spacing w:line="360" w:lineRule="auto"/>
        <w:rPr>
          <w:rFonts w:ascii="黑体" w:hAnsi="宋体" w:eastAsia="黑体"/>
          <w:sz w:val="24"/>
          <w:szCs w:val="24"/>
        </w:rPr>
      </w:pPr>
      <w:r>
        <w:rPr>
          <w:rFonts w:hint="eastAsia" w:ascii="黑体" w:hAnsi="宋体" w:eastAsia="黑体"/>
          <w:sz w:val="24"/>
        </w:rPr>
        <w:t>49．腐败和欺诈行为</w:t>
      </w:r>
    </w:p>
    <w:p>
      <w:pPr>
        <w:spacing w:line="0" w:lineRule="atLeast"/>
        <w:ind w:firstLine="411" w:firstLineChars="196"/>
        <w:rPr>
          <w:rFonts w:ascii="宋体" w:hAnsi="宋体" w:eastAsia="宋体"/>
          <w:szCs w:val="21"/>
        </w:rPr>
      </w:pPr>
      <w:r>
        <w:rPr>
          <w:rFonts w:hint="eastAsia" w:ascii="宋体" w:hAnsi="宋体"/>
          <w:szCs w:val="21"/>
        </w:rPr>
        <w:t>49.1 “腐败行为”是指提供、给予、接受或索取任何有价值的东西来影响招标方或采购人在采购过程或合同实施过程中的行为；</w:t>
      </w:r>
    </w:p>
    <w:p>
      <w:pPr>
        <w:spacing w:line="0" w:lineRule="atLeast"/>
        <w:ind w:firstLine="411" w:firstLineChars="196"/>
        <w:rPr>
          <w:rFonts w:ascii="宋体" w:hAnsi="宋体"/>
          <w:szCs w:val="21"/>
        </w:rPr>
      </w:pPr>
      <w:r>
        <w:rPr>
          <w:rFonts w:hint="eastAsia" w:ascii="宋体" w:hAnsi="宋体"/>
          <w:szCs w:val="21"/>
        </w:rPr>
        <w:t>49.2 “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pPr>
        <w:spacing w:line="0" w:lineRule="atLeast"/>
        <w:ind w:firstLine="411" w:firstLineChars="196"/>
        <w:rPr>
          <w:rFonts w:ascii="宋体" w:hAnsi="宋体"/>
          <w:szCs w:val="21"/>
        </w:rPr>
      </w:pPr>
      <w:r>
        <w:rPr>
          <w:rFonts w:hint="eastAsia" w:ascii="宋体" w:hAnsi="宋体"/>
          <w:szCs w:val="21"/>
        </w:rPr>
        <w:t>49.3如果评审委员会认为投标人在本合同的竞争中有腐败和欺诈行为，则拒绝接受该投标。</w:t>
      </w:r>
    </w:p>
    <w:p>
      <w:pPr>
        <w:spacing w:line="0" w:lineRule="atLeast"/>
        <w:ind w:firstLine="411" w:firstLineChars="196"/>
        <w:rPr>
          <w:rFonts w:ascii="宋体" w:hAnsi="宋体"/>
          <w:szCs w:val="21"/>
        </w:rPr>
      </w:pPr>
      <w:r>
        <w:rPr>
          <w:rFonts w:hint="eastAsia" w:ascii="宋体" w:hAnsi="宋体"/>
          <w:szCs w:val="21"/>
        </w:rPr>
        <w:t>49.4如果投标人或中标人在采购合同的竞争和实施过程中有腐败和欺诈行为，深圳大学将依据《中华人民共和国合同法》、《深圳经济特区政府采购条例》有关法律法规追究其责任。</w:t>
      </w:r>
    </w:p>
    <w:p>
      <w:pPr>
        <w:keepNext/>
        <w:keepLines/>
        <w:numPr>
          <w:ilvl w:val="0"/>
          <w:numId w:val="13"/>
        </w:numPr>
        <w:adjustRightInd w:val="0"/>
        <w:spacing w:before="231" w:beforeLines="50" w:after="231" w:afterLines="50"/>
        <w:ind w:left="643" w:hanging="643"/>
        <w:jc w:val="center"/>
        <w:textAlignment w:val="baseline"/>
        <w:outlineLvl w:val="1"/>
        <w:rPr>
          <w:rFonts w:ascii="Arial" w:hAnsi="Arial" w:eastAsia="黑体"/>
          <w:b/>
          <w:bCs/>
          <w:sz w:val="32"/>
          <w:szCs w:val="32"/>
        </w:rPr>
      </w:pPr>
      <w:r>
        <w:rPr>
          <w:rFonts w:hint="eastAsia" w:ascii="Arial" w:hAnsi="Arial" w:eastAsia="黑体"/>
          <w:b/>
          <w:bCs/>
          <w:sz w:val="32"/>
          <w:szCs w:val="32"/>
        </w:rPr>
        <w:t>质疑处理</w:t>
      </w:r>
    </w:p>
    <w:p>
      <w:pPr>
        <w:spacing w:line="360" w:lineRule="auto"/>
        <w:rPr>
          <w:rFonts w:ascii="黑体" w:hAnsi="宋体" w:eastAsia="黑体"/>
          <w:sz w:val="24"/>
          <w:szCs w:val="24"/>
        </w:rPr>
      </w:pPr>
      <w:r>
        <w:rPr>
          <w:rFonts w:hint="eastAsia" w:ascii="黑体" w:hAnsi="宋体" w:eastAsia="黑体"/>
          <w:sz w:val="24"/>
        </w:rPr>
        <w:t>50.质疑处理原则</w:t>
      </w:r>
    </w:p>
    <w:p>
      <w:pPr>
        <w:ind w:firstLine="411" w:firstLineChars="196"/>
        <w:rPr>
          <w:rFonts w:ascii="宋体" w:hAnsi="宋体" w:eastAsia="宋体"/>
          <w:szCs w:val="21"/>
        </w:rPr>
      </w:pPr>
      <w:r>
        <w:rPr>
          <w:rFonts w:hint="eastAsia" w:ascii="宋体" w:hAnsi="宋体"/>
          <w:szCs w:val="21"/>
        </w:rPr>
        <w:t>50.1质疑处理遵循公平、公正、规范、高效的原则。</w:t>
      </w:r>
    </w:p>
    <w:p>
      <w:pPr>
        <w:ind w:firstLine="411" w:firstLineChars="196"/>
        <w:rPr>
          <w:rFonts w:ascii="宋体" w:hAnsi="宋体"/>
          <w:szCs w:val="21"/>
        </w:rPr>
      </w:pPr>
      <w:r>
        <w:rPr>
          <w:rFonts w:hint="eastAsia" w:ascii="宋体" w:hAnsi="宋体"/>
          <w:szCs w:val="21"/>
        </w:rPr>
        <w:t>50.2供应商质疑实行实名制和“谁质疑，谁举证”的原则，质疑应有具体的事项及事实根据。</w:t>
      </w:r>
    </w:p>
    <w:p>
      <w:pPr>
        <w:spacing w:line="360" w:lineRule="auto"/>
        <w:rPr>
          <w:rFonts w:ascii="黑体" w:hAnsi="宋体" w:eastAsia="黑体"/>
          <w:sz w:val="24"/>
          <w:szCs w:val="24"/>
        </w:rPr>
      </w:pPr>
      <w:r>
        <w:rPr>
          <w:rFonts w:hint="eastAsia" w:ascii="黑体" w:hAnsi="宋体" w:eastAsia="黑体"/>
          <w:sz w:val="24"/>
        </w:rPr>
        <w:t>51.质疑的提出与答复</w:t>
      </w:r>
    </w:p>
    <w:p>
      <w:pPr>
        <w:ind w:firstLine="411" w:firstLineChars="196"/>
        <w:rPr>
          <w:rFonts w:ascii="宋体" w:hAnsi="宋体" w:eastAsia="宋体"/>
          <w:szCs w:val="21"/>
        </w:rPr>
      </w:pPr>
      <w:r>
        <w:rPr>
          <w:rFonts w:hint="eastAsia" w:ascii="宋体" w:hAnsi="宋体"/>
          <w:szCs w:val="21"/>
        </w:rPr>
        <w:t>51.1提出质疑</w:t>
      </w:r>
    </w:p>
    <w:p>
      <w:pPr>
        <w:ind w:firstLine="411" w:firstLineChars="196"/>
        <w:rPr>
          <w:rFonts w:ascii="宋体" w:hAnsi="宋体"/>
          <w:szCs w:val="21"/>
        </w:rPr>
      </w:pPr>
      <w:r>
        <w:rPr>
          <w:rFonts w:hint="eastAsia" w:ascii="宋体" w:hAnsi="宋体"/>
          <w:szCs w:val="21"/>
        </w:rPr>
        <w:t>参与采购活动的供应商认为自己权益在采购活动中受到损害的，应当自知道或者应当知道其权益受到损害之日起七个工作日内向学校采购机构以书面形式提出质疑。</w:t>
      </w:r>
    </w:p>
    <w:p>
      <w:pPr>
        <w:ind w:firstLine="411" w:firstLineChars="196"/>
        <w:rPr>
          <w:rFonts w:ascii="宋体" w:hAnsi="宋体"/>
          <w:szCs w:val="21"/>
        </w:rPr>
      </w:pPr>
      <w:r>
        <w:rPr>
          <w:rFonts w:hint="eastAsia" w:ascii="宋体" w:hAnsi="宋体"/>
          <w:szCs w:val="21"/>
        </w:rPr>
        <w:t>51.2法律依据</w:t>
      </w:r>
    </w:p>
    <w:p>
      <w:pPr>
        <w:ind w:firstLine="411" w:firstLineChars="196"/>
        <w:rPr>
          <w:rFonts w:ascii="宋体" w:hAnsi="宋体"/>
          <w:szCs w:val="21"/>
        </w:rPr>
      </w:pPr>
      <w:r>
        <w:rPr>
          <w:rFonts w:hint="eastAsia" w:ascii="宋体" w:hAnsi="宋体"/>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411" w:firstLineChars="196"/>
        <w:rPr>
          <w:rFonts w:ascii="宋体" w:hAnsi="宋体"/>
          <w:szCs w:val="21"/>
        </w:rPr>
      </w:pPr>
      <w:r>
        <w:rPr>
          <w:rFonts w:hint="eastAsia" w:ascii="宋体" w:hAnsi="宋体"/>
          <w:szCs w:val="21"/>
        </w:rPr>
        <w:t>51.3质疑条件</w:t>
      </w:r>
    </w:p>
    <w:p>
      <w:pPr>
        <w:ind w:firstLine="411" w:firstLineChars="196"/>
        <w:rPr>
          <w:rFonts w:ascii="宋体" w:hAnsi="宋体"/>
          <w:szCs w:val="21"/>
        </w:rPr>
      </w:pPr>
      <w:r>
        <w:rPr>
          <w:rFonts w:hint="eastAsia" w:ascii="宋体" w:hAnsi="宋体"/>
          <w:szCs w:val="21"/>
        </w:rPr>
        <w:t>51.3.1提出质疑的供应商应当是参与所质疑项目采购活动的供应商；</w:t>
      </w:r>
    </w:p>
    <w:p>
      <w:pPr>
        <w:ind w:firstLine="411" w:firstLineChars="196"/>
        <w:rPr>
          <w:rFonts w:ascii="宋体" w:hAnsi="宋体"/>
          <w:szCs w:val="21"/>
        </w:rPr>
      </w:pPr>
      <w:r>
        <w:rPr>
          <w:rFonts w:hint="eastAsia" w:ascii="宋体" w:hAnsi="宋体"/>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pPr>
        <w:ind w:firstLine="411" w:firstLineChars="196"/>
        <w:rPr>
          <w:rFonts w:ascii="宋体" w:hAnsi="宋体"/>
          <w:szCs w:val="21"/>
        </w:rPr>
      </w:pPr>
      <w:r>
        <w:rPr>
          <w:rFonts w:hint="eastAsia" w:ascii="宋体" w:hAnsi="宋体"/>
          <w:szCs w:val="21"/>
        </w:rPr>
        <w:t>51.3.3应提交书面质疑函，质疑函应当包括以下内容：（1）具体、明确的质疑事项和与质疑事项相关的请求；（2）合理的事实和依据；（3）必要的证明材料和法律依据。</w:t>
      </w:r>
    </w:p>
    <w:p>
      <w:pPr>
        <w:ind w:firstLine="420"/>
        <w:rPr>
          <w:rFonts w:ascii="宋体" w:hAnsi="宋体"/>
          <w:szCs w:val="21"/>
        </w:rPr>
      </w:pPr>
      <w:r>
        <w:rPr>
          <w:rFonts w:hint="eastAsia" w:ascii="宋体" w:hAnsi="宋体"/>
          <w:szCs w:val="21"/>
        </w:rPr>
        <w:t>51.4提交材料</w:t>
      </w:r>
    </w:p>
    <w:p>
      <w:pPr>
        <w:ind w:firstLine="420"/>
        <w:rPr>
          <w:rFonts w:ascii="宋体" w:hAnsi="宋体"/>
          <w:szCs w:val="21"/>
        </w:rPr>
      </w:pPr>
      <w:r>
        <w:rPr>
          <w:rFonts w:hint="eastAsia" w:ascii="宋体" w:hAnsi="宋体"/>
          <w:szCs w:val="21"/>
        </w:rPr>
        <w:t>质疑函、营业执照复印件、法定代表人证明。如委托代理人提交的，还需提交授权委托书及代理人身份证明。</w:t>
      </w:r>
    </w:p>
    <w:p>
      <w:pPr>
        <w:ind w:firstLine="420"/>
        <w:rPr>
          <w:rFonts w:ascii="宋体" w:hAnsi="宋体"/>
          <w:szCs w:val="21"/>
        </w:rPr>
      </w:pPr>
      <w:r>
        <w:rPr>
          <w:rFonts w:hint="eastAsia" w:ascii="宋体" w:hAnsi="宋体"/>
          <w:szCs w:val="21"/>
        </w:rPr>
        <w:t>51.5 收文部门</w:t>
      </w:r>
    </w:p>
    <w:p>
      <w:pPr>
        <w:ind w:firstLine="420"/>
        <w:rPr>
          <w:rFonts w:ascii="宋体" w:hAnsi="宋体"/>
          <w:szCs w:val="21"/>
        </w:rPr>
      </w:pPr>
      <w:r>
        <w:rPr>
          <w:rFonts w:hint="eastAsia" w:ascii="宋体" w:hAnsi="宋体"/>
          <w:szCs w:val="21"/>
        </w:rPr>
        <w:t>深圳大学招投标管理中心综合办公室，地址：深圳市南山区南海大道3688号深圳大学粤海校区汇元楼246室，质疑咨询电话：0755-26057039。</w:t>
      </w:r>
    </w:p>
    <w:p>
      <w:pPr>
        <w:ind w:firstLine="420"/>
        <w:rPr>
          <w:rFonts w:ascii="宋体" w:hAnsi="宋体"/>
          <w:szCs w:val="21"/>
        </w:rPr>
      </w:pPr>
      <w:r>
        <w:rPr>
          <w:rFonts w:hint="eastAsia" w:ascii="宋体" w:hAnsi="宋体"/>
          <w:szCs w:val="21"/>
        </w:rPr>
        <w:t>51.6收文办理程序</w:t>
      </w:r>
    </w:p>
    <w:p>
      <w:pPr>
        <w:ind w:firstLine="420"/>
        <w:rPr>
          <w:rFonts w:ascii="宋体" w:hAnsi="宋体"/>
          <w:szCs w:val="21"/>
        </w:rPr>
      </w:pPr>
      <w:r>
        <w:rPr>
          <w:rFonts w:hint="eastAsia" w:ascii="宋体" w:hAnsi="宋体"/>
          <w:szCs w:val="21"/>
        </w:rPr>
        <w:t>51.6.1供应商提交的质疑材料符合质疑条件的办理收文，出具收文回执；</w:t>
      </w:r>
    </w:p>
    <w:p>
      <w:pPr>
        <w:ind w:firstLine="420"/>
        <w:rPr>
          <w:rFonts w:ascii="宋体" w:hAnsi="宋体"/>
          <w:szCs w:val="21"/>
        </w:rPr>
      </w:pPr>
      <w:r>
        <w:rPr>
          <w:rFonts w:hint="eastAsia" w:ascii="宋体" w:hAnsi="宋体"/>
          <w:szCs w:val="21"/>
        </w:rPr>
        <w:t>51.6.2供应商提交的质疑材料不符合质疑条件的，视情况处理：（1）质疑主体、时限不符合的，不予收文；（2）质疑函内容、提交人身份证明不符合的，开具补正告知书，供应商可在质疑期内补正后重新提交。</w:t>
      </w:r>
    </w:p>
    <w:p>
      <w:pPr>
        <w:ind w:firstLine="420"/>
        <w:rPr>
          <w:rFonts w:ascii="宋体" w:hAnsi="宋体"/>
          <w:szCs w:val="21"/>
        </w:rPr>
      </w:pPr>
      <w:r>
        <w:rPr>
          <w:rFonts w:hint="eastAsia" w:ascii="宋体" w:hAnsi="宋体"/>
          <w:szCs w:val="21"/>
        </w:rPr>
        <w:t>51.7质疑答复时限</w:t>
      </w:r>
    </w:p>
    <w:p>
      <w:pPr>
        <w:ind w:firstLine="420"/>
        <w:rPr>
          <w:rFonts w:ascii="宋体" w:hAnsi="宋体"/>
          <w:szCs w:val="21"/>
        </w:rPr>
      </w:pPr>
      <w:r>
        <w:rPr>
          <w:rFonts w:hint="eastAsia" w:ascii="宋体" w:hAnsi="宋体"/>
          <w:szCs w:val="21"/>
        </w:rPr>
        <w:t>自收文之日起七个工作日内。</w:t>
      </w:r>
    </w:p>
    <w:p>
      <w:pPr>
        <w:ind w:firstLine="420"/>
        <w:rPr>
          <w:rFonts w:ascii="宋体" w:hAnsi="宋体"/>
          <w:szCs w:val="21"/>
        </w:rPr>
      </w:pPr>
      <w:r>
        <w:rPr>
          <w:rFonts w:hint="eastAsia" w:ascii="宋体" w:hAnsi="宋体"/>
          <w:szCs w:val="21"/>
        </w:rPr>
        <w:t>51.8投诉</w:t>
      </w:r>
    </w:p>
    <w:p>
      <w:pPr>
        <w:ind w:firstLine="420"/>
        <w:rPr>
          <w:rFonts w:ascii="宋体" w:hAnsi="宋体"/>
          <w:szCs w:val="21"/>
        </w:rPr>
      </w:pPr>
      <w:r>
        <w:rPr>
          <w:rFonts w:hint="eastAsia" w:ascii="宋体" w:hAnsi="宋体"/>
          <w:szCs w:val="21"/>
        </w:rPr>
        <w:t>对质疑答复不满意或者未在规定时间内答复的，提出质疑的供应商可以在答复期满后15个工作日内向深圳大学纪检、监察部门投诉。</w:t>
      </w:r>
    </w:p>
    <w:p>
      <w:pPr>
        <w:spacing w:line="360" w:lineRule="auto"/>
        <w:rPr>
          <w:rFonts w:ascii="黑体" w:hAnsi="宋体" w:eastAsia="黑体"/>
          <w:sz w:val="24"/>
          <w:szCs w:val="24"/>
        </w:rPr>
      </w:pPr>
      <w:r>
        <w:rPr>
          <w:rFonts w:hint="eastAsia" w:ascii="黑体" w:hAnsi="宋体" w:eastAsia="黑体"/>
          <w:sz w:val="24"/>
        </w:rPr>
        <w:t>52.质疑后续处理</w:t>
      </w:r>
    </w:p>
    <w:p>
      <w:pPr>
        <w:ind w:firstLine="411" w:firstLineChars="196"/>
        <w:rPr>
          <w:rFonts w:ascii="宋体" w:hAnsi="宋体" w:eastAsia="宋体"/>
          <w:szCs w:val="21"/>
        </w:rPr>
      </w:pPr>
      <w:r>
        <w:rPr>
          <w:rFonts w:hint="eastAsia" w:ascii="宋体" w:hAnsi="宋体"/>
          <w:szCs w:val="21"/>
        </w:rPr>
        <w:t>52.1供应商质疑不成立，或者成立但未对中标、成交结果构成影响的，继续开展采购活动。</w:t>
      </w:r>
    </w:p>
    <w:p>
      <w:pPr>
        <w:ind w:firstLine="411" w:firstLineChars="196"/>
        <w:rPr>
          <w:rFonts w:ascii="宋体" w:hAnsi="宋体"/>
          <w:szCs w:val="21"/>
        </w:rPr>
      </w:pPr>
      <w:r>
        <w:rPr>
          <w:rFonts w:hint="eastAsia" w:ascii="宋体" w:hAnsi="宋体"/>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pPr>
        <w:spacing w:line="240" w:lineRule="atLeast"/>
        <w:rPr>
          <w:rFonts w:ascii="宋体" w:hAnsi="宋体"/>
          <w:szCs w:val="21"/>
        </w:rPr>
      </w:pPr>
    </w:p>
    <w:p>
      <w:pPr>
        <w:keepNext/>
        <w:keepLines/>
        <w:adjustRightInd w:val="0"/>
        <w:spacing w:before="231" w:beforeLines="50" w:after="231" w:afterLines="50"/>
        <w:textAlignment w:val="baseline"/>
        <w:outlineLvl w:val="1"/>
      </w:pPr>
    </w:p>
    <w:sectPr>
      <w:headerReference r:id="rId4" w:type="first"/>
      <w:headerReference r:id="rId3" w:type="default"/>
      <w:footerReference r:id="rId5" w:type="default"/>
      <w:footerReference r:id="rId6" w:type="even"/>
      <w:pgSz w:w="11907" w:h="16840"/>
      <w:pgMar w:top="1440" w:right="1797" w:bottom="1440" w:left="1797" w:header="851" w:footer="992" w:gutter="0"/>
      <w:cols w:space="425" w:num="1"/>
      <w:titlePg/>
      <w:docGrid w:type="line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隶书">
    <w:panose1 w:val="0201050906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长城仿宋">
    <w:altName w:val="仿宋"/>
    <w:panose1 w:val="00000000000000000000"/>
    <w:charset w:val="00"/>
    <w:family w:val="auto"/>
    <w:pitch w:val="default"/>
    <w:sig w:usb0="00000000" w:usb1="00000000" w:usb2="00000000" w:usb3="00000000" w:csb0="FFFFFFFF"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auto"/>
    <w:pitch w:val="default"/>
    <w:sig w:usb0="00000000" w:usb1="00000000" w:usb2="00000000" w:usb3="00000000" w:csb0="FFFFFFFF" w:csb1="00000000"/>
  </w:font>
  <w:font w:name="Arial (W1)">
    <w:altName w:val="Arial"/>
    <w:panose1 w:val="00000000000000000000"/>
    <w:charset w:val="00"/>
    <w:family w:val="auto"/>
    <w:pitch w:val="default"/>
    <w:sig w:usb0="00000000" w:usb1="00000000" w:usb2="00000000" w:usb3="00000000" w:csb0="FFFFFFFF" w:csb1="00000000"/>
  </w:font>
  <w:font w:name="Cambria">
    <w:panose1 w:val="02040503050406030204"/>
    <w:charset w:val="00"/>
    <w:family w:val="roman"/>
    <w:pitch w:val="default"/>
    <w:sig w:usb0="E00006FF" w:usb1="420024FF" w:usb2="02000000" w:usb3="00000000" w:csb0="2000019F" w:csb1="00000000"/>
  </w:font>
  <w:font w:name="ˎ̥">
    <w:altName w:val="微软雅黑"/>
    <w:panose1 w:val="00000000000000000000"/>
    <w:charset w:val="00"/>
    <w:family w:val="auto"/>
    <w:pitch w:val="default"/>
    <w:sig w:usb0="00000000" w:usb1="00000000" w:usb2="00000000" w:usb3="00000000" w:csb0="FFFFFFFF" w:csb1="00000000"/>
  </w:font>
  <w:font w:name="??">
    <w:altName w:val="微软雅黑"/>
    <w:panose1 w:val="00000000000000000000"/>
    <w:charset w:val="00"/>
    <w:family w:val="auto"/>
    <w:pitch w:val="default"/>
    <w:sig w:usb0="00000000" w:usb1="00000000" w:usb2="00000000" w:usb3="00000000" w:csb0="FFFFFFFF" w:csb1="00000000"/>
  </w:font>
  <w:font w:name="汉仪细等线简">
    <w:altName w:val="微软雅黑"/>
    <w:panose1 w:val="00000000000000000000"/>
    <w:charset w:val="00"/>
    <w:family w:val="auto"/>
    <w:pitch w:val="default"/>
    <w:sig w:usb0="00000000" w:usb1="00000000" w:usb2="00000000" w:usb3="00000000" w:csb0="FFFFFFFF" w:csb1="00000000"/>
  </w:font>
  <w:font w:name="H Yb 2gj">
    <w:altName w:val="微软雅黑"/>
    <w:panose1 w:val="00000000000000000000"/>
    <w:charset w:val="00"/>
    <w:family w:val="auto"/>
    <w:pitch w:val="default"/>
    <w:sig w:usb0="00000000" w:usb1="00000000" w:usb2="00000000" w:usb3="00000000" w:csb0="FFFFFFFF"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t xml:space="preserve">- </w:t>
    </w:r>
    <w:r>
      <w:fldChar w:fldCharType="begin"/>
    </w:r>
    <w:r>
      <w:instrText xml:space="preserve"> PAGE </w:instrText>
    </w:r>
    <w:r>
      <w:fldChar w:fldCharType="separate"/>
    </w:r>
    <w:r>
      <w:t>27</w:t>
    </w:r>
    <w:r>
      <w:fldChar w:fldCharType="end"/>
    </w:r>
    <w:r>
      <w:t xml:space="preserve"> -</w:t>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rPr>
        <w:rStyle w:val="46"/>
      </w:rPr>
      <w:fldChar w:fldCharType="begin"/>
    </w:r>
    <w:r>
      <w:rPr>
        <w:rStyle w:val="46"/>
      </w:rPr>
      <w:instrText xml:space="preserve">PAGE  </w:instrText>
    </w:r>
    <w:r>
      <w:rPr>
        <w:rStyle w:val="46"/>
      </w:rP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rPr>
      <w:t>深圳大学招投标管理中心                                                    SZU</w:t>
    </w:r>
    <w:r>
      <w:t>CG20210029</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rPr>
      <w:t>深圳大学招投标管理中心                                                    SZU</w:t>
    </w:r>
    <w:r>
      <w:t>CG20210029</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056DDF"/>
    <w:multiLevelType w:val="singleLevel"/>
    <w:tmpl w:val="AE056DDF"/>
    <w:lvl w:ilvl="0" w:tentative="0">
      <w:start w:val="1"/>
      <w:numFmt w:val="decimal"/>
      <w:suff w:val="nothing"/>
      <w:lvlText w:val="（%1）"/>
      <w:lvlJc w:val="left"/>
    </w:lvl>
  </w:abstractNum>
  <w:abstractNum w:abstractNumId="1">
    <w:nsid w:val="AFD35987"/>
    <w:multiLevelType w:val="singleLevel"/>
    <w:tmpl w:val="AFD35987"/>
    <w:lvl w:ilvl="0" w:tentative="0">
      <w:start w:val="1"/>
      <w:numFmt w:val="decimal"/>
      <w:suff w:val="nothing"/>
      <w:lvlText w:val="（%1）"/>
      <w:lvlJc w:val="left"/>
    </w:lvl>
  </w:abstractNum>
  <w:abstractNum w:abstractNumId="2">
    <w:nsid w:val="E681A8D3"/>
    <w:multiLevelType w:val="singleLevel"/>
    <w:tmpl w:val="E681A8D3"/>
    <w:lvl w:ilvl="0" w:tentative="0">
      <w:start w:val="8"/>
      <w:numFmt w:val="decimal"/>
      <w:suff w:val="nothing"/>
      <w:lvlText w:val="%1、"/>
      <w:lvlJc w:val="left"/>
    </w:lvl>
  </w:abstractNum>
  <w:abstractNum w:abstractNumId="3">
    <w:nsid w:val="FFFFFF7C"/>
    <w:multiLevelType w:val="singleLevel"/>
    <w:tmpl w:val="FFFFFF7C"/>
    <w:lvl w:ilvl="0" w:tentative="0">
      <w:start w:val="1"/>
      <w:numFmt w:val="decimal"/>
      <w:pStyle w:val="79"/>
      <w:lvlText w:val="%1."/>
      <w:lvlJc w:val="left"/>
      <w:pPr>
        <w:tabs>
          <w:tab w:val="left" w:pos="2040"/>
        </w:tabs>
        <w:ind w:left="2040" w:leftChars="800" w:hanging="360" w:hangingChars="200"/>
      </w:pPr>
    </w:lvl>
  </w:abstractNum>
  <w:abstractNum w:abstractNumId="4">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5">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503483"/>
    <w:multiLevelType w:val="multilevel"/>
    <w:tmpl w:val="12503483"/>
    <w:lvl w:ilvl="0" w:tentative="0">
      <w:start w:val="1"/>
      <w:numFmt w:val="bullet"/>
      <w:pStyle w:val="128"/>
      <w:lvlText w:val=""/>
      <w:lvlJc w:val="left"/>
      <w:pPr>
        <w:tabs>
          <w:tab w:val="left" w:pos="420"/>
        </w:tabs>
        <w:ind w:left="420" w:hanging="420"/>
      </w:pPr>
      <w:rPr>
        <w:rFonts w:hint="default" w:ascii="Wingdings" w:hAnsi="Wingdings"/>
      </w:rPr>
    </w:lvl>
    <w:lvl w:ilvl="1" w:tentative="0">
      <w:start w:val="1"/>
      <w:numFmt w:val="bullet"/>
      <w:pStyle w:val="127"/>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160D20D0"/>
    <w:multiLevelType w:val="multilevel"/>
    <w:tmpl w:val="160D20D0"/>
    <w:lvl w:ilvl="0" w:tentative="0">
      <w:start w:val="1"/>
      <w:numFmt w:val="bullet"/>
      <w:pStyle w:val="95"/>
      <w:lvlText w:val=""/>
      <w:lvlJc w:val="left"/>
      <w:pPr>
        <w:tabs>
          <w:tab w:val="left" w:pos="840"/>
        </w:tabs>
        <w:ind w:left="840" w:hanging="420"/>
      </w:pPr>
      <w:rPr>
        <w:rFonts w:hint="default" w:ascii="Wingdings" w:hAnsi="Wingdings"/>
      </w:rPr>
    </w:lvl>
    <w:lvl w:ilvl="1" w:tentative="0">
      <w:start w:val="1"/>
      <w:numFmt w:val="bullet"/>
      <w:pStyle w:val="96"/>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8">
    <w:nsid w:val="2F00000D"/>
    <w:multiLevelType w:val="multilevel"/>
    <w:tmpl w:val="2F00000D"/>
    <w:lvl w:ilvl="0" w:tentative="0">
      <w:start w:val="1"/>
      <w:numFmt w:val="decimal"/>
      <w:lvlText w:val="%1、"/>
      <w:lvlJc w:val="left"/>
      <w:pPr>
        <w:ind w:left="360" w:hanging="360"/>
        <w:jc w:val="both"/>
      </w:pPr>
      <w:rPr>
        <w:w w:val="100"/>
        <w:sz w:val="20"/>
        <w:szCs w:val="20"/>
        <w:shd w:val="clear" w:color="000000" w:fill="auto"/>
      </w:rPr>
    </w:lvl>
    <w:lvl w:ilvl="1" w:tentative="0">
      <w:start w:val="1"/>
      <w:numFmt w:val="lowerLetter"/>
      <w:lvlText w:val="%2)"/>
      <w:lvlJc w:val="left"/>
      <w:pPr>
        <w:ind w:left="840" w:hanging="420"/>
        <w:jc w:val="both"/>
      </w:pPr>
    </w:lvl>
    <w:lvl w:ilvl="2" w:tentative="0">
      <w:start w:val="1"/>
      <w:numFmt w:val="lowerRoman"/>
      <w:lvlText w:val="%3."/>
      <w:lvlJc w:val="right"/>
      <w:pPr>
        <w:ind w:left="1260" w:hanging="420"/>
        <w:jc w:val="both"/>
      </w:pPr>
    </w:lvl>
    <w:lvl w:ilvl="3" w:tentative="0">
      <w:start w:val="1"/>
      <w:numFmt w:val="decimal"/>
      <w:lvlText w:val="%4."/>
      <w:lvlJc w:val="left"/>
      <w:pPr>
        <w:ind w:left="1680" w:hanging="420"/>
        <w:jc w:val="both"/>
      </w:pPr>
    </w:lvl>
    <w:lvl w:ilvl="4" w:tentative="0">
      <w:start w:val="1"/>
      <w:numFmt w:val="lowerLetter"/>
      <w:lvlText w:val="%5)"/>
      <w:lvlJc w:val="left"/>
      <w:pPr>
        <w:ind w:left="2100" w:hanging="420"/>
        <w:jc w:val="both"/>
      </w:pPr>
    </w:lvl>
    <w:lvl w:ilvl="5" w:tentative="0">
      <w:start w:val="1"/>
      <w:numFmt w:val="lowerRoman"/>
      <w:lvlText w:val="%6."/>
      <w:lvlJc w:val="right"/>
      <w:pPr>
        <w:ind w:left="2520" w:hanging="420"/>
        <w:jc w:val="both"/>
      </w:pPr>
    </w:lvl>
    <w:lvl w:ilvl="6" w:tentative="0">
      <w:start w:val="1"/>
      <w:numFmt w:val="decimal"/>
      <w:lvlText w:val="%7."/>
      <w:lvlJc w:val="left"/>
      <w:pPr>
        <w:ind w:left="2940" w:hanging="420"/>
        <w:jc w:val="both"/>
      </w:pPr>
    </w:lvl>
    <w:lvl w:ilvl="7" w:tentative="0">
      <w:start w:val="1"/>
      <w:numFmt w:val="lowerLetter"/>
      <w:lvlText w:val="%8)"/>
      <w:lvlJc w:val="left"/>
      <w:pPr>
        <w:ind w:left="3360" w:hanging="420"/>
        <w:jc w:val="both"/>
      </w:pPr>
    </w:lvl>
    <w:lvl w:ilvl="8" w:tentative="0">
      <w:start w:val="1"/>
      <w:numFmt w:val="lowerRoman"/>
      <w:lvlText w:val="%9."/>
      <w:lvlJc w:val="right"/>
      <w:pPr>
        <w:ind w:left="3780" w:hanging="420"/>
        <w:jc w:val="both"/>
      </w:pPr>
    </w:lvl>
  </w:abstractNum>
  <w:abstractNum w:abstractNumId="9">
    <w:nsid w:val="2F395B7B"/>
    <w:multiLevelType w:val="multilevel"/>
    <w:tmpl w:val="2F395B7B"/>
    <w:lvl w:ilvl="0" w:tentative="0">
      <w:start w:val="1"/>
      <w:numFmt w:val="bullet"/>
      <w:pStyle w:val="191"/>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0">
    <w:nsid w:val="31D200CA"/>
    <w:multiLevelType w:val="singleLevel"/>
    <w:tmpl w:val="31D200CA"/>
    <w:lvl w:ilvl="0" w:tentative="0">
      <w:start w:val="1"/>
      <w:numFmt w:val="decimal"/>
      <w:suff w:val="nothing"/>
      <w:lvlText w:val="（%1）"/>
      <w:lvlJc w:val="left"/>
    </w:lvl>
  </w:abstractNum>
  <w:abstractNum w:abstractNumId="11">
    <w:nsid w:val="492A045B"/>
    <w:multiLevelType w:val="multilevel"/>
    <w:tmpl w:val="492A045B"/>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780"/>
        </w:tabs>
        <w:ind w:left="780" w:hanging="360"/>
      </w:pPr>
      <w:rPr>
        <w:rFonts w:ascii="宋体" w:hAnsi="宋体" w:eastAsia="宋体" w:cs="宋体"/>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AEF7716"/>
    <w:multiLevelType w:val="multilevel"/>
    <w:tmpl w:val="7AEF7716"/>
    <w:lvl w:ilvl="0" w:tentative="0">
      <w:start w:val="1"/>
      <w:numFmt w:val="chineseCountingThousand"/>
      <w:pStyle w:val="141"/>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
  </w:num>
  <w:num w:numId="3">
    <w:abstractNumId w:val="7"/>
  </w:num>
  <w:num w:numId="4">
    <w:abstractNumId w:val="6"/>
  </w:num>
  <w:num w:numId="5">
    <w:abstractNumId w:val="12"/>
  </w:num>
  <w:num w:numId="6">
    <w:abstractNumId w:val="9"/>
  </w:num>
  <w:num w:numId="7">
    <w:abstractNumId w:val="10"/>
  </w:num>
  <w:num w:numId="8">
    <w:abstractNumId w:val="1"/>
  </w:num>
  <w:num w:numId="9">
    <w:abstractNumId w:val="11"/>
  </w:num>
  <w:num w:numId="10">
    <w:abstractNumId w:val="8"/>
  </w:num>
  <w:num w:numId="11">
    <w:abstractNumId w:val="2"/>
  </w:num>
  <w:num w:numId="12">
    <w:abstractNumId w:val="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3A9"/>
    <w:rsid w:val="00005B39"/>
    <w:rsid w:val="00013532"/>
    <w:rsid w:val="000224FE"/>
    <w:rsid w:val="00024DF7"/>
    <w:rsid w:val="0003110B"/>
    <w:rsid w:val="00041B72"/>
    <w:rsid w:val="000421C8"/>
    <w:rsid w:val="00042596"/>
    <w:rsid w:val="000473A7"/>
    <w:rsid w:val="000500C4"/>
    <w:rsid w:val="00052CCA"/>
    <w:rsid w:val="0005721D"/>
    <w:rsid w:val="000606D8"/>
    <w:rsid w:val="00061F05"/>
    <w:rsid w:val="00062B0F"/>
    <w:rsid w:val="00063A3E"/>
    <w:rsid w:val="00067076"/>
    <w:rsid w:val="000673E7"/>
    <w:rsid w:val="000736F4"/>
    <w:rsid w:val="00076BF8"/>
    <w:rsid w:val="00081495"/>
    <w:rsid w:val="00086CF7"/>
    <w:rsid w:val="00092B1B"/>
    <w:rsid w:val="00094A5D"/>
    <w:rsid w:val="000A2A96"/>
    <w:rsid w:val="000A3417"/>
    <w:rsid w:val="000A53AC"/>
    <w:rsid w:val="000B036F"/>
    <w:rsid w:val="000B13D1"/>
    <w:rsid w:val="000B1BFE"/>
    <w:rsid w:val="000B5F65"/>
    <w:rsid w:val="000C21C0"/>
    <w:rsid w:val="000C442D"/>
    <w:rsid w:val="000D7969"/>
    <w:rsid w:val="000F3768"/>
    <w:rsid w:val="000F6F75"/>
    <w:rsid w:val="0010431D"/>
    <w:rsid w:val="00111F24"/>
    <w:rsid w:val="00115FDF"/>
    <w:rsid w:val="00124937"/>
    <w:rsid w:val="00144CC3"/>
    <w:rsid w:val="00150B66"/>
    <w:rsid w:val="0015172F"/>
    <w:rsid w:val="00160CCD"/>
    <w:rsid w:val="00163005"/>
    <w:rsid w:val="00164F97"/>
    <w:rsid w:val="001869D7"/>
    <w:rsid w:val="001951C9"/>
    <w:rsid w:val="00195A85"/>
    <w:rsid w:val="00196232"/>
    <w:rsid w:val="001A452D"/>
    <w:rsid w:val="001A7C5E"/>
    <w:rsid w:val="001A7EE6"/>
    <w:rsid w:val="001C09A2"/>
    <w:rsid w:val="001C622C"/>
    <w:rsid w:val="001D29B6"/>
    <w:rsid w:val="001D7C12"/>
    <w:rsid w:val="001E61F8"/>
    <w:rsid w:val="001E7490"/>
    <w:rsid w:val="001F5733"/>
    <w:rsid w:val="001F5E0D"/>
    <w:rsid w:val="001F7C2B"/>
    <w:rsid w:val="002133FF"/>
    <w:rsid w:val="00216579"/>
    <w:rsid w:val="00225446"/>
    <w:rsid w:val="00227DE4"/>
    <w:rsid w:val="00237914"/>
    <w:rsid w:val="0024303A"/>
    <w:rsid w:val="0024305E"/>
    <w:rsid w:val="00245A69"/>
    <w:rsid w:val="0025082F"/>
    <w:rsid w:val="00252881"/>
    <w:rsid w:val="00262B19"/>
    <w:rsid w:val="00263EF2"/>
    <w:rsid w:val="00274246"/>
    <w:rsid w:val="00277CB9"/>
    <w:rsid w:val="00281C6E"/>
    <w:rsid w:val="002820D3"/>
    <w:rsid w:val="00282A21"/>
    <w:rsid w:val="00287BA0"/>
    <w:rsid w:val="002944C3"/>
    <w:rsid w:val="0029680D"/>
    <w:rsid w:val="00296D75"/>
    <w:rsid w:val="002B1192"/>
    <w:rsid w:val="002B6561"/>
    <w:rsid w:val="002B6DF4"/>
    <w:rsid w:val="002C21B1"/>
    <w:rsid w:val="002C6056"/>
    <w:rsid w:val="002D000D"/>
    <w:rsid w:val="002D327A"/>
    <w:rsid w:val="002E656D"/>
    <w:rsid w:val="002F70F8"/>
    <w:rsid w:val="0030253F"/>
    <w:rsid w:val="00303DF9"/>
    <w:rsid w:val="00304B55"/>
    <w:rsid w:val="00310586"/>
    <w:rsid w:val="00313164"/>
    <w:rsid w:val="00333EA4"/>
    <w:rsid w:val="0034044F"/>
    <w:rsid w:val="00344490"/>
    <w:rsid w:val="0036186A"/>
    <w:rsid w:val="00361895"/>
    <w:rsid w:val="003737A7"/>
    <w:rsid w:val="003762CA"/>
    <w:rsid w:val="00381815"/>
    <w:rsid w:val="0038224E"/>
    <w:rsid w:val="0038618D"/>
    <w:rsid w:val="00387678"/>
    <w:rsid w:val="0039545B"/>
    <w:rsid w:val="003A2EB7"/>
    <w:rsid w:val="003A30AF"/>
    <w:rsid w:val="003B1A60"/>
    <w:rsid w:val="003B1BF6"/>
    <w:rsid w:val="003B4C37"/>
    <w:rsid w:val="003B563B"/>
    <w:rsid w:val="003D5E7F"/>
    <w:rsid w:val="003D7290"/>
    <w:rsid w:val="003D77D0"/>
    <w:rsid w:val="003E1436"/>
    <w:rsid w:val="003E6D96"/>
    <w:rsid w:val="003E6DFD"/>
    <w:rsid w:val="003F664A"/>
    <w:rsid w:val="00401AF2"/>
    <w:rsid w:val="00406A6A"/>
    <w:rsid w:val="004142C5"/>
    <w:rsid w:val="00414532"/>
    <w:rsid w:val="00415BE0"/>
    <w:rsid w:val="00415F2E"/>
    <w:rsid w:val="00426078"/>
    <w:rsid w:val="00436599"/>
    <w:rsid w:val="00443AED"/>
    <w:rsid w:val="0044416C"/>
    <w:rsid w:val="0044650B"/>
    <w:rsid w:val="00455AA2"/>
    <w:rsid w:val="00461E42"/>
    <w:rsid w:val="00466EE7"/>
    <w:rsid w:val="00470054"/>
    <w:rsid w:val="0047363F"/>
    <w:rsid w:val="00476C13"/>
    <w:rsid w:val="0048068F"/>
    <w:rsid w:val="00482C1E"/>
    <w:rsid w:val="00483671"/>
    <w:rsid w:val="00485A86"/>
    <w:rsid w:val="004A2572"/>
    <w:rsid w:val="004A653A"/>
    <w:rsid w:val="004B1F90"/>
    <w:rsid w:val="004B3247"/>
    <w:rsid w:val="004B6CE8"/>
    <w:rsid w:val="004C044A"/>
    <w:rsid w:val="004C3A2E"/>
    <w:rsid w:val="004C5923"/>
    <w:rsid w:val="004D04DF"/>
    <w:rsid w:val="004D3787"/>
    <w:rsid w:val="004E39F1"/>
    <w:rsid w:val="004E444D"/>
    <w:rsid w:val="004E55A7"/>
    <w:rsid w:val="004F0C0E"/>
    <w:rsid w:val="00506D3A"/>
    <w:rsid w:val="005114BE"/>
    <w:rsid w:val="00520902"/>
    <w:rsid w:val="0052123F"/>
    <w:rsid w:val="0052234F"/>
    <w:rsid w:val="0052667E"/>
    <w:rsid w:val="005268CF"/>
    <w:rsid w:val="00530BC4"/>
    <w:rsid w:val="0053237B"/>
    <w:rsid w:val="005343B4"/>
    <w:rsid w:val="005352CB"/>
    <w:rsid w:val="00540A40"/>
    <w:rsid w:val="0054247F"/>
    <w:rsid w:val="00544FFC"/>
    <w:rsid w:val="00546183"/>
    <w:rsid w:val="005536D8"/>
    <w:rsid w:val="00566A83"/>
    <w:rsid w:val="00572D7E"/>
    <w:rsid w:val="005776F8"/>
    <w:rsid w:val="005828AB"/>
    <w:rsid w:val="005915DB"/>
    <w:rsid w:val="00591E3F"/>
    <w:rsid w:val="00592FD2"/>
    <w:rsid w:val="005A3123"/>
    <w:rsid w:val="005B49F9"/>
    <w:rsid w:val="005D5B65"/>
    <w:rsid w:val="005D6577"/>
    <w:rsid w:val="005D7464"/>
    <w:rsid w:val="005E30F2"/>
    <w:rsid w:val="005F6841"/>
    <w:rsid w:val="00600E4C"/>
    <w:rsid w:val="0060609A"/>
    <w:rsid w:val="006234D9"/>
    <w:rsid w:val="00627803"/>
    <w:rsid w:val="0063220C"/>
    <w:rsid w:val="00670168"/>
    <w:rsid w:val="006739EE"/>
    <w:rsid w:val="006807AC"/>
    <w:rsid w:val="006A3114"/>
    <w:rsid w:val="006A695D"/>
    <w:rsid w:val="006A75FE"/>
    <w:rsid w:val="006B0750"/>
    <w:rsid w:val="006C6B50"/>
    <w:rsid w:val="006E0708"/>
    <w:rsid w:val="007067D7"/>
    <w:rsid w:val="00710A4E"/>
    <w:rsid w:val="007143C2"/>
    <w:rsid w:val="00715829"/>
    <w:rsid w:val="00720365"/>
    <w:rsid w:val="0072134E"/>
    <w:rsid w:val="00724003"/>
    <w:rsid w:val="0072750D"/>
    <w:rsid w:val="00731A80"/>
    <w:rsid w:val="007376A3"/>
    <w:rsid w:val="00737D8D"/>
    <w:rsid w:val="00744E00"/>
    <w:rsid w:val="00752DF1"/>
    <w:rsid w:val="00756AE5"/>
    <w:rsid w:val="007704C7"/>
    <w:rsid w:val="0077588B"/>
    <w:rsid w:val="00776CF7"/>
    <w:rsid w:val="00782F39"/>
    <w:rsid w:val="00784D55"/>
    <w:rsid w:val="00790F73"/>
    <w:rsid w:val="00791CE9"/>
    <w:rsid w:val="00791D51"/>
    <w:rsid w:val="007A1334"/>
    <w:rsid w:val="007A1765"/>
    <w:rsid w:val="007A5AF4"/>
    <w:rsid w:val="007A604D"/>
    <w:rsid w:val="007B14A0"/>
    <w:rsid w:val="007C0345"/>
    <w:rsid w:val="007C0ECB"/>
    <w:rsid w:val="007D2BD7"/>
    <w:rsid w:val="007D576B"/>
    <w:rsid w:val="007D5B61"/>
    <w:rsid w:val="007D64CB"/>
    <w:rsid w:val="007E4EFE"/>
    <w:rsid w:val="00806E5A"/>
    <w:rsid w:val="00810AB0"/>
    <w:rsid w:val="0082373D"/>
    <w:rsid w:val="00825D64"/>
    <w:rsid w:val="00825D94"/>
    <w:rsid w:val="00843BA2"/>
    <w:rsid w:val="00846DC0"/>
    <w:rsid w:val="00847463"/>
    <w:rsid w:val="008550E4"/>
    <w:rsid w:val="008732C7"/>
    <w:rsid w:val="0087361D"/>
    <w:rsid w:val="008744C1"/>
    <w:rsid w:val="00882A47"/>
    <w:rsid w:val="00883E51"/>
    <w:rsid w:val="00885980"/>
    <w:rsid w:val="0089395C"/>
    <w:rsid w:val="008A5C3C"/>
    <w:rsid w:val="008D18E8"/>
    <w:rsid w:val="008D41E3"/>
    <w:rsid w:val="008E08A2"/>
    <w:rsid w:val="008F5270"/>
    <w:rsid w:val="008F74FE"/>
    <w:rsid w:val="008F7997"/>
    <w:rsid w:val="00901A12"/>
    <w:rsid w:val="00903FB5"/>
    <w:rsid w:val="00904086"/>
    <w:rsid w:val="009226BE"/>
    <w:rsid w:val="00942E44"/>
    <w:rsid w:val="00973291"/>
    <w:rsid w:val="00974DE4"/>
    <w:rsid w:val="00980B6F"/>
    <w:rsid w:val="00984715"/>
    <w:rsid w:val="0098476F"/>
    <w:rsid w:val="0098702A"/>
    <w:rsid w:val="00995036"/>
    <w:rsid w:val="00997272"/>
    <w:rsid w:val="009A34C1"/>
    <w:rsid w:val="009A6F51"/>
    <w:rsid w:val="009C0963"/>
    <w:rsid w:val="009C487E"/>
    <w:rsid w:val="009C492F"/>
    <w:rsid w:val="009C59F3"/>
    <w:rsid w:val="009C6A93"/>
    <w:rsid w:val="009D0339"/>
    <w:rsid w:val="009D57F4"/>
    <w:rsid w:val="009E3843"/>
    <w:rsid w:val="009F70E1"/>
    <w:rsid w:val="009F7700"/>
    <w:rsid w:val="00A03865"/>
    <w:rsid w:val="00A05106"/>
    <w:rsid w:val="00A12599"/>
    <w:rsid w:val="00A127CC"/>
    <w:rsid w:val="00A15239"/>
    <w:rsid w:val="00A2291B"/>
    <w:rsid w:val="00A42909"/>
    <w:rsid w:val="00A558C7"/>
    <w:rsid w:val="00A55D13"/>
    <w:rsid w:val="00A570EF"/>
    <w:rsid w:val="00A61F65"/>
    <w:rsid w:val="00A75DDD"/>
    <w:rsid w:val="00A75F65"/>
    <w:rsid w:val="00A81D0C"/>
    <w:rsid w:val="00A8649C"/>
    <w:rsid w:val="00A9513A"/>
    <w:rsid w:val="00A95B01"/>
    <w:rsid w:val="00A97946"/>
    <w:rsid w:val="00AA1967"/>
    <w:rsid w:val="00AA1AFD"/>
    <w:rsid w:val="00AA1D0E"/>
    <w:rsid w:val="00AA5081"/>
    <w:rsid w:val="00AA5C41"/>
    <w:rsid w:val="00AB031B"/>
    <w:rsid w:val="00AB03A9"/>
    <w:rsid w:val="00AB2191"/>
    <w:rsid w:val="00AB481E"/>
    <w:rsid w:val="00AC0476"/>
    <w:rsid w:val="00AC7CE9"/>
    <w:rsid w:val="00AE45A6"/>
    <w:rsid w:val="00AE6D86"/>
    <w:rsid w:val="00AF1515"/>
    <w:rsid w:val="00B05FA3"/>
    <w:rsid w:val="00B11AF0"/>
    <w:rsid w:val="00B146FD"/>
    <w:rsid w:val="00B219EB"/>
    <w:rsid w:val="00B272E3"/>
    <w:rsid w:val="00B27E8E"/>
    <w:rsid w:val="00B3175E"/>
    <w:rsid w:val="00B33AAF"/>
    <w:rsid w:val="00B33B1B"/>
    <w:rsid w:val="00B46356"/>
    <w:rsid w:val="00B55B4A"/>
    <w:rsid w:val="00B608D0"/>
    <w:rsid w:val="00B773E5"/>
    <w:rsid w:val="00B80B95"/>
    <w:rsid w:val="00B83028"/>
    <w:rsid w:val="00B83FD7"/>
    <w:rsid w:val="00B85918"/>
    <w:rsid w:val="00B9315D"/>
    <w:rsid w:val="00B93F32"/>
    <w:rsid w:val="00B97A3C"/>
    <w:rsid w:val="00BA2D79"/>
    <w:rsid w:val="00BA6FA1"/>
    <w:rsid w:val="00BB094E"/>
    <w:rsid w:val="00BB6B13"/>
    <w:rsid w:val="00BB6FD7"/>
    <w:rsid w:val="00BC0E69"/>
    <w:rsid w:val="00BC3C70"/>
    <w:rsid w:val="00BC5883"/>
    <w:rsid w:val="00BC77B2"/>
    <w:rsid w:val="00BD3139"/>
    <w:rsid w:val="00BD3788"/>
    <w:rsid w:val="00BF2EB2"/>
    <w:rsid w:val="00BF3DA0"/>
    <w:rsid w:val="00C01783"/>
    <w:rsid w:val="00C06CFA"/>
    <w:rsid w:val="00C179C8"/>
    <w:rsid w:val="00C222FE"/>
    <w:rsid w:val="00C22634"/>
    <w:rsid w:val="00C22F95"/>
    <w:rsid w:val="00C56F12"/>
    <w:rsid w:val="00C64393"/>
    <w:rsid w:val="00C723AE"/>
    <w:rsid w:val="00C730D8"/>
    <w:rsid w:val="00C92BE8"/>
    <w:rsid w:val="00C95533"/>
    <w:rsid w:val="00C969A5"/>
    <w:rsid w:val="00CB05EC"/>
    <w:rsid w:val="00CC06C6"/>
    <w:rsid w:val="00CC12B3"/>
    <w:rsid w:val="00CC54E4"/>
    <w:rsid w:val="00CC72FA"/>
    <w:rsid w:val="00CE21CC"/>
    <w:rsid w:val="00D04046"/>
    <w:rsid w:val="00D0607A"/>
    <w:rsid w:val="00D07D6F"/>
    <w:rsid w:val="00D10121"/>
    <w:rsid w:val="00D12E89"/>
    <w:rsid w:val="00D14AB7"/>
    <w:rsid w:val="00D21D0C"/>
    <w:rsid w:val="00D24830"/>
    <w:rsid w:val="00D458EC"/>
    <w:rsid w:val="00D50508"/>
    <w:rsid w:val="00D51D0D"/>
    <w:rsid w:val="00D549F7"/>
    <w:rsid w:val="00D564FE"/>
    <w:rsid w:val="00D6034E"/>
    <w:rsid w:val="00D6071E"/>
    <w:rsid w:val="00D6443F"/>
    <w:rsid w:val="00D64B34"/>
    <w:rsid w:val="00D64FB5"/>
    <w:rsid w:val="00D74094"/>
    <w:rsid w:val="00D848F8"/>
    <w:rsid w:val="00D92847"/>
    <w:rsid w:val="00D9462E"/>
    <w:rsid w:val="00DA106A"/>
    <w:rsid w:val="00DC2F8B"/>
    <w:rsid w:val="00DD467F"/>
    <w:rsid w:val="00DD770C"/>
    <w:rsid w:val="00DE0A2B"/>
    <w:rsid w:val="00DE72AE"/>
    <w:rsid w:val="00DF0612"/>
    <w:rsid w:val="00DF626B"/>
    <w:rsid w:val="00DF6EE3"/>
    <w:rsid w:val="00DF7F3C"/>
    <w:rsid w:val="00E00076"/>
    <w:rsid w:val="00E10E10"/>
    <w:rsid w:val="00E12E56"/>
    <w:rsid w:val="00E21586"/>
    <w:rsid w:val="00E22551"/>
    <w:rsid w:val="00E3084A"/>
    <w:rsid w:val="00E37E08"/>
    <w:rsid w:val="00E46778"/>
    <w:rsid w:val="00E52347"/>
    <w:rsid w:val="00E52A79"/>
    <w:rsid w:val="00E578FD"/>
    <w:rsid w:val="00E611F8"/>
    <w:rsid w:val="00E63453"/>
    <w:rsid w:val="00E6519E"/>
    <w:rsid w:val="00E65E0D"/>
    <w:rsid w:val="00E70156"/>
    <w:rsid w:val="00E72D34"/>
    <w:rsid w:val="00E739DA"/>
    <w:rsid w:val="00E8522F"/>
    <w:rsid w:val="00E9247B"/>
    <w:rsid w:val="00EB0EB1"/>
    <w:rsid w:val="00EB1D31"/>
    <w:rsid w:val="00EB3F07"/>
    <w:rsid w:val="00EB4369"/>
    <w:rsid w:val="00EB5957"/>
    <w:rsid w:val="00EC036D"/>
    <w:rsid w:val="00EC2193"/>
    <w:rsid w:val="00EC27EE"/>
    <w:rsid w:val="00EC37B9"/>
    <w:rsid w:val="00EC72BD"/>
    <w:rsid w:val="00ED3899"/>
    <w:rsid w:val="00EE0052"/>
    <w:rsid w:val="00EF48BA"/>
    <w:rsid w:val="00EF7136"/>
    <w:rsid w:val="00F030A9"/>
    <w:rsid w:val="00F04ED2"/>
    <w:rsid w:val="00F13116"/>
    <w:rsid w:val="00F402FD"/>
    <w:rsid w:val="00F4225C"/>
    <w:rsid w:val="00F53906"/>
    <w:rsid w:val="00F54419"/>
    <w:rsid w:val="00F5793D"/>
    <w:rsid w:val="00F62035"/>
    <w:rsid w:val="00F67A2C"/>
    <w:rsid w:val="00F77B03"/>
    <w:rsid w:val="00F8184F"/>
    <w:rsid w:val="00F918D3"/>
    <w:rsid w:val="00F921AB"/>
    <w:rsid w:val="00FA78CD"/>
    <w:rsid w:val="00FB13A0"/>
    <w:rsid w:val="00FC57AC"/>
    <w:rsid w:val="00FC6D3D"/>
    <w:rsid w:val="00FE0F33"/>
    <w:rsid w:val="018C60E5"/>
    <w:rsid w:val="036D2DBC"/>
    <w:rsid w:val="05CE2A91"/>
    <w:rsid w:val="0B6E73F5"/>
    <w:rsid w:val="0C320701"/>
    <w:rsid w:val="0C83788A"/>
    <w:rsid w:val="0CB468A8"/>
    <w:rsid w:val="0CF221E9"/>
    <w:rsid w:val="14185EC4"/>
    <w:rsid w:val="17AC7570"/>
    <w:rsid w:val="182E5D9B"/>
    <w:rsid w:val="19803DC4"/>
    <w:rsid w:val="1F02227B"/>
    <w:rsid w:val="1F4744F6"/>
    <w:rsid w:val="204C499B"/>
    <w:rsid w:val="23814C2B"/>
    <w:rsid w:val="26CF3363"/>
    <w:rsid w:val="28182AAA"/>
    <w:rsid w:val="2C714E97"/>
    <w:rsid w:val="2D227441"/>
    <w:rsid w:val="2E450A08"/>
    <w:rsid w:val="2FC372B6"/>
    <w:rsid w:val="31177A04"/>
    <w:rsid w:val="31CF3EE6"/>
    <w:rsid w:val="333C7567"/>
    <w:rsid w:val="37ED11F0"/>
    <w:rsid w:val="3B540E22"/>
    <w:rsid w:val="3C8C4D75"/>
    <w:rsid w:val="3EE61B46"/>
    <w:rsid w:val="415E7A2B"/>
    <w:rsid w:val="41646F93"/>
    <w:rsid w:val="41F61D49"/>
    <w:rsid w:val="44472DD6"/>
    <w:rsid w:val="44944FAD"/>
    <w:rsid w:val="450225C5"/>
    <w:rsid w:val="4505648C"/>
    <w:rsid w:val="46CA4932"/>
    <w:rsid w:val="47781CA1"/>
    <w:rsid w:val="49CB2249"/>
    <w:rsid w:val="49D40D83"/>
    <w:rsid w:val="4C78752D"/>
    <w:rsid w:val="50B37021"/>
    <w:rsid w:val="50D9141F"/>
    <w:rsid w:val="51C9568A"/>
    <w:rsid w:val="52CF1B75"/>
    <w:rsid w:val="53A26E4B"/>
    <w:rsid w:val="54394B9C"/>
    <w:rsid w:val="57FD500F"/>
    <w:rsid w:val="58244AEB"/>
    <w:rsid w:val="5B6A60D1"/>
    <w:rsid w:val="62CD116D"/>
    <w:rsid w:val="62FF31E8"/>
    <w:rsid w:val="63DB44D0"/>
    <w:rsid w:val="67572781"/>
    <w:rsid w:val="68A21B53"/>
    <w:rsid w:val="6EE10AE4"/>
    <w:rsid w:val="706D5559"/>
    <w:rsid w:val="74907A68"/>
    <w:rsid w:val="7665694D"/>
    <w:rsid w:val="787950E9"/>
    <w:rsid w:val="7ACF61E6"/>
    <w:rsid w:val="7C7D36A4"/>
    <w:rsid w:val="7E2B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61"/>
    <w:qFormat/>
    <w:uiPriority w:val="0"/>
    <w:pPr>
      <w:spacing w:before="340" w:after="330" w:line="360" w:lineRule="auto"/>
      <w:jc w:val="center"/>
      <w:outlineLvl w:val="0"/>
    </w:pPr>
    <w:rPr>
      <w:rFonts w:eastAsia="黑体"/>
      <w:kern w:val="44"/>
      <w:szCs w:val="44"/>
    </w:rPr>
  </w:style>
  <w:style w:type="paragraph" w:styleId="5">
    <w:name w:val="heading 2"/>
    <w:basedOn w:val="3"/>
    <w:next w:val="4"/>
    <w:link w:val="91"/>
    <w:qFormat/>
    <w:uiPriority w:val="0"/>
    <w:pPr>
      <w:adjustRightInd w:val="0"/>
      <w:jc w:val="center"/>
      <w:textAlignment w:val="baseline"/>
      <w:outlineLvl w:val="1"/>
    </w:pPr>
    <w:rPr>
      <w:kern w:val="0"/>
      <w:sz w:val="24"/>
      <w:szCs w:val="20"/>
    </w:rPr>
  </w:style>
  <w:style w:type="paragraph" w:styleId="3">
    <w:name w:val="heading 3"/>
    <w:basedOn w:val="4"/>
    <w:next w:val="1"/>
    <w:link w:val="60"/>
    <w:qFormat/>
    <w:uiPriority w:val="0"/>
    <w:pPr>
      <w:spacing w:before="260" w:after="260" w:line="240" w:lineRule="auto"/>
      <w:outlineLvl w:val="2"/>
    </w:pPr>
    <w:rPr>
      <w:rFonts w:ascii="宋体" w:hAnsi="宋体" w:eastAsia="宋体"/>
      <w:szCs w:val="32"/>
    </w:rPr>
  </w:style>
  <w:style w:type="paragraph" w:styleId="4">
    <w:name w:val="heading 4"/>
    <w:basedOn w:val="1"/>
    <w:next w:val="1"/>
    <w:link w:val="58"/>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7"/>
    <w:link w:val="100"/>
    <w:qFormat/>
    <w:uiPriority w:val="0"/>
    <w:pPr>
      <w:keepNext/>
      <w:keepLines/>
      <w:spacing w:before="280" w:after="290" w:line="376" w:lineRule="auto"/>
      <w:outlineLvl w:val="4"/>
    </w:pPr>
    <w:rPr>
      <w:rFonts w:ascii="Times New Roman" w:hAnsi="Times New Roman" w:eastAsia="宋体" w:cs="Times New Roman"/>
      <w:b/>
      <w:sz w:val="28"/>
      <w:szCs w:val="20"/>
    </w:rPr>
  </w:style>
  <w:style w:type="paragraph" w:styleId="8">
    <w:name w:val="heading 6"/>
    <w:basedOn w:val="1"/>
    <w:next w:val="7"/>
    <w:link w:val="103"/>
    <w:qFormat/>
    <w:uiPriority w:val="0"/>
    <w:pPr>
      <w:keepNext/>
      <w:keepLines/>
      <w:spacing w:before="240" w:after="64" w:line="320" w:lineRule="auto"/>
      <w:outlineLvl w:val="5"/>
    </w:pPr>
    <w:rPr>
      <w:rFonts w:ascii="Arial" w:hAnsi="Arial" w:eastAsia="黑体" w:cs="Times New Roman"/>
      <w:b/>
      <w:sz w:val="24"/>
      <w:szCs w:val="20"/>
    </w:rPr>
  </w:style>
  <w:style w:type="paragraph" w:styleId="9">
    <w:name w:val="heading 7"/>
    <w:basedOn w:val="1"/>
    <w:next w:val="7"/>
    <w:link w:val="104"/>
    <w:qFormat/>
    <w:uiPriority w:val="0"/>
    <w:pPr>
      <w:keepNext/>
      <w:keepLines/>
      <w:spacing w:before="240" w:after="64" w:line="320" w:lineRule="auto"/>
      <w:outlineLvl w:val="6"/>
    </w:pPr>
    <w:rPr>
      <w:rFonts w:ascii="Times New Roman" w:hAnsi="Times New Roman" w:eastAsia="宋体" w:cs="Times New Roman"/>
      <w:b/>
      <w:sz w:val="24"/>
      <w:szCs w:val="20"/>
    </w:rPr>
  </w:style>
  <w:style w:type="paragraph" w:styleId="10">
    <w:name w:val="heading 8"/>
    <w:basedOn w:val="1"/>
    <w:next w:val="7"/>
    <w:link w:val="105"/>
    <w:qFormat/>
    <w:uiPriority w:val="0"/>
    <w:pPr>
      <w:keepNext/>
      <w:keepLines/>
      <w:spacing w:before="240" w:after="64" w:line="320" w:lineRule="auto"/>
      <w:outlineLvl w:val="7"/>
    </w:pPr>
    <w:rPr>
      <w:rFonts w:ascii="Arial" w:hAnsi="Arial" w:eastAsia="黑体" w:cs="Times New Roman"/>
      <w:sz w:val="24"/>
      <w:szCs w:val="20"/>
    </w:rPr>
  </w:style>
  <w:style w:type="paragraph" w:styleId="11">
    <w:name w:val="heading 9"/>
    <w:basedOn w:val="1"/>
    <w:next w:val="7"/>
    <w:link w:val="106"/>
    <w:qFormat/>
    <w:uiPriority w:val="0"/>
    <w:pPr>
      <w:keepNext/>
      <w:keepLines/>
      <w:spacing w:before="240" w:after="64" w:line="320" w:lineRule="auto"/>
      <w:outlineLvl w:val="8"/>
    </w:pPr>
    <w:rPr>
      <w:rFonts w:ascii="Arial" w:hAnsi="Arial" w:eastAsia="黑体" w:cs="Times New Roman"/>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2"/>
    <w:qFormat/>
    <w:uiPriority w:val="0"/>
    <w:pPr>
      <w:ind w:firstLine="420"/>
    </w:pPr>
    <w:rPr>
      <w:rFonts w:ascii="Times New Roman" w:hAnsi="Times New Roman" w:eastAsia="宋体" w:cs="Times New Roman"/>
      <w:szCs w:val="20"/>
    </w:rPr>
  </w:style>
  <w:style w:type="paragraph" w:styleId="12">
    <w:name w:val="toc 7"/>
    <w:basedOn w:val="1"/>
    <w:next w:val="1"/>
    <w:semiHidden/>
    <w:qFormat/>
    <w:uiPriority w:val="0"/>
    <w:pPr>
      <w:ind w:left="1260"/>
      <w:jc w:val="left"/>
    </w:pPr>
    <w:rPr>
      <w:rFonts w:ascii="Times New Roman" w:hAnsi="Times New Roman" w:eastAsia="宋体" w:cs="Times New Roman"/>
      <w:szCs w:val="21"/>
    </w:rPr>
  </w:style>
  <w:style w:type="paragraph" w:styleId="13">
    <w:name w:val="caption"/>
    <w:basedOn w:val="1"/>
    <w:next w:val="1"/>
    <w:qFormat/>
    <w:uiPriority w:val="0"/>
    <w:pPr>
      <w:widowControl/>
      <w:spacing w:line="360" w:lineRule="auto"/>
      <w:ind w:firstLine="1940" w:firstLineChars="920"/>
      <w:jc w:val="left"/>
    </w:pPr>
    <w:rPr>
      <w:rFonts w:ascii="宋体" w:hAnsi="宋体" w:eastAsia="宋体" w:cs="Times New Roman"/>
      <w:b/>
      <w:bCs/>
      <w:kern w:val="0"/>
      <w:sz w:val="20"/>
      <w:szCs w:val="20"/>
    </w:rPr>
  </w:style>
  <w:style w:type="paragraph" w:styleId="14">
    <w:name w:val="List Bullet"/>
    <w:basedOn w:val="1"/>
    <w:qFormat/>
    <w:uiPriority w:val="0"/>
    <w:pPr>
      <w:numPr>
        <w:ilvl w:val="0"/>
        <w:numId w:val="1"/>
      </w:numPr>
    </w:pPr>
    <w:rPr>
      <w:rFonts w:ascii="Times New Roman" w:hAnsi="Times New Roman" w:eastAsia="宋体" w:cs="Times New Roman"/>
      <w:szCs w:val="20"/>
    </w:rPr>
  </w:style>
  <w:style w:type="paragraph" w:styleId="15">
    <w:name w:val="Document Map"/>
    <w:basedOn w:val="1"/>
    <w:link w:val="76"/>
    <w:semiHidden/>
    <w:qFormat/>
    <w:uiPriority w:val="0"/>
    <w:pPr>
      <w:shd w:val="clear" w:color="auto" w:fill="000080"/>
    </w:pPr>
    <w:rPr>
      <w:rFonts w:ascii="Times New Roman" w:hAnsi="Times New Roman" w:eastAsia="宋体" w:cs="Times New Roman"/>
      <w:szCs w:val="24"/>
    </w:rPr>
  </w:style>
  <w:style w:type="paragraph" w:styleId="16">
    <w:name w:val="annotation text"/>
    <w:basedOn w:val="1"/>
    <w:link w:val="210"/>
    <w:qFormat/>
    <w:uiPriority w:val="0"/>
    <w:pPr>
      <w:autoSpaceDE w:val="0"/>
      <w:autoSpaceDN w:val="0"/>
      <w:adjustRightInd w:val="0"/>
      <w:jc w:val="left"/>
      <w:textAlignment w:val="baseline"/>
    </w:pPr>
    <w:rPr>
      <w:rFonts w:ascii="宋体" w:hAnsi="Times New Roman" w:eastAsia="宋体" w:cs="Times New Roman"/>
      <w:kern w:val="0"/>
      <w:sz w:val="34"/>
      <w:szCs w:val="20"/>
    </w:rPr>
  </w:style>
  <w:style w:type="paragraph" w:styleId="17">
    <w:name w:val="Body Text 3"/>
    <w:basedOn w:val="1"/>
    <w:link w:val="118"/>
    <w:qFormat/>
    <w:uiPriority w:val="0"/>
    <w:pPr>
      <w:spacing w:after="120"/>
    </w:pPr>
    <w:rPr>
      <w:rFonts w:ascii="Times New Roman" w:hAnsi="Times New Roman" w:eastAsia="宋体" w:cs="Times New Roman"/>
      <w:sz w:val="16"/>
      <w:szCs w:val="16"/>
    </w:rPr>
  </w:style>
  <w:style w:type="paragraph" w:styleId="18">
    <w:name w:val="Body Text"/>
    <w:basedOn w:val="1"/>
    <w:link w:val="112"/>
    <w:qFormat/>
    <w:uiPriority w:val="0"/>
    <w:pPr>
      <w:spacing w:line="360" w:lineRule="auto"/>
    </w:pPr>
    <w:rPr>
      <w:rFonts w:ascii="Times New Roman" w:hAnsi="Times New Roman" w:eastAsia="宋体" w:cs="Times New Roman"/>
      <w:b/>
      <w:bCs/>
      <w:sz w:val="24"/>
      <w:szCs w:val="24"/>
    </w:rPr>
  </w:style>
  <w:style w:type="paragraph" w:styleId="19">
    <w:name w:val="Body Text Indent"/>
    <w:basedOn w:val="1"/>
    <w:link w:val="99"/>
    <w:qFormat/>
    <w:uiPriority w:val="0"/>
    <w:pPr>
      <w:spacing w:line="360" w:lineRule="auto"/>
      <w:ind w:firstLine="420" w:firstLineChars="200"/>
    </w:pPr>
    <w:rPr>
      <w:rFonts w:ascii="Times New Roman" w:hAnsi="Times New Roman" w:eastAsia="宋体" w:cs="Times New Roman"/>
      <w:szCs w:val="24"/>
    </w:rPr>
  </w:style>
  <w:style w:type="paragraph" w:styleId="20">
    <w:name w:val="toc 5"/>
    <w:basedOn w:val="1"/>
    <w:next w:val="1"/>
    <w:semiHidden/>
    <w:qFormat/>
    <w:uiPriority w:val="0"/>
    <w:pPr>
      <w:ind w:left="840"/>
      <w:jc w:val="left"/>
    </w:pPr>
    <w:rPr>
      <w:rFonts w:ascii="Times New Roman" w:hAnsi="Times New Roman" w:eastAsia="宋体" w:cs="Times New Roman"/>
      <w:szCs w:val="21"/>
    </w:rPr>
  </w:style>
  <w:style w:type="paragraph" w:styleId="21">
    <w:name w:val="toc 3"/>
    <w:basedOn w:val="1"/>
    <w:next w:val="1"/>
    <w:semiHidden/>
    <w:qFormat/>
    <w:uiPriority w:val="0"/>
    <w:pPr>
      <w:ind w:left="420"/>
      <w:jc w:val="left"/>
    </w:pPr>
    <w:rPr>
      <w:rFonts w:ascii="Times New Roman" w:hAnsi="Times New Roman" w:eastAsia="宋体" w:cs="Times New Roman"/>
      <w:i/>
      <w:iCs/>
      <w:szCs w:val="24"/>
    </w:rPr>
  </w:style>
  <w:style w:type="paragraph" w:styleId="22">
    <w:name w:val="Plain Text"/>
    <w:basedOn w:val="1"/>
    <w:link w:val="110"/>
    <w:qFormat/>
    <w:uiPriority w:val="0"/>
    <w:rPr>
      <w:rFonts w:ascii="宋体" w:hAnsi="Courier New" w:eastAsia="宋体" w:cs="Times New Roman"/>
      <w:szCs w:val="20"/>
    </w:rPr>
  </w:style>
  <w:style w:type="paragraph" w:styleId="23">
    <w:name w:val="toc 8"/>
    <w:basedOn w:val="1"/>
    <w:next w:val="1"/>
    <w:semiHidden/>
    <w:qFormat/>
    <w:uiPriority w:val="0"/>
    <w:pPr>
      <w:ind w:left="1470"/>
      <w:jc w:val="left"/>
    </w:pPr>
    <w:rPr>
      <w:rFonts w:ascii="Times New Roman" w:hAnsi="Times New Roman" w:eastAsia="宋体" w:cs="Times New Roman"/>
      <w:szCs w:val="21"/>
    </w:rPr>
  </w:style>
  <w:style w:type="paragraph" w:styleId="24">
    <w:name w:val="Date"/>
    <w:basedOn w:val="1"/>
    <w:next w:val="1"/>
    <w:link w:val="108"/>
    <w:qFormat/>
    <w:uiPriority w:val="0"/>
    <w:rPr>
      <w:rFonts w:ascii="宋体" w:hAnsi="Courier New" w:eastAsia="宋体" w:cs="Times New Roman"/>
      <w:sz w:val="32"/>
      <w:szCs w:val="20"/>
    </w:rPr>
  </w:style>
  <w:style w:type="paragraph" w:styleId="25">
    <w:name w:val="Body Text Indent 2"/>
    <w:basedOn w:val="1"/>
    <w:link w:val="113"/>
    <w:qFormat/>
    <w:uiPriority w:val="0"/>
    <w:pPr>
      <w:spacing w:beforeLines="50" w:afterLines="50" w:line="120" w:lineRule="auto"/>
      <w:ind w:firstLine="840" w:firstLineChars="400"/>
      <w:jc w:val="left"/>
    </w:pPr>
    <w:rPr>
      <w:rFonts w:ascii="宋体" w:hAnsi="宋体" w:eastAsia="宋体" w:cs="Times New Roman"/>
      <w:szCs w:val="24"/>
    </w:rPr>
  </w:style>
  <w:style w:type="paragraph" w:styleId="26">
    <w:name w:val="Balloon Text"/>
    <w:basedOn w:val="1"/>
    <w:link w:val="120"/>
    <w:semiHidden/>
    <w:qFormat/>
    <w:uiPriority w:val="0"/>
    <w:rPr>
      <w:rFonts w:ascii="Times New Roman" w:hAnsi="Times New Roman" w:eastAsia="宋体" w:cs="Times New Roman"/>
      <w:sz w:val="18"/>
      <w:szCs w:val="18"/>
    </w:rPr>
  </w:style>
  <w:style w:type="paragraph" w:styleId="27">
    <w:name w:val="footer"/>
    <w:basedOn w:val="1"/>
    <w:link w:val="117"/>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28">
    <w:name w:val="header"/>
    <w:basedOn w:val="1"/>
    <w:link w:val="11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9">
    <w:name w:val="toc 1"/>
    <w:basedOn w:val="1"/>
    <w:next w:val="1"/>
    <w:semiHidden/>
    <w:qFormat/>
    <w:uiPriority w:val="0"/>
    <w:pPr>
      <w:spacing w:before="120" w:after="120"/>
      <w:jc w:val="left"/>
    </w:pPr>
    <w:rPr>
      <w:rFonts w:ascii="Times New Roman" w:hAnsi="Times New Roman" w:eastAsia="宋体" w:cs="Times New Roman"/>
      <w:b/>
      <w:bCs/>
      <w:caps/>
      <w:szCs w:val="24"/>
    </w:rPr>
  </w:style>
  <w:style w:type="paragraph" w:styleId="30">
    <w:name w:val="toc 4"/>
    <w:basedOn w:val="1"/>
    <w:next w:val="1"/>
    <w:semiHidden/>
    <w:qFormat/>
    <w:uiPriority w:val="0"/>
    <w:pPr>
      <w:ind w:left="630"/>
      <w:jc w:val="left"/>
    </w:pPr>
    <w:rPr>
      <w:rFonts w:ascii="Times New Roman" w:hAnsi="Times New Roman" w:eastAsia="宋体" w:cs="Times New Roman"/>
      <w:szCs w:val="21"/>
    </w:rPr>
  </w:style>
  <w:style w:type="paragraph" w:styleId="31">
    <w:name w:val="toc 6"/>
    <w:basedOn w:val="1"/>
    <w:next w:val="1"/>
    <w:semiHidden/>
    <w:qFormat/>
    <w:uiPriority w:val="0"/>
    <w:pPr>
      <w:ind w:left="1050"/>
      <w:jc w:val="left"/>
    </w:pPr>
    <w:rPr>
      <w:rFonts w:ascii="Times New Roman" w:hAnsi="Times New Roman" w:eastAsia="宋体" w:cs="Times New Roman"/>
      <w:szCs w:val="21"/>
    </w:rPr>
  </w:style>
  <w:style w:type="paragraph" w:styleId="32">
    <w:name w:val="Body Text Indent 3"/>
    <w:basedOn w:val="1"/>
    <w:link w:val="115"/>
    <w:qFormat/>
    <w:uiPriority w:val="0"/>
    <w:pPr>
      <w:spacing w:line="360" w:lineRule="auto"/>
      <w:ind w:firstLine="482" w:firstLineChars="200"/>
    </w:pPr>
    <w:rPr>
      <w:rFonts w:ascii="宋体" w:hAnsi="Times New Roman" w:eastAsia="宋体" w:cs="Times New Roman"/>
      <w:b/>
      <w:bCs/>
      <w:sz w:val="24"/>
      <w:szCs w:val="24"/>
    </w:rPr>
  </w:style>
  <w:style w:type="paragraph" w:styleId="33">
    <w:name w:val="toc 2"/>
    <w:basedOn w:val="1"/>
    <w:next w:val="1"/>
    <w:semiHidden/>
    <w:qFormat/>
    <w:uiPriority w:val="0"/>
    <w:pPr>
      <w:tabs>
        <w:tab w:val="right" w:leader="dot" w:pos="8296"/>
      </w:tabs>
      <w:ind w:left="210"/>
      <w:jc w:val="left"/>
    </w:pPr>
    <w:rPr>
      <w:rFonts w:ascii="Times New Roman" w:hAnsi="Times New Roman" w:eastAsia="宋体" w:cs="Times New Roman"/>
      <w:smallCaps/>
      <w:szCs w:val="24"/>
    </w:rPr>
  </w:style>
  <w:style w:type="paragraph" w:styleId="34">
    <w:name w:val="toc 9"/>
    <w:basedOn w:val="1"/>
    <w:next w:val="1"/>
    <w:semiHidden/>
    <w:qFormat/>
    <w:uiPriority w:val="0"/>
    <w:pPr>
      <w:ind w:left="1680"/>
      <w:jc w:val="left"/>
    </w:pPr>
    <w:rPr>
      <w:rFonts w:ascii="Times New Roman" w:hAnsi="Times New Roman" w:eastAsia="宋体" w:cs="Times New Roman"/>
      <w:szCs w:val="21"/>
    </w:rPr>
  </w:style>
  <w:style w:type="paragraph" w:styleId="35">
    <w:name w:val="Body Text 2"/>
    <w:basedOn w:val="1"/>
    <w:link w:val="116"/>
    <w:qFormat/>
    <w:uiPriority w:val="0"/>
    <w:pPr>
      <w:spacing w:line="360" w:lineRule="auto"/>
    </w:pPr>
    <w:rPr>
      <w:rFonts w:ascii="Times New Roman" w:hAnsi="Times New Roman" w:eastAsia="宋体" w:cs="Times New Roman"/>
      <w:sz w:val="24"/>
      <w:szCs w:val="24"/>
    </w:rPr>
  </w:style>
  <w:style w:type="paragraph" w:styleId="36">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Times New Roman"/>
      <w:color w:val="000000"/>
      <w:kern w:val="0"/>
      <w:sz w:val="20"/>
      <w:szCs w:val="20"/>
    </w:rPr>
  </w:style>
  <w:style w:type="paragraph" w:styleId="37">
    <w:name w:val="Normal (Web)"/>
    <w:basedOn w:val="1"/>
    <w:qFormat/>
    <w:uiPriority w:val="0"/>
    <w:rPr>
      <w:rFonts w:ascii="Times New Roman" w:hAnsi="Times New Roman" w:eastAsia="宋体" w:cs="Times New Roman"/>
      <w:sz w:val="24"/>
      <w:szCs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eastAsia="宋体" w:cs="Times New Roman"/>
      <w:sz w:val="24"/>
      <w:szCs w:val="24"/>
    </w:rPr>
  </w:style>
  <w:style w:type="paragraph" w:styleId="39">
    <w:name w:val="Title"/>
    <w:basedOn w:val="1"/>
    <w:link w:val="107"/>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6"/>
    <w:next w:val="16"/>
    <w:link w:val="211"/>
    <w:qFormat/>
    <w:uiPriority w:val="0"/>
    <w:pPr>
      <w:autoSpaceDE/>
      <w:autoSpaceDN/>
      <w:adjustRightInd/>
      <w:textAlignment w:val="auto"/>
    </w:pPr>
    <w:rPr>
      <w:b/>
      <w:bCs/>
      <w:kern w:val="2"/>
      <w:sz w:val="21"/>
      <w:szCs w:val="24"/>
    </w:rPr>
  </w:style>
  <w:style w:type="paragraph" w:styleId="41">
    <w:name w:val="Body Text First Indent"/>
    <w:basedOn w:val="18"/>
    <w:link w:val="152"/>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Hyperlink"/>
    <w:qFormat/>
    <w:uiPriority w:val="0"/>
    <w:rPr>
      <w:color w:val="0000FF"/>
      <w:u w:val="single"/>
    </w:rPr>
  </w:style>
  <w:style w:type="character" w:styleId="48">
    <w:name w:val="annotation reference"/>
    <w:qFormat/>
    <w:uiPriority w:val="0"/>
    <w:rPr>
      <w:sz w:val="21"/>
      <w:szCs w:val="21"/>
    </w:rPr>
  </w:style>
  <w:style w:type="character" w:customStyle="1" w:styleId="49">
    <w:name w:val="标题 1 字符"/>
    <w:basedOn w:val="44"/>
    <w:qFormat/>
    <w:uiPriority w:val="9"/>
    <w:rPr>
      <w:b/>
      <w:bCs/>
      <w:kern w:val="44"/>
      <w:sz w:val="44"/>
      <w:szCs w:val="44"/>
    </w:rPr>
  </w:style>
  <w:style w:type="character" w:customStyle="1" w:styleId="50">
    <w:name w:val="标题 2 字符"/>
    <w:basedOn w:val="44"/>
    <w:semiHidden/>
    <w:qFormat/>
    <w:uiPriority w:val="9"/>
    <w:rPr>
      <w:rFonts w:asciiTheme="majorHAnsi" w:hAnsiTheme="majorHAnsi" w:eastAsiaTheme="majorEastAsia" w:cstheme="majorBidi"/>
      <w:b/>
      <w:bCs/>
      <w:sz w:val="32"/>
      <w:szCs w:val="32"/>
    </w:rPr>
  </w:style>
  <w:style w:type="character" w:customStyle="1" w:styleId="51">
    <w:name w:val="标题 3 字符"/>
    <w:basedOn w:val="44"/>
    <w:semiHidden/>
    <w:qFormat/>
    <w:uiPriority w:val="9"/>
    <w:rPr>
      <w:b/>
      <w:bCs/>
      <w:sz w:val="32"/>
      <w:szCs w:val="32"/>
    </w:rPr>
  </w:style>
  <w:style w:type="character" w:customStyle="1" w:styleId="52">
    <w:name w:val="标题 4 字符"/>
    <w:basedOn w:val="44"/>
    <w:semiHidden/>
    <w:qFormat/>
    <w:uiPriority w:val="9"/>
    <w:rPr>
      <w:rFonts w:asciiTheme="majorHAnsi" w:hAnsiTheme="majorHAnsi" w:eastAsiaTheme="majorEastAsia" w:cstheme="majorBidi"/>
      <w:b/>
      <w:bCs/>
      <w:sz w:val="28"/>
      <w:szCs w:val="28"/>
    </w:rPr>
  </w:style>
  <w:style w:type="character" w:customStyle="1" w:styleId="53">
    <w:name w:val="标题 5 字符"/>
    <w:basedOn w:val="44"/>
    <w:semiHidden/>
    <w:qFormat/>
    <w:uiPriority w:val="9"/>
    <w:rPr>
      <w:b/>
      <w:bCs/>
      <w:sz w:val="28"/>
      <w:szCs w:val="28"/>
    </w:rPr>
  </w:style>
  <w:style w:type="character" w:customStyle="1" w:styleId="54">
    <w:name w:val="标题 6 字符"/>
    <w:basedOn w:val="44"/>
    <w:semiHidden/>
    <w:qFormat/>
    <w:uiPriority w:val="9"/>
    <w:rPr>
      <w:rFonts w:asciiTheme="majorHAnsi" w:hAnsiTheme="majorHAnsi" w:eastAsiaTheme="majorEastAsia" w:cstheme="majorBidi"/>
      <w:b/>
      <w:bCs/>
      <w:sz w:val="24"/>
      <w:szCs w:val="24"/>
    </w:rPr>
  </w:style>
  <w:style w:type="character" w:customStyle="1" w:styleId="55">
    <w:name w:val="标题 7 字符"/>
    <w:basedOn w:val="44"/>
    <w:semiHidden/>
    <w:qFormat/>
    <w:uiPriority w:val="9"/>
    <w:rPr>
      <w:b/>
      <w:bCs/>
      <w:sz w:val="24"/>
      <w:szCs w:val="24"/>
    </w:rPr>
  </w:style>
  <w:style w:type="character" w:customStyle="1" w:styleId="56">
    <w:name w:val="标题 8 字符"/>
    <w:basedOn w:val="44"/>
    <w:semiHidden/>
    <w:qFormat/>
    <w:uiPriority w:val="9"/>
    <w:rPr>
      <w:rFonts w:asciiTheme="majorHAnsi" w:hAnsiTheme="majorHAnsi" w:eastAsiaTheme="majorEastAsia" w:cstheme="majorBidi"/>
      <w:sz w:val="24"/>
      <w:szCs w:val="24"/>
    </w:rPr>
  </w:style>
  <w:style w:type="character" w:customStyle="1" w:styleId="57">
    <w:name w:val="标题 9 字符"/>
    <w:basedOn w:val="44"/>
    <w:semiHidden/>
    <w:qFormat/>
    <w:uiPriority w:val="9"/>
    <w:rPr>
      <w:rFonts w:asciiTheme="majorHAnsi" w:hAnsiTheme="majorHAnsi" w:eastAsiaTheme="majorEastAsia" w:cstheme="majorBidi"/>
      <w:szCs w:val="21"/>
    </w:rPr>
  </w:style>
  <w:style w:type="character" w:customStyle="1" w:styleId="58">
    <w:name w:val="标题 4 Char"/>
    <w:link w:val="4"/>
    <w:qFormat/>
    <w:uiPriority w:val="0"/>
    <w:rPr>
      <w:rFonts w:ascii="Arial" w:hAnsi="Arial" w:eastAsia="黑体" w:cs="Times New Roman"/>
      <w:b/>
      <w:bCs/>
      <w:sz w:val="28"/>
      <w:szCs w:val="28"/>
    </w:rPr>
  </w:style>
  <w:style w:type="paragraph" w:customStyle="1" w:styleId="59">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60">
    <w:name w:val="标题 3 Char1"/>
    <w:link w:val="3"/>
    <w:qFormat/>
    <w:uiPriority w:val="0"/>
    <w:rPr>
      <w:rFonts w:ascii="宋体" w:hAnsi="宋体" w:eastAsia="宋体" w:cs="Times New Roman"/>
      <w:b/>
      <w:bCs/>
      <w:sz w:val="28"/>
      <w:szCs w:val="32"/>
    </w:rPr>
  </w:style>
  <w:style w:type="character" w:customStyle="1" w:styleId="61">
    <w:name w:val="标题 1 Char"/>
    <w:link w:val="2"/>
    <w:qFormat/>
    <w:uiPriority w:val="0"/>
    <w:rPr>
      <w:rFonts w:ascii="宋体" w:hAnsi="宋体" w:eastAsia="黑体" w:cs="Times New Roman"/>
      <w:b/>
      <w:bCs/>
      <w:kern w:val="44"/>
      <w:sz w:val="28"/>
      <w:szCs w:val="44"/>
    </w:rPr>
  </w:style>
  <w:style w:type="character" w:customStyle="1" w:styleId="62">
    <w:name w:val="正文缩进 Char"/>
    <w:link w:val="7"/>
    <w:qFormat/>
    <w:uiPriority w:val="0"/>
    <w:rPr>
      <w:rFonts w:ascii="Times New Roman" w:hAnsi="Times New Roman" w:eastAsia="宋体" w:cs="Times New Roman"/>
      <w:szCs w:val="20"/>
    </w:rPr>
  </w:style>
  <w:style w:type="character" w:customStyle="1" w:styleId="63">
    <w:name w:val="标题 字符"/>
    <w:basedOn w:val="44"/>
    <w:qFormat/>
    <w:uiPriority w:val="10"/>
    <w:rPr>
      <w:rFonts w:asciiTheme="majorHAnsi" w:hAnsiTheme="majorHAnsi" w:eastAsiaTheme="majorEastAsia" w:cstheme="majorBidi"/>
      <w:b/>
      <w:bCs/>
      <w:sz w:val="32"/>
      <w:szCs w:val="32"/>
    </w:rPr>
  </w:style>
  <w:style w:type="character" w:customStyle="1" w:styleId="64">
    <w:name w:val="日期 字符"/>
    <w:basedOn w:val="44"/>
    <w:semiHidden/>
    <w:qFormat/>
    <w:uiPriority w:val="99"/>
  </w:style>
  <w:style w:type="character" w:customStyle="1" w:styleId="65">
    <w:name w:val="HTML 预设格式 字符"/>
    <w:basedOn w:val="44"/>
    <w:semiHidden/>
    <w:qFormat/>
    <w:uiPriority w:val="99"/>
    <w:rPr>
      <w:rFonts w:ascii="Courier New" w:hAnsi="Courier New" w:cs="Courier New"/>
      <w:sz w:val="20"/>
      <w:szCs w:val="20"/>
    </w:rPr>
  </w:style>
  <w:style w:type="character" w:customStyle="1" w:styleId="66">
    <w:name w:val="纯文本 字符"/>
    <w:basedOn w:val="44"/>
    <w:semiHidden/>
    <w:qFormat/>
    <w:uiPriority w:val="99"/>
    <w:rPr>
      <w:rFonts w:hAnsi="Courier New" w:cs="Courier New" w:asciiTheme="minorEastAsia"/>
    </w:rPr>
  </w:style>
  <w:style w:type="character" w:customStyle="1" w:styleId="67">
    <w:name w:val="正文文本缩进 字符"/>
    <w:basedOn w:val="44"/>
    <w:semiHidden/>
    <w:qFormat/>
    <w:uiPriority w:val="99"/>
  </w:style>
  <w:style w:type="character" w:customStyle="1" w:styleId="68">
    <w:name w:val="正文文本 字符"/>
    <w:basedOn w:val="44"/>
    <w:semiHidden/>
    <w:qFormat/>
    <w:uiPriority w:val="99"/>
  </w:style>
  <w:style w:type="character" w:customStyle="1" w:styleId="69">
    <w:name w:val="正文文本缩进 2 字符"/>
    <w:basedOn w:val="44"/>
    <w:semiHidden/>
    <w:qFormat/>
    <w:uiPriority w:val="99"/>
  </w:style>
  <w:style w:type="character" w:customStyle="1" w:styleId="70">
    <w:name w:val="页眉 字符"/>
    <w:basedOn w:val="44"/>
    <w:semiHidden/>
    <w:qFormat/>
    <w:uiPriority w:val="99"/>
    <w:rPr>
      <w:sz w:val="18"/>
      <w:szCs w:val="18"/>
    </w:rPr>
  </w:style>
  <w:style w:type="character" w:customStyle="1" w:styleId="71">
    <w:name w:val="批注文字 字符"/>
    <w:basedOn w:val="44"/>
    <w:semiHidden/>
    <w:qFormat/>
    <w:uiPriority w:val="99"/>
  </w:style>
  <w:style w:type="character" w:customStyle="1" w:styleId="72">
    <w:name w:val="正文文本缩进 3 字符"/>
    <w:basedOn w:val="44"/>
    <w:semiHidden/>
    <w:qFormat/>
    <w:uiPriority w:val="99"/>
    <w:rPr>
      <w:sz w:val="16"/>
      <w:szCs w:val="16"/>
    </w:rPr>
  </w:style>
  <w:style w:type="character" w:customStyle="1" w:styleId="73">
    <w:name w:val="正文文本 2 字符"/>
    <w:basedOn w:val="44"/>
    <w:semiHidden/>
    <w:qFormat/>
    <w:uiPriority w:val="99"/>
  </w:style>
  <w:style w:type="character" w:customStyle="1" w:styleId="74">
    <w:name w:val="页脚 字符"/>
    <w:basedOn w:val="44"/>
    <w:semiHidden/>
    <w:qFormat/>
    <w:uiPriority w:val="99"/>
    <w:rPr>
      <w:sz w:val="18"/>
      <w:szCs w:val="18"/>
    </w:rPr>
  </w:style>
  <w:style w:type="character" w:customStyle="1" w:styleId="75">
    <w:name w:val="已访问的超链接1"/>
    <w:qFormat/>
    <w:uiPriority w:val="0"/>
    <w:rPr>
      <w:color w:val="800080"/>
      <w:u w:val="single"/>
    </w:rPr>
  </w:style>
  <w:style w:type="character" w:customStyle="1" w:styleId="76">
    <w:name w:val="文档结构图 Char"/>
    <w:basedOn w:val="44"/>
    <w:link w:val="15"/>
    <w:semiHidden/>
    <w:qFormat/>
    <w:uiPriority w:val="0"/>
    <w:rPr>
      <w:rFonts w:ascii="Times New Roman" w:hAnsi="Times New Roman" w:eastAsia="宋体" w:cs="Times New Roman"/>
      <w:szCs w:val="24"/>
      <w:shd w:val="clear" w:color="auto" w:fill="000080"/>
    </w:rPr>
  </w:style>
  <w:style w:type="character" w:customStyle="1" w:styleId="77">
    <w:name w:val="标题 3 Char"/>
    <w:qFormat/>
    <w:uiPriority w:val="0"/>
    <w:rPr>
      <w:rFonts w:ascii="黑体" w:eastAsia="黑体"/>
      <w:bCs/>
      <w:sz w:val="30"/>
    </w:rPr>
  </w:style>
  <w:style w:type="character" w:customStyle="1" w:styleId="78">
    <w:name w:val="正文文本 3 字符"/>
    <w:basedOn w:val="44"/>
    <w:semiHidden/>
    <w:qFormat/>
    <w:uiPriority w:val="99"/>
    <w:rPr>
      <w:sz w:val="16"/>
      <w:szCs w:val="16"/>
    </w:rPr>
  </w:style>
  <w:style w:type="paragraph" w:customStyle="1" w:styleId="79">
    <w:name w:val="样式41"/>
    <w:basedOn w:val="1"/>
    <w:qFormat/>
    <w:uiPriority w:val="0"/>
    <w:pPr>
      <w:numPr>
        <w:ilvl w:val="0"/>
        <w:numId w:val="2"/>
      </w:numPr>
      <w:tabs>
        <w:tab w:val="left" w:pos="945"/>
      </w:tabs>
      <w:spacing w:line="360" w:lineRule="auto"/>
    </w:pPr>
    <w:rPr>
      <w:rFonts w:ascii="Times New Roman" w:hAnsi="Times New Roman" w:eastAsia="宋体" w:cs="Times New Roman"/>
      <w:b/>
      <w:color w:val="000000"/>
      <w:sz w:val="24"/>
      <w:szCs w:val="20"/>
    </w:rPr>
  </w:style>
  <w:style w:type="paragraph" w:customStyle="1" w:styleId="80">
    <w:name w:val="图"/>
    <w:basedOn w:val="1"/>
    <w:qFormat/>
    <w:uiPriority w:val="0"/>
    <w:pPr>
      <w:keepNext/>
      <w:adjustRightInd w:val="0"/>
      <w:snapToGrid w:val="0"/>
      <w:spacing w:before="60" w:after="60" w:line="300" w:lineRule="auto"/>
      <w:jc w:val="center"/>
    </w:pPr>
    <w:rPr>
      <w:rFonts w:ascii="Times New Roman" w:hAnsi="Times New Roman" w:eastAsia="宋体" w:cs="Times New Roman"/>
      <w:spacing w:val="20"/>
      <w:kern w:val="0"/>
      <w:sz w:val="24"/>
      <w:szCs w:val="20"/>
    </w:rPr>
  </w:style>
  <w:style w:type="paragraph" w:customStyle="1" w:styleId="81">
    <w:name w:val="文档正文"/>
    <w:basedOn w:val="1"/>
    <w:qFormat/>
    <w:uiPriority w:val="0"/>
    <w:pPr>
      <w:adjustRightInd w:val="0"/>
      <w:spacing w:line="480" w:lineRule="atLeast"/>
      <w:ind w:firstLine="567" w:firstLineChars="200"/>
      <w:textAlignment w:val="baseline"/>
    </w:pPr>
    <w:rPr>
      <w:rFonts w:ascii="长城仿宋" w:hAnsi="Times New Roman" w:eastAsia="宋体" w:cs="Times New Roman"/>
      <w:kern w:val="0"/>
      <w:szCs w:val="20"/>
    </w:rPr>
  </w:style>
  <w:style w:type="paragraph" w:customStyle="1" w:styleId="82">
    <w:name w:val="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83">
    <w:name w:val="Char3"/>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84">
    <w:name w:val="Char Char Char 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85">
    <w:name w:val="Table Contents"/>
    <w:basedOn w:val="1"/>
    <w:qFormat/>
    <w:uiPriority w:val="0"/>
    <w:pPr>
      <w:suppressAutoHyphens/>
      <w:autoSpaceDE w:val="0"/>
      <w:spacing w:after="120"/>
      <w:jc w:val="left"/>
    </w:pPr>
    <w:rPr>
      <w:rFonts w:ascii="Helvetica" w:hAnsi="Helvetica" w:eastAsia="宋体" w:cs="Times New Roman"/>
      <w:kern w:val="1"/>
      <w:sz w:val="20"/>
      <w:szCs w:val="20"/>
    </w:rPr>
  </w:style>
  <w:style w:type="paragraph" w:customStyle="1" w:styleId="86">
    <w:name w:val="自定义正文"/>
    <w:basedOn w:val="1"/>
    <w:qFormat/>
    <w:uiPriority w:val="0"/>
    <w:pPr>
      <w:spacing w:afterLines="50"/>
      <w:ind w:left="600" w:leftChars="600"/>
    </w:pPr>
    <w:rPr>
      <w:rFonts w:ascii="Times New Roman" w:hAnsi="Times New Roman" w:eastAsia="宋体" w:cs="Times New Roman"/>
      <w:szCs w:val="24"/>
    </w:rPr>
  </w:style>
  <w:style w:type="paragraph" w:customStyle="1" w:styleId="87">
    <w:name w:val="Char Char Char Char Char"/>
    <w:basedOn w:val="1"/>
    <w:qFormat/>
    <w:uiPriority w:val="0"/>
    <w:rPr>
      <w:rFonts w:ascii="Tahoma" w:hAnsi="Tahoma" w:eastAsia="宋体" w:cs="Times New Roman"/>
      <w:sz w:val="24"/>
      <w:szCs w:val="20"/>
    </w:rPr>
  </w:style>
  <w:style w:type="paragraph" w:customStyle="1" w:styleId="88">
    <w:name w:val="小标题 1"/>
    <w:basedOn w:val="1"/>
    <w:qFormat/>
    <w:uiPriority w:val="0"/>
    <w:pPr>
      <w:autoSpaceDE w:val="0"/>
      <w:autoSpaceDN w:val="0"/>
      <w:adjustRightInd w:val="0"/>
      <w:spacing w:line="360" w:lineRule="atLeast"/>
    </w:pPr>
    <w:rPr>
      <w:rFonts w:ascii="文鼎粗黑" w:hAnsi="Times New Roman" w:eastAsia="文鼎粗黑" w:cs="Times New Roman"/>
      <w:kern w:val="0"/>
      <w:sz w:val="22"/>
      <w:szCs w:val="20"/>
    </w:rPr>
  </w:style>
  <w:style w:type="paragraph" w:customStyle="1" w:styleId="89">
    <w:name w:val="Char Char"/>
    <w:basedOn w:val="1"/>
    <w:qFormat/>
    <w:uiPriority w:val="0"/>
    <w:rPr>
      <w:rFonts w:ascii="Tahoma" w:hAnsi="Tahoma" w:eastAsia="宋体" w:cs="Times New Roman"/>
      <w:sz w:val="24"/>
      <w:szCs w:val="20"/>
    </w:rPr>
  </w:style>
  <w:style w:type="paragraph" w:customStyle="1" w:styleId="90">
    <w:name w:val="È±Ê¡ÎÄ±¾"/>
    <w:basedOn w:val="1"/>
    <w:qFormat/>
    <w:uiPriority w:val="0"/>
    <w:pPr>
      <w:widowControl/>
      <w:overflowPunct w:val="0"/>
      <w:autoSpaceDE w:val="0"/>
      <w:autoSpaceDN w:val="0"/>
      <w:adjustRightInd w:val="0"/>
      <w:jc w:val="left"/>
      <w:textAlignment w:val="baseline"/>
    </w:pPr>
    <w:rPr>
      <w:rFonts w:ascii="Times New Roman" w:hAnsi="Times New Roman" w:eastAsia="宋体" w:cs="Times New Roman"/>
      <w:kern w:val="0"/>
      <w:sz w:val="24"/>
      <w:szCs w:val="20"/>
    </w:rPr>
  </w:style>
  <w:style w:type="character" w:customStyle="1" w:styleId="91">
    <w:name w:val="标题 2 Char"/>
    <w:link w:val="5"/>
    <w:qFormat/>
    <w:uiPriority w:val="0"/>
    <w:rPr>
      <w:rFonts w:ascii="宋体" w:hAnsi="宋体" w:eastAsia="宋体" w:cs="Times New Roman"/>
      <w:b/>
      <w:bCs/>
      <w:kern w:val="0"/>
      <w:sz w:val="24"/>
      <w:szCs w:val="20"/>
    </w:rPr>
  </w:style>
  <w:style w:type="paragraph" w:customStyle="1" w:styleId="92">
    <w:name w:val="Char Char Char Char Char Char1 Char"/>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93">
    <w:name w:val="列出段落1"/>
    <w:basedOn w:val="1"/>
    <w:qFormat/>
    <w:uiPriority w:val="34"/>
    <w:pPr>
      <w:ind w:firstLine="420" w:firstLineChars="200"/>
    </w:pPr>
    <w:rPr>
      <w:rFonts w:ascii="Calibri" w:hAnsi="Calibri" w:eastAsia="宋体" w:cs="Times New Roman"/>
    </w:rPr>
  </w:style>
  <w:style w:type="paragraph" w:customStyle="1" w:styleId="94">
    <w:name w:val="USE 1"/>
    <w:basedOn w:val="1"/>
    <w:qFormat/>
    <w:uiPriority w:val="0"/>
    <w:pPr>
      <w:spacing w:line="200" w:lineRule="atLeast"/>
      <w:jc w:val="left"/>
    </w:pPr>
    <w:rPr>
      <w:rFonts w:ascii="宋体" w:hAnsi="宋体" w:eastAsia="宋体" w:cs="Times New Roman"/>
      <w:b/>
      <w:sz w:val="24"/>
      <w:szCs w:val="28"/>
    </w:rPr>
  </w:style>
  <w:style w:type="paragraph" w:customStyle="1" w:styleId="95">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eastAsia="宋体" w:cs="Times New Roman"/>
      <w:bCs/>
      <w:kern w:val="0"/>
      <w:sz w:val="24"/>
      <w:szCs w:val="24"/>
      <w:lang w:val="en-GB"/>
    </w:rPr>
  </w:style>
  <w:style w:type="paragraph" w:customStyle="1" w:styleId="96">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97">
    <w:name w:val="样式 标题 2 + 段前: 13 磅 段后: 13 磅 行距: 单倍行距"/>
    <w:basedOn w:val="5"/>
    <w:qFormat/>
    <w:uiPriority w:val="0"/>
    <w:pPr>
      <w:adjustRightInd/>
      <w:spacing w:before="0" w:after="0"/>
      <w:jc w:val="both"/>
      <w:textAlignment w:val="auto"/>
    </w:pPr>
    <w:rPr>
      <w:rFonts w:ascii="Cambria" w:hAnsi="Cambria" w:cs="宋体"/>
      <w:kern w:val="2"/>
      <w:sz w:val="32"/>
    </w:rPr>
  </w:style>
  <w:style w:type="character" w:customStyle="1" w:styleId="98">
    <w:name w:val="H4 Char2"/>
    <w:qFormat/>
    <w:uiPriority w:val="0"/>
    <w:rPr>
      <w:rFonts w:ascii="Arial" w:hAnsi="Arial" w:eastAsia="黑体"/>
      <w:b/>
      <w:bCs/>
      <w:kern w:val="2"/>
      <w:sz w:val="28"/>
      <w:szCs w:val="28"/>
      <w:lang w:val="en-US" w:eastAsia="zh-CN" w:bidi="ar-SA"/>
    </w:rPr>
  </w:style>
  <w:style w:type="character" w:customStyle="1" w:styleId="99">
    <w:name w:val="正文文本缩进 Char"/>
    <w:link w:val="19"/>
    <w:qFormat/>
    <w:uiPriority w:val="0"/>
    <w:rPr>
      <w:rFonts w:ascii="Times New Roman" w:hAnsi="Times New Roman" w:eastAsia="宋体" w:cs="Times New Roman"/>
      <w:szCs w:val="24"/>
    </w:rPr>
  </w:style>
  <w:style w:type="character" w:customStyle="1" w:styleId="100">
    <w:name w:val="标题 5 Char"/>
    <w:link w:val="6"/>
    <w:qFormat/>
    <w:uiPriority w:val="0"/>
    <w:rPr>
      <w:rFonts w:ascii="Times New Roman" w:hAnsi="Times New Roman" w:eastAsia="宋体" w:cs="Times New Roman"/>
      <w:b/>
      <w:sz w:val="28"/>
      <w:szCs w:val="20"/>
    </w:rPr>
  </w:style>
  <w:style w:type="character" w:customStyle="1" w:styleId="101">
    <w:name w:val="第*章 Char"/>
    <w:qFormat/>
    <w:uiPriority w:val="0"/>
    <w:rPr>
      <w:rFonts w:ascii="Arial" w:hAnsi="Arial" w:eastAsia="黑体"/>
      <w:b/>
      <w:bCs/>
      <w:kern w:val="2"/>
      <w:sz w:val="32"/>
      <w:szCs w:val="32"/>
    </w:rPr>
  </w:style>
  <w:style w:type="character" w:customStyle="1" w:styleId="102">
    <w:name w:val="章标题1 Char"/>
    <w:qFormat/>
    <w:uiPriority w:val="0"/>
    <w:rPr>
      <w:rFonts w:eastAsia="宋体"/>
      <w:b/>
      <w:bCs/>
      <w:kern w:val="2"/>
      <w:sz w:val="32"/>
      <w:szCs w:val="32"/>
      <w:lang w:val="en-US" w:eastAsia="zh-CN" w:bidi="ar-SA"/>
    </w:rPr>
  </w:style>
  <w:style w:type="character" w:customStyle="1" w:styleId="103">
    <w:name w:val="标题 6 Char"/>
    <w:link w:val="8"/>
    <w:qFormat/>
    <w:uiPriority w:val="0"/>
    <w:rPr>
      <w:rFonts w:ascii="Arial" w:hAnsi="Arial" w:eastAsia="黑体" w:cs="Times New Roman"/>
      <w:b/>
      <w:sz w:val="24"/>
      <w:szCs w:val="20"/>
    </w:rPr>
  </w:style>
  <w:style w:type="character" w:customStyle="1" w:styleId="104">
    <w:name w:val="标题 7 Char"/>
    <w:link w:val="9"/>
    <w:qFormat/>
    <w:uiPriority w:val="0"/>
    <w:rPr>
      <w:rFonts w:ascii="Times New Roman" w:hAnsi="Times New Roman" w:eastAsia="宋体" w:cs="Times New Roman"/>
      <w:b/>
      <w:sz w:val="24"/>
      <w:szCs w:val="20"/>
    </w:rPr>
  </w:style>
  <w:style w:type="character" w:customStyle="1" w:styleId="105">
    <w:name w:val="标题 8 Char"/>
    <w:link w:val="10"/>
    <w:qFormat/>
    <w:uiPriority w:val="0"/>
    <w:rPr>
      <w:rFonts w:ascii="Arial" w:hAnsi="Arial" w:eastAsia="黑体" w:cs="Times New Roman"/>
      <w:sz w:val="24"/>
      <w:szCs w:val="20"/>
    </w:rPr>
  </w:style>
  <w:style w:type="character" w:customStyle="1" w:styleId="106">
    <w:name w:val="标题 9 Char"/>
    <w:link w:val="11"/>
    <w:qFormat/>
    <w:uiPriority w:val="0"/>
    <w:rPr>
      <w:rFonts w:ascii="Arial" w:hAnsi="Arial" w:eastAsia="黑体" w:cs="Times New Roman"/>
      <w:szCs w:val="20"/>
    </w:rPr>
  </w:style>
  <w:style w:type="character" w:customStyle="1" w:styleId="107">
    <w:name w:val="标题 Char"/>
    <w:link w:val="39"/>
    <w:qFormat/>
    <w:uiPriority w:val="0"/>
    <w:rPr>
      <w:rFonts w:ascii="Arial" w:hAnsi="Arial" w:eastAsia="隶书" w:cs="Arial"/>
      <w:b/>
      <w:bCs/>
      <w:sz w:val="32"/>
      <w:szCs w:val="32"/>
    </w:rPr>
  </w:style>
  <w:style w:type="character" w:customStyle="1" w:styleId="108">
    <w:name w:val="日期 Char"/>
    <w:link w:val="24"/>
    <w:qFormat/>
    <w:uiPriority w:val="0"/>
    <w:rPr>
      <w:rFonts w:ascii="宋体" w:hAnsi="Courier New" w:eastAsia="宋体" w:cs="Times New Roman"/>
      <w:sz w:val="32"/>
      <w:szCs w:val="20"/>
    </w:rPr>
  </w:style>
  <w:style w:type="character" w:customStyle="1" w:styleId="109">
    <w:name w:val="HTML 预设格式 Char"/>
    <w:link w:val="36"/>
    <w:qFormat/>
    <w:uiPriority w:val="0"/>
    <w:rPr>
      <w:rFonts w:ascii="Arial Unicode MS" w:hAnsi="Arial Unicode MS" w:eastAsia="Arial Unicode MS" w:cs="Times New Roman"/>
      <w:color w:val="000000"/>
      <w:kern w:val="0"/>
      <w:sz w:val="20"/>
      <w:szCs w:val="20"/>
    </w:rPr>
  </w:style>
  <w:style w:type="character" w:customStyle="1" w:styleId="110">
    <w:name w:val="纯文本 Char"/>
    <w:link w:val="22"/>
    <w:qFormat/>
    <w:uiPriority w:val="0"/>
    <w:rPr>
      <w:rFonts w:ascii="宋体" w:hAnsi="Courier New" w:eastAsia="宋体" w:cs="Times New Roman"/>
      <w:szCs w:val="20"/>
    </w:rPr>
  </w:style>
  <w:style w:type="character" w:customStyle="1" w:styleId="111">
    <w:name w:val="正文文字首行缩进 Char"/>
    <w:qFormat/>
    <w:uiPriority w:val="0"/>
    <w:rPr>
      <w:kern w:val="2"/>
      <w:sz w:val="21"/>
      <w:szCs w:val="24"/>
    </w:rPr>
  </w:style>
  <w:style w:type="character" w:customStyle="1" w:styleId="112">
    <w:name w:val="正文文本 Char"/>
    <w:link w:val="18"/>
    <w:qFormat/>
    <w:uiPriority w:val="0"/>
    <w:rPr>
      <w:rFonts w:ascii="Times New Roman" w:hAnsi="Times New Roman" w:eastAsia="宋体" w:cs="Times New Roman"/>
      <w:b/>
      <w:bCs/>
      <w:sz w:val="24"/>
      <w:szCs w:val="24"/>
    </w:rPr>
  </w:style>
  <w:style w:type="character" w:customStyle="1" w:styleId="113">
    <w:name w:val="正文文本缩进 2 Char"/>
    <w:link w:val="25"/>
    <w:qFormat/>
    <w:uiPriority w:val="0"/>
    <w:rPr>
      <w:rFonts w:ascii="宋体" w:hAnsi="宋体" w:eastAsia="宋体" w:cs="Times New Roman"/>
      <w:szCs w:val="24"/>
    </w:rPr>
  </w:style>
  <w:style w:type="character" w:customStyle="1" w:styleId="114">
    <w:name w:val="页眉 Char"/>
    <w:link w:val="28"/>
    <w:qFormat/>
    <w:uiPriority w:val="0"/>
    <w:rPr>
      <w:rFonts w:ascii="Times New Roman" w:hAnsi="Times New Roman" w:eastAsia="宋体" w:cs="Times New Roman"/>
      <w:sz w:val="18"/>
      <w:szCs w:val="18"/>
    </w:rPr>
  </w:style>
  <w:style w:type="character" w:customStyle="1" w:styleId="115">
    <w:name w:val="正文文本缩进 3 Char"/>
    <w:link w:val="32"/>
    <w:qFormat/>
    <w:uiPriority w:val="0"/>
    <w:rPr>
      <w:rFonts w:ascii="宋体" w:hAnsi="Times New Roman" w:eastAsia="宋体" w:cs="Times New Roman"/>
      <w:b/>
      <w:bCs/>
      <w:sz w:val="24"/>
      <w:szCs w:val="24"/>
    </w:rPr>
  </w:style>
  <w:style w:type="character" w:customStyle="1" w:styleId="116">
    <w:name w:val="正文文本 2 Char"/>
    <w:link w:val="35"/>
    <w:qFormat/>
    <w:uiPriority w:val="0"/>
    <w:rPr>
      <w:rFonts w:ascii="Times New Roman" w:hAnsi="Times New Roman" w:eastAsia="宋体" w:cs="Times New Roman"/>
      <w:sz w:val="24"/>
      <w:szCs w:val="24"/>
    </w:rPr>
  </w:style>
  <w:style w:type="character" w:customStyle="1" w:styleId="117">
    <w:name w:val="页脚 Char"/>
    <w:link w:val="27"/>
    <w:qFormat/>
    <w:uiPriority w:val="0"/>
    <w:rPr>
      <w:rFonts w:ascii="Times New Roman" w:hAnsi="Times New Roman" w:eastAsia="宋体" w:cs="Times New Roman"/>
      <w:sz w:val="18"/>
      <w:szCs w:val="18"/>
    </w:rPr>
  </w:style>
  <w:style w:type="character" w:customStyle="1" w:styleId="118">
    <w:name w:val="正文文本 3 Char"/>
    <w:link w:val="17"/>
    <w:qFormat/>
    <w:uiPriority w:val="0"/>
    <w:rPr>
      <w:rFonts w:ascii="Times New Roman" w:hAnsi="Times New Roman" w:eastAsia="宋体" w:cs="Times New Roman"/>
      <w:sz w:val="16"/>
      <w:szCs w:val="16"/>
    </w:rPr>
  </w:style>
  <w:style w:type="character" w:customStyle="1" w:styleId="119">
    <w:name w:val="批注框文本 字符"/>
    <w:basedOn w:val="44"/>
    <w:semiHidden/>
    <w:qFormat/>
    <w:uiPriority w:val="99"/>
    <w:rPr>
      <w:sz w:val="18"/>
      <w:szCs w:val="18"/>
    </w:rPr>
  </w:style>
  <w:style w:type="character" w:customStyle="1" w:styleId="120">
    <w:name w:val="批注框文本 Char"/>
    <w:link w:val="26"/>
    <w:semiHidden/>
    <w:qFormat/>
    <w:uiPriority w:val="0"/>
    <w:rPr>
      <w:rFonts w:ascii="Times New Roman" w:hAnsi="Times New Roman" w:eastAsia="宋体" w:cs="Times New Roman"/>
      <w:sz w:val="18"/>
      <w:szCs w:val="18"/>
    </w:rPr>
  </w:style>
  <w:style w:type="paragraph" w:customStyle="1" w:styleId="121">
    <w:name w:val="样式1"/>
    <w:basedOn w:val="39"/>
    <w:qFormat/>
    <w:uiPriority w:val="0"/>
    <w:pPr>
      <w:spacing w:before="120" w:after="120"/>
    </w:pPr>
    <w:rPr>
      <w:rFonts w:eastAsia="黑体"/>
      <w:b w:val="0"/>
      <w:sz w:val="30"/>
      <w:szCs w:val="21"/>
    </w:rPr>
  </w:style>
  <w:style w:type="paragraph" w:customStyle="1" w:styleId="122">
    <w:name w:val="样式2"/>
    <w:basedOn w:val="39"/>
    <w:next w:val="121"/>
    <w:qFormat/>
    <w:uiPriority w:val="0"/>
    <w:pPr>
      <w:spacing w:before="120" w:after="120"/>
    </w:pPr>
    <w:rPr>
      <w:rFonts w:eastAsia="黑体"/>
      <w:b w:val="0"/>
      <w:sz w:val="30"/>
      <w:szCs w:val="30"/>
    </w:rPr>
  </w:style>
  <w:style w:type="character" w:customStyle="1" w:styleId="123">
    <w:name w:val="标题 3 Char Char"/>
    <w:qFormat/>
    <w:uiPriority w:val="0"/>
    <w:rPr>
      <w:rFonts w:eastAsia="宋体"/>
      <w:b/>
      <w:bCs/>
      <w:kern w:val="2"/>
      <w:sz w:val="32"/>
      <w:szCs w:val="32"/>
      <w:lang w:val="en-US" w:eastAsia="zh-CN" w:bidi="ar-SA"/>
    </w:rPr>
  </w:style>
  <w:style w:type="paragraph" w:customStyle="1" w:styleId="124">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25">
    <w:name w:val="cont"/>
    <w:basedOn w:val="1"/>
    <w:qFormat/>
    <w:uiPriority w:val="0"/>
    <w:pPr>
      <w:adjustRightInd w:val="0"/>
      <w:spacing w:before="100" w:after="100" w:line="360" w:lineRule="auto"/>
      <w:ind w:firstLine="200" w:firstLineChars="200"/>
      <w:jc w:val="left"/>
      <w:textAlignment w:val="baseline"/>
    </w:pPr>
    <w:rPr>
      <w:rFonts w:ascii="Arial" w:hAnsi="Arial" w:eastAsia="宋体" w:cs="Times New Roman"/>
      <w:kern w:val="0"/>
      <w:sz w:val="24"/>
      <w:szCs w:val="20"/>
    </w:rPr>
  </w:style>
  <w:style w:type="paragraph" w:customStyle="1" w:styleId="126">
    <w:name w:val="--规划正文"/>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127">
    <w:name w:val="设计依据"/>
    <w:basedOn w:val="1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28">
    <w:name w:val="方案要点"/>
    <w:basedOn w:val="1"/>
    <w:qFormat/>
    <w:uiPriority w:val="0"/>
    <w:pPr>
      <w:numPr>
        <w:ilvl w:val="0"/>
        <w:numId w:val="4"/>
      </w:numPr>
      <w:spacing w:line="360" w:lineRule="auto"/>
    </w:pPr>
    <w:rPr>
      <w:rFonts w:ascii="仿宋_GB2312" w:hAnsi="宋体" w:eastAsia="仿宋_GB2312" w:cs="Times New Roman"/>
      <w:color w:val="000000"/>
      <w:sz w:val="28"/>
      <w:szCs w:val="28"/>
    </w:rPr>
  </w:style>
  <w:style w:type="paragraph" w:customStyle="1" w:styleId="129">
    <w:name w:val="样式4"/>
    <w:basedOn w:val="1"/>
    <w:qFormat/>
    <w:uiPriority w:val="0"/>
    <w:pPr>
      <w:tabs>
        <w:tab w:val="left" w:pos="842"/>
      </w:tabs>
      <w:spacing w:line="360" w:lineRule="auto"/>
      <w:ind w:left="842" w:hanging="420"/>
    </w:pPr>
    <w:rPr>
      <w:rFonts w:ascii="Times New Roman" w:hAnsi="Times New Roman" w:eastAsia="宋体" w:cs="Times New Roman"/>
      <w:sz w:val="24"/>
      <w:szCs w:val="24"/>
    </w:rPr>
  </w:style>
  <w:style w:type="paragraph" w:customStyle="1" w:styleId="130">
    <w:name w:val="文字"/>
    <w:basedOn w:val="1"/>
    <w:qFormat/>
    <w:uiPriority w:val="0"/>
    <w:pPr>
      <w:tabs>
        <w:tab w:val="left" w:pos="8520"/>
      </w:tabs>
      <w:spacing w:line="312" w:lineRule="auto"/>
      <w:ind w:right="-210" w:firstLine="556"/>
    </w:pPr>
    <w:rPr>
      <w:rFonts w:ascii="宋体" w:hAnsi="Times New Roman" w:eastAsia="宋体" w:cs="Times New Roman"/>
      <w:sz w:val="28"/>
      <w:szCs w:val="20"/>
    </w:rPr>
  </w:style>
  <w:style w:type="paragraph" w:customStyle="1" w:styleId="131">
    <w:name w:val="--规划-表格-居左"/>
    <w:basedOn w:val="126"/>
    <w:qFormat/>
    <w:uiPriority w:val="0"/>
    <w:pPr>
      <w:spacing w:line="240" w:lineRule="auto"/>
      <w:ind w:firstLine="0" w:firstLineChars="0"/>
    </w:pPr>
    <w:rPr>
      <w:sz w:val="20"/>
    </w:rPr>
  </w:style>
  <w:style w:type="paragraph" w:customStyle="1" w:styleId="132">
    <w:name w:val="--规划-表格-居中"/>
    <w:basedOn w:val="126"/>
    <w:qFormat/>
    <w:uiPriority w:val="0"/>
    <w:pPr>
      <w:spacing w:line="240" w:lineRule="auto"/>
      <w:ind w:firstLine="0" w:firstLineChars="0"/>
      <w:jc w:val="center"/>
    </w:pPr>
    <w:rPr>
      <w:sz w:val="20"/>
    </w:rPr>
  </w:style>
  <w:style w:type="paragraph" w:customStyle="1" w:styleId="133">
    <w:name w:val="--编号内缩进"/>
    <w:basedOn w:val="1"/>
    <w:qFormat/>
    <w:uiPriority w:val="0"/>
    <w:pPr>
      <w:spacing w:line="360" w:lineRule="auto"/>
      <w:ind w:left="420" w:firstLine="200" w:firstLineChars="200"/>
    </w:pPr>
    <w:rPr>
      <w:rFonts w:ascii="Times New Roman" w:hAnsi="Times New Roman" w:eastAsia="宋体" w:cs="Times New Roman"/>
      <w:szCs w:val="21"/>
    </w:rPr>
  </w:style>
  <w:style w:type="paragraph" w:customStyle="1" w:styleId="134">
    <w:name w:val="--规划-题注"/>
    <w:basedOn w:val="1"/>
    <w:next w:val="126"/>
    <w:qFormat/>
    <w:uiPriority w:val="0"/>
    <w:pPr>
      <w:spacing w:line="360" w:lineRule="auto"/>
      <w:jc w:val="center"/>
    </w:pPr>
    <w:rPr>
      <w:rFonts w:ascii="Times New Roman" w:hAnsi="Times New Roman" w:eastAsia="黑体" w:cs="Times New Roman"/>
      <w:szCs w:val="24"/>
    </w:rPr>
  </w:style>
  <w:style w:type="paragraph" w:customStyle="1" w:styleId="135">
    <w:name w:val="--规划-图和表"/>
    <w:next w:val="126"/>
    <w:qFormat/>
    <w:uiPriority w:val="0"/>
    <w:pPr>
      <w:jc w:val="center"/>
    </w:pPr>
    <w:rPr>
      <w:rFonts w:ascii="Times New Roman" w:hAnsi="Times New Roman" w:eastAsia="宋体" w:cs="Times New Roman"/>
      <w:kern w:val="2"/>
      <w:sz w:val="21"/>
      <w:lang w:val="en-US" w:eastAsia="zh-CN" w:bidi="ar-SA"/>
    </w:rPr>
  </w:style>
  <w:style w:type="paragraph" w:customStyle="1" w:styleId="136">
    <w:name w:val="--规划-小标题"/>
    <w:basedOn w:val="1"/>
    <w:next w:val="126"/>
    <w:qFormat/>
    <w:uiPriority w:val="0"/>
    <w:pPr>
      <w:keepNext/>
      <w:keepLines/>
      <w:spacing w:line="360" w:lineRule="auto"/>
      <w:outlineLvl w:val="4"/>
    </w:pPr>
    <w:rPr>
      <w:rFonts w:ascii="Times New Roman" w:hAnsi="Times New Roman" w:eastAsia="黑体" w:cs="Times New Roman"/>
      <w:szCs w:val="24"/>
    </w:rPr>
  </w:style>
  <w:style w:type="paragraph" w:customStyle="1" w:styleId="137">
    <w:name w:val="--规划正文 Char"/>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138">
    <w:name w:val="缺省文本"/>
    <w:basedOn w:val="1"/>
    <w:qFormat/>
    <w:uiPriority w:val="0"/>
    <w:pPr>
      <w:autoSpaceDE w:val="0"/>
      <w:autoSpaceDN w:val="0"/>
      <w:adjustRightInd w:val="0"/>
      <w:jc w:val="left"/>
    </w:pPr>
    <w:rPr>
      <w:rFonts w:ascii="Times New Roman" w:hAnsi="Times New Roman" w:eastAsia="宋体" w:cs="Times New Roman"/>
      <w:kern w:val="0"/>
      <w:szCs w:val="24"/>
    </w:rPr>
  </w:style>
  <w:style w:type="paragraph" w:customStyle="1" w:styleId="139">
    <w:name w:val="封面文档标题"/>
    <w:basedOn w:val="1"/>
    <w:qFormat/>
    <w:uiPriority w:val="0"/>
    <w:pPr>
      <w:autoSpaceDE w:val="0"/>
      <w:autoSpaceDN w:val="0"/>
      <w:adjustRightInd w:val="0"/>
      <w:spacing w:line="360" w:lineRule="auto"/>
      <w:jc w:val="center"/>
    </w:pPr>
    <w:rPr>
      <w:rFonts w:ascii="Arial" w:hAnsi="Arial" w:eastAsia="宋体" w:cs="Times New Roman"/>
      <w:b/>
      <w:kern w:val="0"/>
      <w:sz w:val="56"/>
      <w:szCs w:val="24"/>
    </w:rPr>
  </w:style>
  <w:style w:type="character" w:customStyle="1" w:styleId="140">
    <w:name w:val="--规划正文 Char Char"/>
    <w:qFormat/>
    <w:uiPriority w:val="0"/>
    <w:rPr>
      <w:rFonts w:eastAsia="宋体"/>
      <w:kern w:val="2"/>
      <w:sz w:val="24"/>
      <w:szCs w:val="24"/>
      <w:lang w:val="en-US" w:eastAsia="zh-CN" w:bidi="ar-SA"/>
    </w:rPr>
  </w:style>
  <w:style w:type="paragraph" w:customStyle="1" w:styleId="141">
    <w:name w:val="样式3"/>
    <w:basedOn w:val="2"/>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42">
    <w:name w:val="--规划正文 Char1"/>
    <w:qFormat/>
    <w:uiPriority w:val="0"/>
    <w:rPr>
      <w:rFonts w:eastAsia="宋体"/>
      <w:kern w:val="2"/>
      <w:sz w:val="21"/>
      <w:lang w:val="en-US" w:eastAsia="zh-CN" w:bidi="ar-SA"/>
    </w:rPr>
  </w:style>
  <w:style w:type="paragraph" w:customStyle="1" w:styleId="143">
    <w:name w:val="word"/>
    <w:basedOn w:val="1"/>
    <w:qFormat/>
    <w:uiPriority w:val="0"/>
    <w:pPr>
      <w:widowControl/>
      <w:spacing w:before="100" w:beforeAutospacing="1" w:after="100" w:afterAutospacing="1" w:line="301" w:lineRule="atLeast"/>
      <w:jc w:val="left"/>
    </w:pPr>
    <w:rPr>
      <w:rFonts w:ascii="ˎ̥" w:hAnsi="ˎ̥" w:eastAsia="宋体" w:cs="Times New Roman"/>
      <w:color w:val="000000"/>
      <w:kern w:val="0"/>
      <w:sz w:val="20"/>
      <w:szCs w:val="20"/>
    </w:rPr>
  </w:style>
  <w:style w:type="paragraph" w:customStyle="1" w:styleId="144">
    <w:name w:val="列表项目"/>
    <w:basedOn w:val="1"/>
    <w:qFormat/>
    <w:uiPriority w:val="0"/>
    <w:pPr>
      <w:tabs>
        <w:tab w:val="left" w:pos="420"/>
        <w:tab w:val="left" w:pos="1080"/>
      </w:tabs>
      <w:spacing w:line="288" w:lineRule="auto"/>
      <w:ind w:left="1080" w:hanging="360"/>
    </w:pPr>
    <w:rPr>
      <w:rFonts w:ascii="Times New Roman" w:hAnsi="Times New Roman" w:eastAsia="宋体" w:cs="Times New Roman"/>
      <w:sz w:val="24"/>
      <w:szCs w:val="20"/>
    </w:rPr>
  </w:style>
  <w:style w:type="character" w:customStyle="1" w:styleId="145">
    <w:name w:val="content1"/>
    <w:qFormat/>
    <w:uiPriority w:val="0"/>
    <w:rPr>
      <w:rFonts w:hint="default" w:ascii="??" w:hAnsi="??"/>
      <w:sz w:val="16"/>
      <w:szCs w:val="16"/>
      <w:u w:val="none"/>
    </w:rPr>
  </w:style>
  <w:style w:type="character" w:customStyle="1" w:styleId="146">
    <w:name w:val="unnamed4"/>
    <w:basedOn w:val="44"/>
    <w:qFormat/>
    <w:uiPriority w:val="0"/>
  </w:style>
  <w:style w:type="character" w:customStyle="1" w:styleId="147">
    <w:name w:val="font2"/>
    <w:basedOn w:val="44"/>
    <w:qFormat/>
    <w:uiPriority w:val="0"/>
  </w:style>
  <w:style w:type="character" w:customStyle="1" w:styleId="148">
    <w:name w:val="font41"/>
    <w:qFormat/>
    <w:uiPriority w:val="0"/>
    <w:rPr>
      <w:color w:val="000000"/>
      <w:sz w:val="18"/>
      <w:szCs w:val="18"/>
      <w:u w:val="none"/>
    </w:rPr>
  </w:style>
  <w:style w:type="paragraph" w:customStyle="1" w:styleId="14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50">
    <w:name w:val="xl72"/>
    <w:basedOn w:val="1"/>
    <w:qFormat/>
    <w:uiPriority w:val="0"/>
    <w:pPr>
      <w:widowControl/>
      <w:spacing w:before="100" w:beforeAutospacing="1" w:after="100" w:afterAutospacing="1"/>
      <w:jc w:val="left"/>
    </w:pPr>
    <w:rPr>
      <w:rFonts w:ascii="宋体" w:hAnsi="宋体" w:eastAsia="宋体" w:cs="Times New Roman"/>
      <w:b/>
      <w:bCs/>
      <w:kern w:val="0"/>
      <w:sz w:val="28"/>
      <w:szCs w:val="28"/>
    </w:rPr>
  </w:style>
  <w:style w:type="character" w:customStyle="1" w:styleId="151">
    <w:name w:val="正文首行缩进 字符"/>
    <w:basedOn w:val="68"/>
    <w:semiHidden/>
    <w:qFormat/>
    <w:uiPriority w:val="99"/>
  </w:style>
  <w:style w:type="character" w:customStyle="1" w:styleId="152">
    <w:name w:val="正文首行缩进 Char"/>
    <w:link w:val="41"/>
    <w:qFormat/>
    <w:uiPriority w:val="0"/>
    <w:rPr>
      <w:rFonts w:ascii="Times New Roman" w:hAnsi="Times New Roman" w:eastAsia="宋体" w:cs="Times New Roman"/>
      <w:b/>
      <w:bCs/>
      <w:szCs w:val="24"/>
    </w:rPr>
  </w:style>
  <w:style w:type="paragraph" w:customStyle="1" w:styleId="153">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54">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55">
    <w:name w:val="汉仪细等线简9BOLD"/>
    <w:basedOn w:val="1"/>
    <w:qFormat/>
    <w:uiPriority w:val="0"/>
    <w:pPr>
      <w:autoSpaceDE w:val="0"/>
      <w:autoSpaceDN w:val="0"/>
      <w:adjustRightInd w:val="0"/>
      <w:spacing w:line="240" w:lineRule="atLeast"/>
    </w:pPr>
    <w:rPr>
      <w:rFonts w:ascii="汉仪细等线简" w:hAnsi="Times New Roman" w:eastAsia="汉仪细等线简" w:cs="Times New Roman"/>
      <w:b/>
      <w:bCs/>
      <w:kern w:val="0"/>
      <w:sz w:val="18"/>
      <w:szCs w:val="18"/>
    </w:rPr>
  </w:style>
  <w:style w:type="character" w:customStyle="1" w:styleId="156">
    <w:name w:val="mode"/>
    <w:basedOn w:val="44"/>
    <w:qFormat/>
    <w:uiPriority w:val="0"/>
  </w:style>
  <w:style w:type="paragraph" w:customStyle="1" w:styleId="157">
    <w:name w:val="9"/>
    <w:basedOn w:val="1"/>
    <w:next w:val="7"/>
    <w:qFormat/>
    <w:uiPriority w:val="0"/>
    <w:pPr>
      <w:autoSpaceDE w:val="0"/>
      <w:autoSpaceDN w:val="0"/>
      <w:adjustRightInd w:val="0"/>
      <w:ind w:firstLine="420"/>
      <w:jc w:val="left"/>
      <w:textAlignment w:val="baseline"/>
    </w:pPr>
    <w:rPr>
      <w:rFonts w:ascii="宋体" w:hAnsi="Times New Roman" w:eastAsia="宋体" w:cs="Times New Roman"/>
      <w:kern w:val="0"/>
      <w:sz w:val="34"/>
      <w:szCs w:val="20"/>
    </w:rPr>
  </w:style>
  <w:style w:type="character" w:customStyle="1" w:styleId="158">
    <w:name w:val="unnamed3"/>
    <w:basedOn w:val="44"/>
    <w:qFormat/>
    <w:uiPriority w:val="0"/>
  </w:style>
  <w:style w:type="paragraph" w:customStyle="1" w:styleId="159">
    <w:name w:val="8"/>
    <w:basedOn w:val="1"/>
    <w:next w:val="19"/>
    <w:qFormat/>
    <w:uiPriority w:val="0"/>
    <w:pPr>
      <w:spacing w:after="120"/>
      <w:ind w:left="420" w:leftChars="200"/>
    </w:pPr>
    <w:rPr>
      <w:rFonts w:ascii="Times New Roman" w:hAnsi="Times New Roman" w:eastAsia="宋体" w:cs="Times New Roman"/>
      <w:szCs w:val="24"/>
    </w:rPr>
  </w:style>
  <w:style w:type="paragraph" w:customStyle="1" w:styleId="160">
    <w:name w:val="7"/>
    <w:basedOn w:val="1"/>
    <w:qFormat/>
    <w:uiPriority w:val="0"/>
    <w:pPr>
      <w:autoSpaceDE w:val="0"/>
      <w:autoSpaceDN w:val="0"/>
      <w:adjustRightInd w:val="0"/>
      <w:spacing w:line="270" w:lineRule="atLeast"/>
      <w:jc w:val="left"/>
    </w:pPr>
    <w:rPr>
      <w:rFonts w:ascii="宋体" w:hAnsi="Times New Roman" w:eastAsia="宋体" w:cs="Times New Roman"/>
      <w:kern w:val="0"/>
      <w:sz w:val="18"/>
      <w:szCs w:val="18"/>
    </w:rPr>
  </w:style>
  <w:style w:type="paragraph" w:customStyle="1" w:styleId="161">
    <w:name w:val="00"/>
    <w:basedOn w:val="1"/>
    <w:qFormat/>
    <w:uiPriority w:val="0"/>
    <w:pPr>
      <w:autoSpaceDE w:val="0"/>
      <w:autoSpaceDN w:val="0"/>
      <w:adjustRightInd w:val="0"/>
      <w:jc w:val="left"/>
    </w:pPr>
    <w:rPr>
      <w:rFonts w:ascii="黑体" w:hAnsi="Times New Roman" w:eastAsia="黑体" w:cs="Times New Roman"/>
      <w:b/>
      <w:bCs/>
      <w:kern w:val="0"/>
      <w:sz w:val="20"/>
      <w:szCs w:val="20"/>
    </w:rPr>
  </w:style>
  <w:style w:type="paragraph" w:customStyle="1" w:styleId="162">
    <w:name w:val="5"/>
    <w:basedOn w:val="1"/>
    <w:qFormat/>
    <w:uiPriority w:val="0"/>
    <w:pPr>
      <w:autoSpaceDE w:val="0"/>
      <w:autoSpaceDN w:val="0"/>
      <w:adjustRightInd w:val="0"/>
      <w:jc w:val="left"/>
    </w:pPr>
    <w:rPr>
      <w:rFonts w:ascii="宋体" w:hAnsi="Times New Roman" w:eastAsia="宋体" w:cs="Times New Roman"/>
      <w:b/>
      <w:bCs/>
      <w:kern w:val="0"/>
      <w:sz w:val="18"/>
      <w:szCs w:val="18"/>
    </w:rPr>
  </w:style>
  <w:style w:type="paragraph" w:customStyle="1" w:styleId="163">
    <w:name w:val="6"/>
    <w:basedOn w:val="162"/>
    <w:qFormat/>
    <w:uiPriority w:val="0"/>
    <w:pPr>
      <w:spacing w:line="270" w:lineRule="atLeast"/>
      <w:jc w:val="both"/>
    </w:pPr>
    <w:rPr>
      <w:b w:val="0"/>
      <w:bCs w:val="0"/>
    </w:rPr>
  </w:style>
  <w:style w:type="paragraph" w:customStyle="1" w:styleId="164">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65">
    <w:name w:val="姜文清定义的正文"/>
    <w:basedOn w:val="1"/>
    <w:qFormat/>
    <w:uiPriority w:val="0"/>
    <w:pPr>
      <w:spacing w:line="240" w:lineRule="atLeast"/>
      <w:ind w:firstLine="567"/>
    </w:pPr>
    <w:rPr>
      <w:rFonts w:ascii="Times New Roman" w:hAnsi="Times New Roman" w:eastAsia="宋体" w:cs="Times New Roman"/>
      <w:szCs w:val="20"/>
    </w:rPr>
  </w:style>
  <w:style w:type="paragraph" w:customStyle="1" w:styleId="166">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67">
    <w:name w:val="CM2"/>
    <w:basedOn w:val="166"/>
    <w:next w:val="166"/>
    <w:qFormat/>
    <w:uiPriority w:val="0"/>
    <w:pPr>
      <w:spacing w:line="200" w:lineRule="atLeast"/>
    </w:pPr>
    <w:rPr>
      <w:rFonts w:ascii="Arial" w:hAnsi="Arial" w:eastAsia="宋体" w:cs="Times New Roman"/>
      <w:color w:val="auto"/>
    </w:rPr>
  </w:style>
  <w:style w:type="paragraph" w:customStyle="1" w:styleId="168">
    <w:name w:val="Normal Paragraph"/>
    <w:basedOn w:val="1"/>
    <w:qFormat/>
    <w:uiPriority w:val="0"/>
    <w:pPr>
      <w:widowControl/>
      <w:spacing w:before="120" w:line="360" w:lineRule="auto"/>
      <w:ind w:firstLine="425"/>
    </w:pPr>
    <w:rPr>
      <w:rFonts w:ascii="Times New Roman" w:hAnsi="Times New Roman" w:eastAsia="宋体" w:cs="Times New Roman"/>
      <w:kern w:val="0"/>
      <w:sz w:val="24"/>
      <w:szCs w:val="24"/>
    </w:rPr>
  </w:style>
  <w:style w:type="character" w:customStyle="1" w:styleId="169">
    <w:name w:val="blue"/>
    <w:basedOn w:val="44"/>
    <w:qFormat/>
    <w:uiPriority w:val="0"/>
  </w:style>
  <w:style w:type="paragraph" w:customStyle="1" w:styleId="170">
    <w:name w:val="blue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1">
    <w:name w:val="font"/>
    <w:basedOn w:val="44"/>
    <w:qFormat/>
    <w:uiPriority w:val="0"/>
  </w:style>
  <w:style w:type="character" w:customStyle="1" w:styleId="172">
    <w:name w:val="font11"/>
    <w:qFormat/>
    <w:uiPriority w:val="0"/>
    <w:rPr>
      <w:rFonts w:hint="default" w:ascii="ˎ̥" w:hAnsi="ˎ̥"/>
    </w:rPr>
  </w:style>
  <w:style w:type="paragraph" w:customStyle="1" w:styleId="173">
    <w:name w:val="a14"/>
    <w:basedOn w:val="1"/>
    <w:qFormat/>
    <w:uiPriority w:val="0"/>
    <w:pPr>
      <w:widowControl/>
      <w:spacing w:before="100" w:beforeAutospacing="1" w:after="100" w:afterAutospacing="1" w:line="300" w:lineRule="atLeast"/>
      <w:ind w:firstLine="375"/>
      <w:jc w:val="left"/>
    </w:pPr>
    <w:rPr>
      <w:rFonts w:ascii="宋体" w:hAnsi="宋体" w:eastAsia="宋体" w:cs="宋体"/>
      <w:kern w:val="0"/>
      <w:szCs w:val="21"/>
    </w:rPr>
  </w:style>
  <w:style w:type="character" w:customStyle="1" w:styleId="174">
    <w:name w:val="proddescription"/>
    <w:basedOn w:val="44"/>
    <w:qFormat/>
    <w:uiPriority w:val="0"/>
  </w:style>
  <w:style w:type="character" w:customStyle="1" w:styleId="175">
    <w:name w:val="prodheadlines"/>
    <w:basedOn w:val="44"/>
    <w:qFormat/>
    <w:uiPriority w:val="0"/>
  </w:style>
  <w:style w:type="character" w:customStyle="1" w:styleId="176">
    <w:name w:val="text"/>
    <w:basedOn w:val="44"/>
    <w:qFormat/>
    <w:uiPriority w:val="0"/>
  </w:style>
  <w:style w:type="paragraph" w:customStyle="1" w:styleId="177">
    <w:name w:val="tex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z-窗体顶端1"/>
    <w:basedOn w:val="1"/>
    <w:next w:val="1"/>
    <w:link w:val="179"/>
    <w:qFormat/>
    <w:uiPriority w:val="0"/>
    <w:pPr>
      <w:widowControl/>
      <w:pBdr>
        <w:bottom w:val="single" w:color="auto" w:sz="6" w:space="1"/>
      </w:pBdr>
      <w:jc w:val="center"/>
    </w:pPr>
    <w:rPr>
      <w:rFonts w:ascii="Arial" w:hAnsi="Arial" w:eastAsia="宋体" w:cs="Arial"/>
      <w:vanish/>
      <w:kern w:val="0"/>
      <w:sz w:val="16"/>
      <w:szCs w:val="16"/>
    </w:rPr>
  </w:style>
  <w:style w:type="character" w:customStyle="1" w:styleId="179">
    <w:name w:val="z-窗体顶端 Char"/>
    <w:basedOn w:val="44"/>
    <w:link w:val="178"/>
    <w:qFormat/>
    <w:uiPriority w:val="0"/>
    <w:rPr>
      <w:rFonts w:ascii="Arial" w:hAnsi="Arial" w:eastAsia="宋体" w:cs="Arial"/>
      <w:vanish/>
      <w:kern w:val="0"/>
      <w:sz w:val="16"/>
      <w:szCs w:val="16"/>
    </w:rPr>
  </w:style>
  <w:style w:type="paragraph" w:customStyle="1" w:styleId="180">
    <w:name w:val="z-窗体底端1"/>
    <w:basedOn w:val="1"/>
    <w:next w:val="1"/>
    <w:link w:val="181"/>
    <w:qFormat/>
    <w:uiPriority w:val="0"/>
    <w:pPr>
      <w:widowControl/>
      <w:pBdr>
        <w:top w:val="single" w:color="auto" w:sz="6" w:space="1"/>
      </w:pBdr>
      <w:jc w:val="center"/>
    </w:pPr>
    <w:rPr>
      <w:rFonts w:ascii="Arial" w:hAnsi="Arial" w:eastAsia="宋体" w:cs="Arial"/>
      <w:vanish/>
      <w:kern w:val="0"/>
      <w:sz w:val="16"/>
      <w:szCs w:val="16"/>
    </w:rPr>
  </w:style>
  <w:style w:type="character" w:customStyle="1" w:styleId="181">
    <w:name w:val="z-窗体底端 Char"/>
    <w:basedOn w:val="44"/>
    <w:link w:val="180"/>
    <w:qFormat/>
    <w:uiPriority w:val="0"/>
    <w:rPr>
      <w:rFonts w:ascii="Arial" w:hAnsi="Arial" w:eastAsia="宋体" w:cs="Arial"/>
      <w:vanish/>
      <w:kern w:val="0"/>
      <w:sz w:val="16"/>
      <w:szCs w:val="16"/>
    </w:rPr>
  </w:style>
  <w:style w:type="paragraph" w:customStyle="1" w:styleId="182">
    <w:name w:val="正文样式"/>
    <w:basedOn w:val="1"/>
    <w:qFormat/>
    <w:uiPriority w:val="0"/>
    <w:pPr>
      <w:adjustRightInd w:val="0"/>
      <w:spacing w:line="400" w:lineRule="atLeast"/>
      <w:ind w:firstLine="570" w:firstLineChars="203"/>
      <w:textAlignment w:val="baseline"/>
    </w:pPr>
    <w:rPr>
      <w:rFonts w:ascii="Times New Roman" w:hAnsi="Times New Roman" w:eastAsia="仿宋_GB2312" w:cs="Times New Roman"/>
      <w:kern w:val="0"/>
      <w:sz w:val="28"/>
      <w:szCs w:val="20"/>
    </w:rPr>
  </w:style>
  <w:style w:type="paragraph" w:customStyle="1" w:styleId="183">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184">
    <w:name w:val="段落正文"/>
    <w:basedOn w:val="22"/>
    <w:qFormat/>
    <w:uiPriority w:val="0"/>
    <w:pPr>
      <w:ind w:firstLine="560" w:firstLineChars="200"/>
    </w:pPr>
    <w:rPr>
      <w:sz w:val="28"/>
    </w:rPr>
  </w:style>
  <w:style w:type="character" w:customStyle="1" w:styleId="185">
    <w:name w:val="gray6"/>
    <w:basedOn w:val="44"/>
    <w:qFormat/>
    <w:uiPriority w:val="0"/>
  </w:style>
  <w:style w:type="character" w:customStyle="1" w:styleId="186">
    <w:name w:val="style9"/>
    <w:basedOn w:val="44"/>
    <w:qFormat/>
    <w:uiPriority w:val="0"/>
  </w:style>
  <w:style w:type="paragraph" w:customStyle="1" w:styleId="187">
    <w:name w:val="2册标题4"/>
    <w:basedOn w:val="1"/>
    <w:next w:val="1"/>
    <w:qFormat/>
    <w:uiPriority w:val="0"/>
    <w:pPr>
      <w:spacing w:beforeLines="50" w:afterLines="50" w:line="300" w:lineRule="auto"/>
      <w:ind w:left="420" w:leftChars="200"/>
      <w:outlineLvl w:val="3"/>
    </w:pPr>
    <w:rPr>
      <w:rFonts w:ascii="Arial" w:hAnsi="Arial" w:eastAsia="幼圆" w:cs="Arial"/>
      <w:b/>
      <w:sz w:val="24"/>
      <w:szCs w:val="24"/>
    </w:rPr>
  </w:style>
  <w:style w:type="character" w:customStyle="1" w:styleId="188">
    <w:name w:val="grame"/>
    <w:basedOn w:val="44"/>
    <w:qFormat/>
    <w:uiPriority w:val="0"/>
  </w:style>
  <w:style w:type="paragraph" w:customStyle="1" w:styleId="189">
    <w:name w:val="style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90">
    <w:name w:val="Char1"/>
    <w:basedOn w:val="1"/>
    <w:qFormat/>
    <w:uiPriority w:val="0"/>
    <w:pPr>
      <w:jc w:val="left"/>
    </w:pPr>
    <w:rPr>
      <w:rFonts w:ascii="Tahoma" w:hAnsi="Tahoma" w:eastAsia="宋体" w:cs="Times New Roman"/>
      <w:sz w:val="24"/>
      <w:szCs w:val="20"/>
    </w:rPr>
  </w:style>
  <w:style w:type="paragraph" w:customStyle="1" w:styleId="191">
    <w:name w:val="编号1"/>
    <w:basedOn w:val="1"/>
    <w:qFormat/>
    <w:uiPriority w:val="0"/>
    <w:pPr>
      <w:numPr>
        <w:ilvl w:val="0"/>
        <w:numId w:val="6"/>
      </w:numPr>
      <w:adjustRightInd w:val="0"/>
      <w:spacing w:line="300" w:lineRule="auto"/>
      <w:ind w:right="210"/>
      <w:textAlignment w:val="center"/>
    </w:pPr>
    <w:rPr>
      <w:rFonts w:ascii="宋体" w:hAnsi="宋体" w:eastAsia="宋体" w:cs="Times New Roman"/>
      <w:snapToGrid w:val="0"/>
      <w:spacing w:val="10"/>
      <w:kern w:val="24"/>
      <w:szCs w:val="24"/>
    </w:rPr>
  </w:style>
  <w:style w:type="paragraph" w:customStyle="1" w:styleId="192">
    <w:name w:val="Char Char Char Char Char Char Char Char Char Char Char Char Char Char Char Char Char Char Char Char Char Char"/>
    <w:basedOn w:val="1"/>
    <w:qFormat/>
    <w:uiPriority w:val="0"/>
    <w:pPr>
      <w:widowControl/>
      <w:spacing w:line="400" w:lineRule="exact"/>
      <w:jc w:val="center"/>
    </w:pPr>
    <w:rPr>
      <w:rFonts w:ascii="Verdana" w:hAnsi="Verdana" w:eastAsia="宋体" w:cs="Times New Roman"/>
      <w:kern w:val="0"/>
      <w:szCs w:val="20"/>
      <w:lang w:eastAsia="en-US"/>
    </w:rPr>
  </w:style>
  <w:style w:type="paragraph" w:customStyle="1" w:styleId="193">
    <w:name w:val="font0"/>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194">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195">
    <w:name w:val="font6"/>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19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19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198">
    <w:name w:val="表格字"/>
    <w:basedOn w:val="1"/>
    <w:qFormat/>
    <w:uiPriority w:val="0"/>
    <w:pPr>
      <w:adjustRightInd w:val="0"/>
      <w:jc w:val="center"/>
    </w:pPr>
    <w:rPr>
      <w:rFonts w:ascii="宋体" w:hAnsi="Times New Roman" w:eastAsia="宋体" w:cs="Times New Roman"/>
      <w:sz w:val="24"/>
      <w:szCs w:val="20"/>
    </w:rPr>
  </w:style>
  <w:style w:type="character" w:customStyle="1" w:styleId="199">
    <w:name w:val="样式 小三 加粗"/>
    <w:qFormat/>
    <w:uiPriority w:val="0"/>
    <w:rPr>
      <w:rFonts w:eastAsia="宋体"/>
      <w:b/>
      <w:bCs/>
      <w:sz w:val="32"/>
    </w:rPr>
  </w:style>
  <w:style w:type="paragraph" w:customStyle="1" w:styleId="20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1">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2">
    <w:name w:val="Char Char Char"/>
    <w:basedOn w:val="1"/>
    <w:qFormat/>
    <w:uiPriority w:val="0"/>
    <w:rPr>
      <w:rFonts w:ascii="Tahoma" w:hAnsi="Tahoma" w:eastAsia="宋体" w:cs="Times New Roman"/>
      <w:sz w:val="24"/>
      <w:szCs w:val="20"/>
    </w:rPr>
  </w:style>
  <w:style w:type="paragraph" w:customStyle="1" w:styleId="203">
    <w:name w:val="Char2"/>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204">
    <w:name w:val="info4"/>
    <w:basedOn w:val="44"/>
    <w:qFormat/>
    <w:uiPriority w:val="0"/>
  </w:style>
  <w:style w:type="paragraph" w:customStyle="1" w:styleId="205">
    <w:name w:val="缩进正文"/>
    <w:basedOn w:val="1"/>
    <w:link w:val="206"/>
    <w:qFormat/>
    <w:uiPriority w:val="0"/>
    <w:pPr>
      <w:ind w:firstLine="560" w:firstLineChars="200"/>
    </w:pPr>
    <w:rPr>
      <w:rFonts w:ascii="Times New Roman" w:hAnsi="Times New Roman" w:eastAsia="仿宋_GB2312" w:cs="宋体"/>
      <w:sz w:val="28"/>
      <w:szCs w:val="20"/>
    </w:rPr>
  </w:style>
  <w:style w:type="character" w:customStyle="1" w:styleId="206">
    <w:name w:val="缩进正文 Char"/>
    <w:link w:val="205"/>
    <w:qFormat/>
    <w:uiPriority w:val="0"/>
    <w:rPr>
      <w:rFonts w:ascii="Times New Roman" w:hAnsi="Times New Roman" w:eastAsia="仿宋_GB2312" w:cs="宋体"/>
      <w:sz w:val="28"/>
      <w:szCs w:val="20"/>
    </w:rPr>
  </w:style>
  <w:style w:type="paragraph" w:customStyle="1" w:styleId="207">
    <w:name w:val="列出段落11"/>
    <w:basedOn w:val="1"/>
    <w:qFormat/>
    <w:uiPriority w:val="0"/>
    <w:pPr>
      <w:ind w:firstLine="420" w:firstLineChars="200"/>
    </w:pPr>
    <w:rPr>
      <w:rFonts w:ascii="Calibri" w:hAnsi="Calibri" w:eastAsia="宋体" w:cs="Calibri"/>
      <w:szCs w:val="21"/>
    </w:rPr>
  </w:style>
  <w:style w:type="paragraph" w:customStyle="1" w:styleId="208">
    <w:name w:val="SS正文首行缩进 +"/>
    <w:basedOn w:val="41"/>
    <w:qFormat/>
    <w:uiPriority w:val="99"/>
    <w:pPr>
      <w:spacing w:beforeLines="50" w:afterLines="50" w:line="360" w:lineRule="auto"/>
      <w:ind w:firstLine="480" w:firstLineChars="200"/>
    </w:pPr>
    <w:rPr>
      <w:rFonts w:cs="宋体"/>
      <w:sz w:val="24"/>
      <w:szCs w:val="20"/>
    </w:rPr>
  </w:style>
  <w:style w:type="character" w:customStyle="1" w:styleId="209">
    <w:name w:val="批注主题 字符"/>
    <w:basedOn w:val="71"/>
    <w:semiHidden/>
    <w:qFormat/>
    <w:uiPriority w:val="99"/>
    <w:rPr>
      <w:b/>
      <w:bCs/>
    </w:rPr>
  </w:style>
  <w:style w:type="character" w:customStyle="1" w:styleId="210">
    <w:name w:val="批注文字 Char"/>
    <w:link w:val="16"/>
    <w:qFormat/>
    <w:uiPriority w:val="0"/>
    <w:rPr>
      <w:rFonts w:ascii="宋体" w:hAnsi="Times New Roman" w:eastAsia="宋体" w:cs="Times New Roman"/>
      <w:kern w:val="0"/>
      <w:sz w:val="34"/>
      <w:szCs w:val="20"/>
    </w:rPr>
  </w:style>
  <w:style w:type="character" w:customStyle="1" w:styleId="211">
    <w:name w:val="批注主题 Char"/>
    <w:link w:val="40"/>
    <w:qFormat/>
    <w:uiPriority w:val="0"/>
    <w:rPr>
      <w:rFonts w:ascii="宋体" w:hAnsi="Times New Roman" w:eastAsia="宋体" w:cs="Times New Roman"/>
      <w:b/>
      <w:bCs/>
      <w:szCs w:val="24"/>
    </w:rPr>
  </w:style>
  <w:style w:type="paragraph" w:customStyle="1" w:styleId="212">
    <w:name w:val="Char4"/>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213">
    <w:name w:val="std"/>
    <w:basedOn w:val="44"/>
    <w:qFormat/>
    <w:uiPriority w:val="0"/>
  </w:style>
  <w:style w:type="paragraph" w:styleId="214">
    <w:name w:val="List Paragraph"/>
    <w:basedOn w:val="1"/>
    <w:link w:val="215"/>
    <w:qFormat/>
    <w:uiPriority w:val="26"/>
    <w:pPr>
      <w:ind w:firstLine="420" w:firstLineChars="200"/>
    </w:pPr>
  </w:style>
  <w:style w:type="character" w:customStyle="1" w:styleId="215">
    <w:name w:val="列出段落 Char"/>
    <w:link w:val="214"/>
    <w:qFormat/>
    <w:locked/>
    <w:uiPriority w:val="34"/>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4178</Words>
  <Characters>23816</Characters>
  <Lines>198</Lines>
  <Paragraphs>55</Paragraphs>
  <TotalTime>1</TotalTime>
  <ScaleCrop>false</ScaleCrop>
  <LinksUpToDate>false</LinksUpToDate>
  <CharactersWithSpaces>27939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2016-12-08T09:43:00Z</dcterms:created>
  <dc:creator>刘玉兰</dc:creator>
  <cp:lastModifiedBy>41747</cp:lastModifiedBy>
  <cp:lastPrinted>2016-12-12T03:41:00Z</cp:lastPrinted>
  <dcterms:modified xsi:type="dcterms:W3CDTF">2021-03-05T12:07:10Z</dcterms:modified>
  <cp:revision>252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