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80"/>
          <w:szCs w:val="80"/>
        </w:rPr>
      </w:pPr>
    </w:p>
    <w:p>
      <w:pPr>
        <w:spacing w:line="276" w:lineRule="auto"/>
        <w:jc w:val="center"/>
        <w:rPr>
          <w:rFonts w:ascii="宋体" w:hAnsi="宋体"/>
          <w:color w:val="0000FF"/>
          <w:sz w:val="56"/>
        </w:rPr>
      </w:pPr>
      <w:r>
        <w:rPr>
          <w:rFonts w:hint="eastAsia" w:ascii="宋体" w:hAnsi="宋体"/>
          <w:color w:val="0000FF"/>
          <w:sz w:val="56"/>
        </w:rPr>
        <w:t>深圳大学</w:t>
      </w:r>
    </w:p>
    <w:p>
      <w:pPr>
        <w:spacing w:line="276" w:lineRule="auto"/>
        <w:jc w:val="center"/>
        <w:rPr>
          <w:rFonts w:ascii="宋体" w:hAnsi="宋体"/>
          <w:b/>
          <w:color w:val="000000"/>
          <w:sz w:val="90"/>
        </w:rPr>
      </w:pPr>
      <w:r>
        <w:rPr>
          <w:rFonts w:hint="eastAsia" w:ascii="宋体" w:hAnsi="宋体"/>
          <w:b/>
          <w:color w:val="000000"/>
          <w:sz w:val="90"/>
        </w:rPr>
        <w:t>采 购 文 件</w:t>
      </w:r>
    </w:p>
    <w:p>
      <w:pPr>
        <w:spacing w:line="276" w:lineRule="auto"/>
        <w:jc w:val="center"/>
        <w:rPr>
          <w:b/>
          <w:sz w:val="32"/>
          <w:szCs w:val="32"/>
        </w:rPr>
      </w:pPr>
      <w:r>
        <w:rPr>
          <w:rFonts w:hint="eastAsia"/>
          <w:b/>
          <w:sz w:val="32"/>
          <w:szCs w:val="32"/>
        </w:rPr>
        <w:t>（货物类-设备）</w:t>
      </w:r>
    </w:p>
    <w:p>
      <w:pPr>
        <w:spacing w:line="276" w:lineRule="auto"/>
      </w:pPr>
    </w:p>
    <w:p/>
    <w:p/>
    <w:p/>
    <w:p/>
    <w:p/>
    <w:p/>
    <w:p>
      <w:pPr>
        <w:spacing w:line="360" w:lineRule="auto"/>
        <w:jc w:val="center"/>
        <w:rPr>
          <w:sz w:val="32"/>
          <w:szCs w:val="32"/>
        </w:rPr>
      </w:pPr>
      <w:r>
        <w:rPr>
          <w:rFonts w:hint="eastAsia" w:ascii="宋体" w:hAnsi="宋体"/>
          <w:sz w:val="32"/>
          <w:szCs w:val="32"/>
        </w:rPr>
        <w:t>项目名称</w:t>
      </w:r>
      <w:r>
        <w:rPr>
          <w:rFonts w:ascii="宋体" w:hAnsi="宋体"/>
          <w:sz w:val="32"/>
          <w:szCs w:val="32"/>
        </w:rPr>
        <w:t>：</w:t>
      </w:r>
      <w:r>
        <w:rPr>
          <w:rFonts w:hint="eastAsia" w:ascii="宋体" w:hAnsi="宋体"/>
          <w:color w:val="FF0000"/>
          <w:sz w:val="32"/>
          <w:szCs w:val="32"/>
        </w:rPr>
        <w:t>双束型聚焦离子束系统</w:t>
      </w:r>
    </w:p>
    <w:p/>
    <w:p>
      <w:pPr>
        <w:spacing w:line="360" w:lineRule="auto"/>
        <w:jc w:val="center"/>
        <w:rPr>
          <w:rFonts w:ascii="宋体" w:hAnsi="宋体"/>
          <w:color w:val="FF0000"/>
          <w:sz w:val="32"/>
          <w:szCs w:val="32"/>
        </w:rPr>
      </w:pPr>
      <w:r>
        <w:rPr>
          <w:rFonts w:hint="eastAsia" w:ascii="宋体" w:hAnsi="宋体"/>
          <w:color w:val="000000"/>
          <w:sz w:val="32"/>
          <w:szCs w:val="32"/>
        </w:rPr>
        <w:t>招标编号：</w:t>
      </w:r>
      <w:r>
        <w:rPr>
          <w:rFonts w:hint="eastAsia" w:ascii="宋体" w:hAnsi="宋体"/>
          <w:color w:val="FF0000"/>
          <w:sz w:val="32"/>
          <w:szCs w:val="32"/>
        </w:rPr>
        <w:t>SZUCG20211418EQ</w:t>
      </w:r>
    </w:p>
    <w:p>
      <w:pPr>
        <w:spacing w:line="360" w:lineRule="auto"/>
        <w:jc w:val="center"/>
        <w:rPr>
          <w:rFonts w:ascii="宋体" w:hAnsi="宋体"/>
          <w:color w:val="FF0000"/>
          <w:sz w:val="32"/>
          <w:szCs w:val="32"/>
        </w:rPr>
      </w:pPr>
      <w:r>
        <w:rPr>
          <w:rFonts w:hint="eastAsia" w:ascii="宋体" w:hAnsi="宋体"/>
          <w:color w:val="FF0000"/>
          <w:sz w:val="32"/>
          <w:szCs w:val="32"/>
        </w:rPr>
        <w:t>（</w:t>
      </w:r>
      <w:r>
        <w:rPr>
          <w:rFonts w:ascii="宋体" w:hAnsi="宋体"/>
          <w:color w:val="FF0000"/>
          <w:sz w:val="32"/>
          <w:szCs w:val="32"/>
        </w:rPr>
        <w:t>PLAN-2021-440301-0108001001-01581</w:t>
      </w:r>
      <w:r>
        <w:rPr>
          <w:rFonts w:hint="eastAsia" w:ascii="宋体" w:hAnsi="宋体"/>
          <w:color w:val="FF0000"/>
          <w:sz w:val="32"/>
          <w:szCs w:val="32"/>
        </w:rPr>
        <w:t>）</w:t>
      </w:r>
    </w:p>
    <w:p>
      <w:pPr>
        <w:spacing w:line="360" w:lineRule="auto"/>
      </w:pPr>
    </w:p>
    <w:p/>
    <w:p/>
    <w:p/>
    <w:p/>
    <w:p/>
    <w:p/>
    <w:p/>
    <w:p/>
    <w:p/>
    <w:p/>
    <w:p/>
    <w:p/>
    <w:p/>
    <w:p/>
    <w:p/>
    <w:p/>
    <w:p/>
    <w:p/>
    <w:p>
      <w:pPr>
        <w:spacing w:line="360" w:lineRule="auto"/>
        <w:jc w:val="center"/>
        <w:rPr>
          <w:rFonts w:ascii="宋体" w:hAnsi="宋体"/>
          <w:color w:val="000000"/>
          <w:sz w:val="32"/>
        </w:rPr>
      </w:pPr>
      <w:r>
        <w:rPr>
          <w:rFonts w:hint="eastAsia" w:ascii="宋体" w:hAnsi="宋体"/>
          <w:color w:val="000000"/>
          <w:sz w:val="32"/>
        </w:rPr>
        <w:t>深圳大学招投标管理中心</w:t>
      </w:r>
    </w:p>
    <w:p>
      <w:pPr>
        <w:spacing w:line="360" w:lineRule="auto"/>
        <w:jc w:val="center"/>
        <w:rPr>
          <w:rFonts w:ascii="宋体" w:hAnsi="宋体"/>
          <w:color w:val="000000"/>
          <w:sz w:val="32"/>
        </w:rPr>
      </w:pPr>
      <w:r>
        <w:rPr>
          <w:rFonts w:hint="eastAsia" w:ascii="宋体" w:hAnsi="宋体"/>
          <w:color w:val="FF0000"/>
          <w:sz w:val="32"/>
        </w:rPr>
        <w:t>二零二一年</w:t>
      </w:r>
      <w:r>
        <w:rPr>
          <w:rFonts w:hint="eastAsia" w:ascii="宋体" w:hAnsi="宋体"/>
          <w:color w:val="FF0000"/>
          <w:sz w:val="32"/>
          <w:lang w:val="en-US" w:eastAsia="zh-CN"/>
        </w:rPr>
        <w:t>八</w:t>
      </w:r>
      <w:r>
        <w:rPr>
          <w:rFonts w:hint="eastAsia" w:ascii="宋体" w:hAnsi="宋体"/>
          <w:color w:val="FF0000"/>
          <w:sz w:val="32"/>
        </w:rPr>
        <w:t>月</w:t>
      </w:r>
    </w:p>
    <w:p>
      <w:pPr>
        <w:jc w:val="center"/>
      </w:pPr>
    </w:p>
    <w:p>
      <w:pPr>
        <w:pStyle w:val="2"/>
      </w:pPr>
      <w:r>
        <w:rPr>
          <w:rFonts w:hint="eastAsia"/>
        </w:rPr>
        <w:t>关键信息</w:t>
      </w:r>
    </w:p>
    <w:p>
      <w:pPr>
        <w:pStyle w:val="5"/>
        <w:rPr>
          <w:sz w:val="36"/>
          <w:szCs w:val="36"/>
        </w:rPr>
      </w:pPr>
      <w:r>
        <w:rPr>
          <w:rFonts w:hint="eastAsia"/>
          <w:sz w:val="36"/>
          <w:szCs w:val="36"/>
        </w:rPr>
        <w:t>项目信息</w:t>
      </w:r>
    </w:p>
    <w:p>
      <w:pPr>
        <w:rPr>
          <w:rFonts w:ascii="宋体" w:hAnsi="宋体"/>
          <w:sz w:val="32"/>
        </w:rPr>
      </w:pPr>
      <w:r>
        <w:rPr>
          <w:rFonts w:ascii="宋体" w:hAnsi="宋体"/>
          <w:sz w:val="32"/>
        </w:rPr>
        <w:t xml:space="preserve">      项目编号：  </w:t>
      </w:r>
      <w:r>
        <w:rPr>
          <w:rFonts w:hint="eastAsia" w:ascii="宋体" w:hAnsi="宋体"/>
          <w:color w:val="FF0000"/>
          <w:sz w:val="32"/>
          <w:szCs w:val="32"/>
        </w:rPr>
        <w:t>SZUCG20211418EQ</w:t>
      </w:r>
    </w:p>
    <w:p>
      <w:pPr>
        <w:ind w:left="2880" w:hanging="2880" w:hangingChars="900"/>
        <w:rPr>
          <w:rFonts w:ascii="宋体" w:hAnsi="宋体"/>
          <w:sz w:val="32"/>
        </w:rPr>
      </w:pPr>
      <w:r>
        <w:rPr>
          <w:rFonts w:ascii="宋体" w:hAnsi="宋体"/>
          <w:sz w:val="32"/>
        </w:rPr>
        <w:t xml:space="preserve">      项目名称：  </w:t>
      </w:r>
      <w:r>
        <w:rPr>
          <w:rFonts w:hint="eastAsia" w:ascii="宋体" w:hAnsi="宋体"/>
          <w:color w:val="FF0000"/>
          <w:sz w:val="32"/>
          <w:szCs w:val="32"/>
        </w:rPr>
        <w:t>双束型聚焦离子束系统</w:t>
      </w:r>
    </w:p>
    <w:p>
      <w:pPr>
        <w:rPr>
          <w:rFonts w:ascii="宋体" w:hAnsi="宋体"/>
          <w:sz w:val="32"/>
        </w:rPr>
      </w:pPr>
      <w:r>
        <w:rPr>
          <w:rFonts w:ascii="宋体" w:hAnsi="宋体"/>
          <w:sz w:val="32"/>
        </w:rPr>
        <w:t xml:space="preserve">      包   号：   </w:t>
      </w:r>
      <w:r>
        <w:rPr>
          <w:rFonts w:hint="eastAsia" w:ascii="宋体" w:hAnsi="宋体"/>
          <w:sz w:val="32"/>
        </w:rPr>
        <w:t>A</w:t>
      </w:r>
    </w:p>
    <w:p>
      <w:pPr>
        <w:rPr>
          <w:rFonts w:ascii="宋体" w:hAnsi="宋体"/>
          <w:sz w:val="32"/>
        </w:rPr>
      </w:pPr>
      <w:r>
        <w:rPr>
          <w:rFonts w:ascii="宋体" w:hAnsi="宋体"/>
          <w:sz w:val="32"/>
        </w:rPr>
        <w:t xml:space="preserve">      项目类型：  货物类</w:t>
      </w:r>
    </w:p>
    <w:p>
      <w:pPr>
        <w:rPr>
          <w:rFonts w:ascii="宋体" w:hAnsi="宋体"/>
          <w:sz w:val="32"/>
        </w:rPr>
      </w:pPr>
      <w:r>
        <w:rPr>
          <w:rFonts w:ascii="宋体" w:hAnsi="宋体"/>
          <w:sz w:val="32"/>
        </w:rPr>
        <w:t xml:space="preserve">      采购方式：  公开招标</w:t>
      </w:r>
    </w:p>
    <w:p>
      <w:pPr>
        <w:rPr>
          <w:rFonts w:ascii="宋体" w:hAnsi="宋体"/>
          <w:sz w:val="32"/>
        </w:rPr>
      </w:pPr>
      <w:r>
        <w:rPr>
          <w:rFonts w:ascii="宋体" w:hAnsi="宋体"/>
          <w:sz w:val="32"/>
        </w:rPr>
        <w:t xml:space="preserve">      货币类型：  人民币</w:t>
      </w:r>
    </w:p>
    <w:p>
      <w:pPr>
        <w:ind w:firstLine="960" w:firstLineChars="300"/>
        <w:rPr>
          <w:rFonts w:ascii="宋体" w:hAnsi="宋体"/>
          <w:sz w:val="32"/>
        </w:rPr>
      </w:pPr>
      <w:r>
        <w:rPr>
          <w:rFonts w:hint="eastAsia" w:ascii="宋体" w:hAnsi="宋体"/>
          <w:sz w:val="32"/>
        </w:rPr>
        <w:t>评标方法：</w:t>
      </w:r>
      <w:r>
        <w:rPr>
          <w:rFonts w:hint="eastAsia" w:ascii="宋体" w:hAnsi="宋体"/>
          <w:sz w:val="32"/>
        </w:rPr>
        <w:tab/>
      </w:r>
      <w:r>
        <w:rPr>
          <w:rFonts w:hint="eastAsia" w:ascii="宋体" w:hAnsi="宋体"/>
          <w:sz w:val="32"/>
        </w:rPr>
        <w:t>综合评分法</w:t>
      </w:r>
    </w:p>
    <w:p>
      <w:pPr>
        <w:ind w:firstLine="551" w:firstLineChars="196"/>
        <w:rPr>
          <w:b/>
          <w:color w:val="FF0000"/>
          <w:sz w:val="28"/>
          <w:szCs w:val="28"/>
        </w:rPr>
      </w:pPr>
    </w:p>
    <w:p>
      <w:pPr>
        <w:pStyle w:val="5"/>
        <w:rPr>
          <w:sz w:val="36"/>
        </w:rPr>
      </w:pPr>
      <w:r>
        <w:rPr>
          <w:rFonts w:hint="eastAsia"/>
          <w:sz w:val="36"/>
        </w:rPr>
        <w:t>投标文件初审表</w:t>
      </w:r>
    </w:p>
    <w:p>
      <w:pPr>
        <w:jc w:val="center"/>
        <w:rPr>
          <w:b/>
          <w:sz w:val="28"/>
          <w:szCs w:val="28"/>
        </w:rPr>
      </w:pPr>
      <w:r>
        <w:rPr>
          <w:rFonts w:hint="eastAsia"/>
          <w:b/>
          <w:sz w:val="28"/>
          <w:szCs w:val="28"/>
        </w:rPr>
        <w:t>资格性检查表</w:t>
      </w:r>
    </w:p>
    <w:p>
      <w:pPr>
        <w:jc w:val="center"/>
        <w:rPr>
          <w:b/>
        </w:rPr>
      </w:pPr>
      <w:r>
        <w:rPr>
          <w:rFonts w:hint="eastAsia"/>
          <w:b/>
        </w:rPr>
        <w:t>（凡有下列情形之一的，投标文件无效，投标作投标无效处理）</w:t>
      </w:r>
    </w:p>
    <w:tbl>
      <w:tblPr>
        <w:tblStyle w:val="54"/>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p>
      <w:pPr>
        <w:jc w:val="center"/>
        <w:rPr>
          <w:b/>
          <w:sz w:val="28"/>
          <w:szCs w:val="28"/>
        </w:rPr>
      </w:pPr>
      <w:r>
        <w:rPr>
          <w:rFonts w:hint="eastAsia"/>
          <w:b/>
          <w:sz w:val="28"/>
          <w:szCs w:val="28"/>
        </w:rPr>
        <w:t>符合性检查表</w:t>
      </w:r>
    </w:p>
    <w:p>
      <w:pPr>
        <w:jc w:val="center"/>
        <w:rPr>
          <w:b/>
        </w:rPr>
      </w:pPr>
      <w:r>
        <w:rPr>
          <w:rFonts w:hint="eastAsia"/>
          <w:b/>
        </w:rPr>
        <w:t>（凡有下列情形之一的，投标文件无效，投标作投标无效处理）</w:t>
      </w:r>
    </w:p>
    <w:tbl>
      <w:tblPr>
        <w:tblStyle w:val="54"/>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r>
              <w:rPr>
                <w:rFonts w:hint="eastAsia"/>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2</w:t>
            </w:r>
          </w:p>
        </w:tc>
        <w:tc>
          <w:tcPr>
            <w:tcW w:w="7457" w:type="dxa"/>
          </w:tcPr>
          <w:p>
            <w:r>
              <w:rPr>
                <w:rFonts w:hint="eastAsia"/>
              </w:rP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3</w:t>
            </w:r>
          </w:p>
        </w:tc>
        <w:tc>
          <w:tcPr>
            <w:tcW w:w="7457" w:type="dxa"/>
          </w:tcPr>
          <w:p>
            <w:r>
              <w:rPr>
                <w:rFonts w:hint="eastAsia"/>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4</w:t>
            </w:r>
          </w:p>
        </w:tc>
        <w:tc>
          <w:tcPr>
            <w:tcW w:w="7457" w:type="dxa"/>
          </w:tcPr>
          <w:p>
            <w:r>
              <w:rPr>
                <w:rFonts w:hint="eastAsia"/>
              </w:rPr>
              <w:t>同一项目出现两个及以上报价，且根据招标文件通用条款“34.错误的修正”内容，无法确定有效报价的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5</w:t>
            </w:r>
          </w:p>
        </w:tc>
        <w:tc>
          <w:tcPr>
            <w:tcW w:w="7457" w:type="dxa"/>
          </w:tcPr>
          <w:p>
            <w:r>
              <w:rPr>
                <w:rFonts w:hint="eastAsia" w:ascii="宋体" w:hAnsi="宋体"/>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6</w:t>
            </w:r>
          </w:p>
        </w:tc>
        <w:tc>
          <w:tcPr>
            <w:tcW w:w="7457" w:type="dxa"/>
          </w:tcPr>
          <w:p>
            <w:r>
              <w:rPr>
                <w:rFonts w:hint="eastAsia"/>
              </w:rPr>
              <w:t>未按照货物明细清单要求逐项报价，投标报价有严重缺漏项目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7</w:t>
            </w:r>
          </w:p>
        </w:tc>
        <w:tc>
          <w:tcPr>
            <w:tcW w:w="7457" w:type="dxa"/>
          </w:tcPr>
          <w:p>
            <w:pPr>
              <w:rPr>
                <w:b/>
              </w:rPr>
            </w:pPr>
            <w:r>
              <w:rPr>
                <w:rFonts w:hint="eastAsia"/>
                <w:b/>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8</w:t>
            </w:r>
          </w:p>
        </w:tc>
        <w:tc>
          <w:tcPr>
            <w:tcW w:w="7457" w:type="dxa"/>
          </w:tcPr>
          <w:p>
            <w:pPr>
              <w:rPr>
                <w:b/>
              </w:rPr>
            </w:pPr>
            <w:r>
              <w:rPr>
                <w:rFonts w:hint="eastAsia"/>
                <w:b/>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9</w:t>
            </w:r>
          </w:p>
        </w:tc>
        <w:tc>
          <w:tcPr>
            <w:tcW w:w="7457" w:type="dxa"/>
          </w:tcPr>
          <w:p>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10</w:t>
            </w:r>
          </w:p>
        </w:tc>
        <w:tc>
          <w:tcPr>
            <w:tcW w:w="7457" w:type="dxa"/>
          </w:tcPr>
          <w:p>
            <w:pPr>
              <w:rPr>
                <w:b/>
              </w:rPr>
            </w:pPr>
            <w:r>
              <w:rPr>
                <w:rFonts w:hint="eastAsia"/>
                <w:color w:val="000000"/>
              </w:rPr>
              <w:t>对于拒绝进口的项目采用进口产品投标的；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11</w:t>
            </w:r>
          </w:p>
        </w:tc>
        <w:tc>
          <w:tcPr>
            <w:tcW w:w="7457" w:type="dxa"/>
          </w:tcPr>
          <w:p>
            <w:pPr>
              <w:rPr>
                <w:color w:val="000000"/>
              </w:rPr>
            </w:pPr>
            <w:r>
              <w:rPr>
                <w:rFonts w:hint="eastAsia"/>
                <w:color w:val="000000"/>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2</w:t>
            </w:r>
          </w:p>
        </w:tc>
        <w:tc>
          <w:tcPr>
            <w:tcW w:w="7457" w:type="dxa"/>
          </w:tcPr>
          <w:p>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3</w:t>
            </w:r>
          </w:p>
        </w:tc>
        <w:tc>
          <w:tcPr>
            <w:tcW w:w="7457" w:type="dxa"/>
          </w:tcPr>
          <w:p>
            <w:pPr>
              <w:rPr>
                <w:b/>
              </w:rPr>
            </w:pPr>
            <w:r>
              <w:rPr>
                <w:rFonts w:hint="eastAsia"/>
                <w:b/>
              </w:rPr>
              <w:t>《技术规格偏离表》或《商务需求偏离表》填写不全、不明或不实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r>
              <w:rPr>
                <w:rFonts w:hint="eastAsia"/>
              </w:rPr>
              <w:t>4</w:t>
            </w:r>
          </w:p>
        </w:tc>
        <w:tc>
          <w:tcPr>
            <w:tcW w:w="7457" w:type="dxa"/>
          </w:tcPr>
          <w:p>
            <w:r>
              <w:rPr>
                <w:rFonts w:hint="eastAsia"/>
              </w:rPr>
              <w:t>法律、法规规定的其他情形</w:t>
            </w:r>
          </w:p>
        </w:tc>
      </w:tr>
    </w:tbl>
    <w:p/>
    <w:p/>
    <w:p>
      <w:pPr>
        <w:pStyle w:val="5"/>
        <w:rPr>
          <w:sz w:val="36"/>
        </w:rPr>
      </w:pPr>
      <w:r>
        <w:rPr>
          <w:sz w:val="36"/>
        </w:rPr>
        <w:t>评标信息</w:t>
      </w:r>
    </w:p>
    <w:p>
      <w:pPr>
        <w:rPr>
          <w:color w:val="FF0000"/>
        </w:rPr>
      </w:pPr>
      <w:bookmarkStart w:id="0" w:name="OLE_LINK2"/>
    </w:p>
    <w:p>
      <w:bookmarkStart w:id="1" w:name="OLE_LINK3"/>
      <w:bookmarkStart w:id="2" w:name="OLE_LINK4"/>
      <w:r>
        <w:rPr>
          <w:rFonts w:hint="eastAsia"/>
          <w:b/>
        </w:rPr>
        <w:t>评标方法：</w:t>
      </w:r>
      <w:r>
        <w:rPr>
          <w:rFonts w:hint="eastAsia"/>
        </w:rPr>
        <w:t>本项目评审方法采用综合评分法（详见“第二册通用条款第七章”）。</w:t>
      </w:r>
    </w:p>
    <w:p>
      <w:pPr>
        <w:ind w:firstLine="411" w:firstLineChars="196"/>
        <w:rPr>
          <w:rFonts w:ascii="ˎ̥" w:hAnsi="ˎ̥"/>
        </w:rPr>
      </w:pPr>
      <w:r>
        <w:rPr>
          <w:rFonts w:hint="eastAsia" w:ascii="ˎ̥" w:hAnsi="ˎ̥"/>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hint="eastAsia" w:ascii="ˎ̥" w:hAnsi="ˎ̥"/>
        </w:rPr>
        <w:t>。</w:t>
      </w:r>
    </w:p>
    <w:p>
      <w:pPr>
        <w:ind w:firstLine="411" w:firstLineChars="196"/>
        <w:rPr>
          <w:rFonts w:ascii="ˎ̥" w:hAnsi="ˎ̥"/>
        </w:rPr>
      </w:pPr>
      <w:r>
        <w:rPr>
          <w:rFonts w:hint="eastAsia" w:ascii="ˎ̥" w:hAnsi="ˎ̥"/>
        </w:rPr>
        <w:t>本项目</w:t>
      </w:r>
      <w:r>
        <w:rPr>
          <w:rFonts w:hint="eastAsia"/>
        </w:rPr>
        <w:t>中标供应商数量为 1 家。</w:t>
      </w:r>
    </w:p>
    <w:p/>
    <w:p/>
    <w:p>
      <w:pPr>
        <w:rPr>
          <w:b/>
        </w:rPr>
      </w:pPr>
      <w:r>
        <w:rPr>
          <w:rFonts w:hint="eastAsia"/>
          <w:b/>
        </w:rPr>
        <w:t>评标方法</w:t>
      </w:r>
      <w:r>
        <w:rPr>
          <w:b/>
        </w:rPr>
        <w:t>说明：</w:t>
      </w:r>
    </w:p>
    <w:p>
      <w:pPr>
        <w:ind w:firstLine="420" w:firstLineChars="200"/>
      </w:pPr>
      <w:r>
        <w:rPr>
          <w:rFonts w:hint="eastAsia"/>
        </w:rPr>
        <w:t>价格分采用低价优先法计算，即满足招标文件要求且投标价格最低的投标报价为评标基准价，其价格分为满分。其他投标人的价格分按照下列公式计算：</w:t>
      </w:r>
    </w:p>
    <w:p>
      <w:pPr>
        <w:ind w:firstLine="420"/>
      </w:pPr>
      <w:r>
        <w:rPr>
          <w:rFonts w:hint="eastAsia"/>
        </w:rPr>
        <w:t>价格分=(评标基准价／投标报价)×100</w:t>
      </w:r>
    </w:p>
    <w:p>
      <w:r>
        <w:rPr>
          <w:rFonts w:hint="eastAsia"/>
        </w:rPr>
        <w:t>　　评标总得分＝F1×A1＋F2×A2＋……＋Fn×An</w:t>
      </w:r>
    </w:p>
    <w:p>
      <w:r>
        <w:rPr>
          <w:rFonts w:hint="eastAsia"/>
        </w:rPr>
        <w:t>　　F1、F2……Fn分别为各项评审因素的得分；</w:t>
      </w:r>
    </w:p>
    <w:p>
      <w:pPr>
        <w:ind w:firstLine="420"/>
      </w:pPr>
      <w:r>
        <w:rPr>
          <w:rFonts w:hint="eastAsia"/>
        </w:rPr>
        <w:t>A1、A2、……An 分别为各项评审因素所占的权重(A1＋A2＋……＋An＝1)。</w:t>
      </w:r>
    </w:p>
    <w:p>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tbl>
      <w:tblPr>
        <w:tblStyle w:val="54"/>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45"/>
        <w:gridCol w:w="2186"/>
        <w:gridCol w:w="918"/>
        <w:gridCol w:w="376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bookmarkStart w:id="3" w:name="OLE_LINK5"/>
            <w:r>
              <w:rPr>
                <w:rFonts w:hint="eastAsia" w:ascii="宋体" w:hAnsi="宋体"/>
                <w:szCs w:val="21"/>
              </w:rPr>
              <w:t>序号</w:t>
            </w:r>
          </w:p>
        </w:tc>
        <w:tc>
          <w:tcPr>
            <w:tcW w:w="3749" w:type="dxa"/>
            <w:gridSpan w:val="3"/>
            <w:vAlign w:val="center"/>
          </w:tcPr>
          <w:p>
            <w:pPr>
              <w:spacing w:line="240" w:lineRule="exact"/>
              <w:jc w:val="center"/>
              <w:rPr>
                <w:rFonts w:ascii="宋体" w:hAnsi="宋体"/>
                <w:szCs w:val="21"/>
              </w:rPr>
            </w:pPr>
            <w:r>
              <w:rPr>
                <w:rFonts w:hint="eastAsia" w:ascii="宋体" w:hAnsi="宋体"/>
                <w:szCs w:val="21"/>
              </w:rPr>
              <w:t>评分项</w:t>
            </w:r>
          </w:p>
        </w:tc>
        <w:tc>
          <w:tcPr>
            <w:tcW w:w="3766" w:type="dxa"/>
            <w:vAlign w:val="center"/>
          </w:tcPr>
          <w:p>
            <w:pPr>
              <w:spacing w:line="240" w:lineRule="exact"/>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1</w:t>
            </w:r>
          </w:p>
        </w:tc>
        <w:tc>
          <w:tcPr>
            <w:tcW w:w="3749" w:type="dxa"/>
            <w:gridSpan w:val="3"/>
            <w:vAlign w:val="center"/>
          </w:tcPr>
          <w:p>
            <w:pPr>
              <w:spacing w:line="240" w:lineRule="exact"/>
              <w:jc w:val="center"/>
              <w:rPr>
                <w:rFonts w:ascii="宋体" w:hAnsi="宋体"/>
                <w:szCs w:val="21"/>
              </w:rPr>
            </w:pPr>
            <w:r>
              <w:rPr>
                <w:rFonts w:hint="eastAsia" w:ascii="宋体" w:hAnsi="宋体"/>
                <w:szCs w:val="21"/>
              </w:rPr>
              <w:t>价格</w:t>
            </w:r>
          </w:p>
        </w:tc>
        <w:tc>
          <w:tcPr>
            <w:tcW w:w="3766" w:type="dxa"/>
            <w:vAlign w:val="center"/>
          </w:tcPr>
          <w:p>
            <w:pPr>
              <w:spacing w:line="240" w:lineRule="exact"/>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2</w:t>
            </w:r>
          </w:p>
        </w:tc>
        <w:tc>
          <w:tcPr>
            <w:tcW w:w="3749" w:type="dxa"/>
            <w:gridSpan w:val="3"/>
            <w:vAlign w:val="center"/>
          </w:tcPr>
          <w:p>
            <w:pPr>
              <w:spacing w:line="240" w:lineRule="exact"/>
              <w:jc w:val="center"/>
              <w:rPr>
                <w:rFonts w:ascii="宋体" w:hAnsi="宋体"/>
                <w:szCs w:val="21"/>
              </w:rPr>
            </w:pPr>
            <w:r>
              <w:rPr>
                <w:rFonts w:hint="eastAsia" w:ascii="宋体" w:hAnsi="宋体"/>
                <w:szCs w:val="21"/>
              </w:rPr>
              <w:t>技术部分</w:t>
            </w:r>
          </w:p>
        </w:tc>
        <w:tc>
          <w:tcPr>
            <w:tcW w:w="3766" w:type="dxa"/>
            <w:vAlign w:val="center"/>
          </w:tcPr>
          <w:p>
            <w:pPr>
              <w:spacing w:line="240" w:lineRule="exact"/>
              <w:jc w:val="center"/>
              <w:rPr>
                <w:rFonts w:ascii="宋体" w:hAnsi="宋体"/>
                <w:szCs w:val="21"/>
              </w:rPr>
            </w:pPr>
            <w:r>
              <w:rPr>
                <w:rFonts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9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7"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after="160" w:line="240" w:lineRule="exact"/>
              <w:jc w:val="center"/>
              <w:rPr>
                <w:rFonts w:ascii="宋体" w:hAnsi="宋体" w:eastAsia="仿宋_GB2312"/>
                <w:sz w:val="24"/>
                <w:szCs w:val="21"/>
              </w:rPr>
            </w:pPr>
            <w:r>
              <w:rPr>
                <w:rFonts w:hint="eastAsia" w:ascii="宋体" w:hAnsi="宋体" w:eastAsia="仿宋_GB2312"/>
                <w:sz w:val="24"/>
                <w:szCs w:val="21"/>
              </w:rPr>
              <w:t>1</w:t>
            </w:r>
          </w:p>
        </w:tc>
        <w:tc>
          <w:tcPr>
            <w:tcW w:w="2186" w:type="dxa"/>
            <w:vAlign w:val="center"/>
          </w:tcPr>
          <w:p>
            <w:pPr>
              <w:spacing w:line="240" w:lineRule="exact"/>
              <w:jc w:val="center"/>
              <w:rPr>
                <w:rFonts w:ascii="宋体" w:hAnsi="宋体"/>
                <w:szCs w:val="21"/>
              </w:rPr>
            </w:pPr>
            <w:r>
              <w:rPr>
                <w:rFonts w:hint="eastAsia" w:ascii="宋体" w:hAnsi="宋体" w:cs="宋体"/>
                <w:kern w:val="0"/>
              </w:rPr>
              <w:t>技术规格偏离情况</w:t>
            </w:r>
          </w:p>
        </w:tc>
        <w:tc>
          <w:tcPr>
            <w:tcW w:w="918" w:type="dxa"/>
            <w:vAlign w:val="center"/>
          </w:tcPr>
          <w:p>
            <w:pPr>
              <w:spacing w:after="160" w:line="240" w:lineRule="exact"/>
              <w:jc w:val="center"/>
              <w:rPr>
                <w:rFonts w:ascii="宋体" w:hAnsi="宋体" w:eastAsia="仿宋_GB2312"/>
                <w:sz w:val="24"/>
                <w:szCs w:val="21"/>
              </w:rPr>
            </w:pPr>
            <w:r>
              <w:rPr>
                <w:rFonts w:ascii="宋体" w:hAnsi="宋体" w:cs="宋体"/>
                <w:szCs w:val="21"/>
              </w:rPr>
              <w:t>50</w:t>
            </w:r>
          </w:p>
        </w:tc>
        <w:tc>
          <w:tcPr>
            <w:tcW w:w="3766" w:type="dxa"/>
            <w:vAlign w:val="center"/>
          </w:tcPr>
          <w:p>
            <w:pPr>
              <w:widowControl/>
              <w:jc w:val="left"/>
              <w:rPr>
                <w:rFonts w:cs="宋体"/>
              </w:rPr>
            </w:pPr>
            <w:r>
              <w:rPr>
                <w:rFonts w:hint="eastAsia" w:cs="宋体"/>
              </w:rPr>
              <w:t>投标人应如实填写《技术规格偏离表》，评审委员会根据技术需求参数响应情况进行打分，各项技术参数指标及要求全部满足的得</w:t>
            </w:r>
            <w:r>
              <w:t>100</w:t>
            </w:r>
            <w:r>
              <w:rPr>
                <w:rFonts w:hint="eastAsia" w:cs="宋体"/>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hint="eastAsia" w:cs="宋体"/>
              </w:rPr>
              <w:t>，每负偏离一项扣</w:t>
            </w:r>
            <w:r>
              <w:rPr>
                <w:rFonts w:hint="eastAsia" w:cs="宋体"/>
                <w:strike w:val="0"/>
                <w:color w:val="FF0000"/>
              </w:rPr>
              <w:t>10</w:t>
            </w:r>
            <w:r>
              <w:rPr>
                <w:rFonts w:hint="eastAsia" w:cs="宋体"/>
              </w:rPr>
              <w:t>分；普通</w:t>
            </w:r>
            <w:r>
              <w:rPr>
                <w:rFonts w:cs="宋体"/>
              </w:rPr>
              <w:t>参数</w:t>
            </w:r>
            <w:r>
              <w:rPr>
                <w:rFonts w:hint="eastAsia" w:cs="宋体"/>
              </w:rPr>
              <w:t>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3</w:t>
            </w:r>
          </w:p>
        </w:tc>
        <w:tc>
          <w:tcPr>
            <w:tcW w:w="3749" w:type="dxa"/>
            <w:gridSpan w:val="3"/>
            <w:vAlign w:val="center"/>
          </w:tcPr>
          <w:p>
            <w:pPr>
              <w:spacing w:line="240" w:lineRule="exact"/>
              <w:jc w:val="center"/>
              <w:rPr>
                <w:rFonts w:ascii="宋体" w:hAnsi="宋体"/>
                <w:szCs w:val="21"/>
              </w:rPr>
            </w:pPr>
            <w:r>
              <w:rPr>
                <w:rFonts w:hint="eastAsia" w:ascii="宋体" w:hAnsi="宋体"/>
                <w:szCs w:val="21"/>
              </w:rPr>
              <w:t>商务需求</w:t>
            </w:r>
          </w:p>
        </w:tc>
        <w:tc>
          <w:tcPr>
            <w:tcW w:w="3766" w:type="dxa"/>
            <w:vAlign w:val="center"/>
          </w:tcPr>
          <w:p>
            <w:pPr>
              <w:spacing w:line="240" w:lineRule="exact"/>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免费保修期内售后服务条款偏离情况</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66" w:type="dxa"/>
            <w:vAlign w:val="center"/>
          </w:tcPr>
          <w:p>
            <w:pPr>
              <w:rPr>
                <w:rFonts w:cs="宋体"/>
              </w:rPr>
            </w:pPr>
            <w:r>
              <w:rPr>
                <w:rFonts w:hint="eastAsia" w:cs="宋体"/>
              </w:rPr>
              <w:t>投标人应如实填写《免费保修期内售后服务条款偏离表》，评审委员会根据响应情况进行打分，全部满足要求的得</w:t>
            </w:r>
            <w:r>
              <w:t>100</w:t>
            </w:r>
            <w:r>
              <w:rPr>
                <w:rFonts w:hint="eastAsia" w:cs="宋体"/>
              </w:rPr>
              <w:t>分，每负偏离一项扣</w:t>
            </w:r>
            <w:r>
              <w:rPr>
                <w:rFonts w:cs="宋体"/>
              </w:rPr>
              <w:t>20</w:t>
            </w:r>
            <w:r>
              <w:rPr>
                <w:rFonts w:hint="eastAsia" w:cs="宋体"/>
              </w:rPr>
              <w:t>分。</w:t>
            </w:r>
            <w:r>
              <w:rPr>
                <w:rFonts w:hint="eastAsia" w:ascii="宋体" w:hAnsi="宋体" w:cs="宋体"/>
                <w:b/>
                <w:color w:val="FF0000"/>
                <w:kern w:val="0"/>
                <w:szCs w:val="21"/>
              </w:rPr>
              <w:t>带★的参数为不可负偏离项，负偏离即投标无效。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cs="宋体"/>
              </w:rPr>
              <w:t>免费保修期外售后服务条款偏离情况</w:t>
            </w:r>
          </w:p>
        </w:tc>
        <w:tc>
          <w:tcPr>
            <w:tcW w:w="918" w:type="dxa"/>
            <w:vAlign w:val="center"/>
          </w:tcPr>
          <w:p>
            <w:pPr>
              <w:spacing w:line="240" w:lineRule="exact"/>
              <w:jc w:val="center"/>
              <w:rPr>
                <w:rFonts w:ascii="宋体" w:hAnsi="宋体"/>
                <w:szCs w:val="21"/>
              </w:rPr>
            </w:pPr>
            <w:r>
              <w:rPr>
                <w:rFonts w:ascii="宋体" w:hAnsi="宋体"/>
                <w:szCs w:val="21"/>
              </w:rPr>
              <w:t>3</w:t>
            </w:r>
          </w:p>
        </w:tc>
        <w:tc>
          <w:tcPr>
            <w:tcW w:w="3766" w:type="dxa"/>
            <w:vAlign w:val="center"/>
          </w:tcPr>
          <w:p>
            <w:pPr>
              <w:rPr>
                <w:rFonts w:cs="宋体"/>
              </w:rPr>
            </w:pPr>
            <w:r>
              <w:rPr>
                <w:rFonts w:hint="eastAsia" w:cs="宋体"/>
              </w:rPr>
              <w:t>投标人应如实填写《免费保修期外售后服务条款偏离表》，评审委员会根据响应情况进行打分，全部满足要求的得</w:t>
            </w:r>
            <w:r>
              <w:t>100</w:t>
            </w:r>
            <w:r>
              <w:rPr>
                <w:rFonts w:hint="eastAsia" w:cs="宋体"/>
              </w:rPr>
              <w:t>分，每负偏离一项扣100分。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3</w:t>
            </w:r>
          </w:p>
        </w:tc>
        <w:tc>
          <w:tcPr>
            <w:tcW w:w="2186" w:type="dxa"/>
            <w:vAlign w:val="center"/>
          </w:tcPr>
          <w:p>
            <w:pPr>
              <w:spacing w:line="240" w:lineRule="exact"/>
              <w:jc w:val="center"/>
              <w:rPr>
                <w:rFonts w:ascii="宋体" w:hAnsi="宋体"/>
                <w:szCs w:val="21"/>
              </w:rPr>
            </w:pPr>
            <w:r>
              <w:rPr>
                <w:rFonts w:hint="eastAsia" w:ascii="宋体" w:hAnsi="宋体"/>
                <w:szCs w:val="21"/>
              </w:rPr>
              <w:t>其他商务条款偏离情况</w:t>
            </w:r>
          </w:p>
        </w:tc>
        <w:tc>
          <w:tcPr>
            <w:tcW w:w="918" w:type="dxa"/>
            <w:vAlign w:val="center"/>
          </w:tcPr>
          <w:p>
            <w:pPr>
              <w:spacing w:line="240" w:lineRule="exact"/>
              <w:jc w:val="center"/>
              <w:rPr>
                <w:rFonts w:ascii="宋体" w:hAnsi="宋体"/>
                <w:szCs w:val="21"/>
              </w:rPr>
            </w:pPr>
            <w:r>
              <w:rPr>
                <w:rFonts w:ascii="宋体" w:hAnsi="宋体"/>
                <w:szCs w:val="21"/>
              </w:rPr>
              <w:t>2</w:t>
            </w:r>
          </w:p>
        </w:tc>
        <w:tc>
          <w:tcPr>
            <w:tcW w:w="3766" w:type="dxa"/>
            <w:vAlign w:val="center"/>
          </w:tcPr>
          <w:p>
            <w:pPr>
              <w:rPr>
                <w:rFonts w:cs="宋体"/>
              </w:rPr>
            </w:pPr>
            <w:r>
              <w:rPr>
                <w:rFonts w:hint="eastAsia" w:cs="宋体"/>
              </w:rPr>
              <w:t>投标人应如实填写《其他商务条款偏离表》，评审委员会根据响应情况进行打分，全部满足要求的得</w:t>
            </w:r>
            <w:r>
              <w:t>100</w:t>
            </w:r>
            <w:r>
              <w:rPr>
                <w:rFonts w:hint="eastAsia" w:cs="宋体"/>
              </w:rPr>
              <w:t>分，每负偏离一项扣</w:t>
            </w:r>
            <w:r>
              <w:rPr>
                <w:rFonts w:cs="宋体"/>
              </w:rPr>
              <w:t>9</w:t>
            </w:r>
            <w:r>
              <w:rPr>
                <w:rFonts w:hint="eastAsia" w:cs="宋体"/>
              </w:rPr>
              <w:t>分。</w:t>
            </w:r>
            <w:r>
              <w:rPr>
                <w:rFonts w:hint="eastAsia" w:ascii="宋体" w:hAnsi="宋体" w:cs="宋体"/>
                <w:b/>
                <w:color w:val="FF0000"/>
                <w:kern w:val="0"/>
                <w:szCs w:val="21"/>
              </w:rPr>
              <w:t>带★的参数为不可负偏离项，负偏离即投标无效。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4</w:t>
            </w:r>
          </w:p>
        </w:tc>
        <w:tc>
          <w:tcPr>
            <w:tcW w:w="374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诚信情况</w:t>
            </w:r>
          </w:p>
        </w:tc>
        <w:tc>
          <w:tcPr>
            <w:tcW w:w="3772" w:type="dxa"/>
            <w:gridSpan w:val="2"/>
            <w:tcBorders>
              <w:top w:val="single" w:color="auto" w:sz="4" w:space="0"/>
              <w:left w:val="single" w:color="auto" w:sz="4" w:space="0"/>
              <w:bottom w:val="single" w:color="auto" w:sz="4" w:space="0"/>
              <w:right w:val="single" w:color="auto" w:sz="4" w:space="0"/>
            </w:tcBorders>
            <w:vAlign w:val="center"/>
          </w:tcPr>
          <w:p>
            <w:pPr>
              <w:pStyle w:val="37"/>
              <w:numPr>
                <w:ilvl w:val="12"/>
                <w:numId w:val="0"/>
              </w:numPr>
              <w:pBdr>
                <w:bottom w:val="none" w:color="auto" w:sz="0" w:space="0"/>
              </w:pBdr>
              <w:tabs>
                <w:tab w:val="left" w:pos="420"/>
              </w:tabs>
              <w:spacing w:line="300" w:lineRule="auto"/>
              <w:rPr>
                <w:rFonts w:ascii="宋体" w:hAnsi="宋体"/>
                <w:sz w:val="21"/>
                <w:szCs w:val="21"/>
              </w:rPr>
            </w:pPr>
            <w:r>
              <w:rPr>
                <w:rFonts w:hint="eastAsia" w:ascii="宋体" w:hAnsi="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72" w:type="dxa"/>
            <w:gridSpan w:val="2"/>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诚信</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72" w:type="dxa"/>
            <w:gridSpan w:val="2"/>
          </w:tcPr>
          <w:p>
            <w:pPr>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szCs w:val="21"/>
              </w:rPr>
              <w:t>履约</w:t>
            </w:r>
          </w:p>
        </w:tc>
        <w:tc>
          <w:tcPr>
            <w:tcW w:w="918" w:type="dxa"/>
            <w:vAlign w:val="center"/>
          </w:tcPr>
          <w:p>
            <w:pPr>
              <w:spacing w:line="240" w:lineRule="exact"/>
              <w:jc w:val="center"/>
              <w:rPr>
                <w:rFonts w:ascii="宋体" w:hAnsi="宋体"/>
                <w:szCs w:val="21"/>
              </w:rPr>
            </w:pPr>
            <w:r>
              <w:rPr>
                <w:rFonts w:ascii="宋体" w:hAnsi="宋体"/>
                <w:szCs w:val="21"/>
              </w:rPr>
              <w:t>2</w:t>
            </w:r>
          </w:p>
        </w:tc>
        <w:tc>
          <w:tcPr>
            <w:tcW w:w="3772" w:type="dxa"/>
            <w:gridSpan w:val="2"/>
          </w:tcPr>
          <w:p>
            <w:pPr>
              <w:pStyle w:val="37"/>
              <w:numPr>
                <w:ilvl w:val="12"/>
                <w:numId w:val="0"/>
              </w:numPr>
              <w:pBdr>
                <w:bottom w:val="none" w:color="auto" w:sz="0" w:space="0"/>
              </w:pBdr>
              <w:tabs>
                <w:tab w:val="clear" w:pos="4153"/>
                <w:tab w:val="clear" w:pos="8306"/>
              </w:tabs>
              <w:spacing w:line="300" w:lineRule="auto"/>
              <w:jc w:val="both"/>
              <w:rPr>
                <w:rFonts w:ascii="宋体" w:hAnsi="宋体" w:cs="宋体"/>
                <w:sz w:val="21"/>
                <w:szCs w:val="21"/>
              </w:rPr>
            </w:pPr>
            <w:r>
              <w:rPr>
                <w:rFonts w:hint="eastAsia" w:ascii="宋体" w:hAnsi="宋体"/>
                <w:sz w:val="21"/>
                <w:szCs w:val="21"/>
              </w:rPr>
              <w:t>近三年（以投标截止日期为准）在深圳</w:t>
            </w:r>
            <w:r>
              <w:rPr>
                <w:rFonts w:ascii="宋体" w:hAnsi="宋体"/>
                <w:sz w:val="21"/>
                <w:szCs w:val="21"/>
              </w:rPr>
              <w:t>大学</w:t>
            </w:r>
            <w:r>
              <w:rPr>
                <w:rFonts w:hint="eastAsia" w:ascii="宋体" w:hAnsi="宋体"/>
                <w:sz w:val="21"/>
                <w:szCs w:val="21"/>
              </w:rPr>
              <w:t>组织</w:t>
            </w:r>
            <w:r>
              <w:rPr>
                <w:rFonts w:ascii="宋体" w:hAnsi="宋体"/>
                <w:sz w:val="21"/>
                <w:szCs w:val="21"/>
              </w:rPr>
              <w:t>的采购活动</w:t>
            </w:r>
            <w:r>
              <w:rPr>
                <w:rFonts w:hint="eastAsia" w:ascii="宋体" w:hAnsi="宋体"/>
                <w:sz w:val="21"/>
                <w:szCs w:val="21"/>
              </w:rPr>
              <w:t>中有履约评价为差的记录，本项不得分，否则，得满分。</w:t>
            </w:r>
            <w:r>
              <w:rPr>
                <w:rFonts w:hint="eastAsia" w:ascii="宋体" w:hAnsi="宋体" w:cs="宋体"/>
                <w:sz w:val="21"/>
                <w:szCs w:val="21"/>
              </w:rPr>
              <w:t>投标人无需提供任何证明材料，由工作人员向评委会提供相关信息。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5</w:t>
            </w:r>
          </w:p>
        </w:tc>
        <w:tc>
          <w:tcPr>
            <w:tcW w:w="3749" w:type="dxa"/>
            <w:gridSpan w:val="3"/>
            <w:vAlign w:val="center"/>
          </w:tcPr>
          <w:p>
            <w:pPr>
              <w:spacing w:line="240" w:lineRule="exact"/>
              <w:jc w:val="center"/>
              <w:rPr>
                <w:rFonts w:ascii="宋体" w:hAnsi="宋体"/>
                <w:szCs w:val="21"/>
              </w:rPr>
            </w:pPr>
            <w:r>
              <w:rPr>
                <w:rFonts w:hint="eastAsia" w:ascii="宋体" w:hAnsi="宋体"/>
                <w:szCs w:val="21"/>
              </w:rPr>
              <w:t>综合实力部分</w:t>
            </w:r>
          </w:p>
        </w:tc>
        <w:tc>
          <w:tcPr>
            <w:tcW w:w="3772" w:type="dxa"/>
            <w:gridSpan w:val="2"/>
            <w:vAlign w:val="center"/>
          </w:tcPr>
          <w:p>
            <w:pPr>
              <w:pStyle w:val="37"/>
              <w:numPr>
                <w:ilvl w:val="12"/>
                <w:numId w:val="0"/>
              </w:numPr>
              <w:pBdr>
                <w:bottom w:val="none" w:color="auto" w:sz="0" w:space="0"/>
              </w:pBdr>
              <w:tabs>
                <w:tab w:val="clear" w:pos="4153"/>
                <w:tab w:val="clear" w:pos="8306"/>
              </w:tabs>
              <w:spacing w:line="300" w:lineRule="auto"/>
              <w:rPr>
                <w:rFonts w:ascii="宋体" w:hAnsi="宋体"/>
                <w:sz w:val="21"/>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72" w:type="dxa"/>
            <w:gridSpan w:val="2"/>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after="160" w:line="240" w:lineRule="exact"/>
              <w:jc w:val="center"/>
              <w:rPr>
                <w:rFonts w:ascii="宋体" w:hAnsi="宋体" w:eastAsia="仿宋_GB2312"/>
                <w:sz w:val="24"/>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cs="宋体"/>
                <w:szCs w:val="21"/>
              </w:rPr>
              <w:t>投标人近三年同类业绩（以合同时间为准，截止日为本项目公告发布之日）</w:t>
            </w:r>
          </w:p>
        </w:tc>
        <w:tc>
          <w:tcPr>
            <w:tcW w:w="918" w:type="dxa"/>
            <w:vAlign w:val="center"/>
          </w:tcPr>
          <w:p>
            <w:pPr>
              <w:spacing w:line="240" w:lineRule="exact"/>
              <w:jc w:val="center"/>
              <w:rPr>
                <w:rFonts w:ascii="宋体" w:hAnsi="宋体"/>
                <w:szCs w:val="21"/>
              </w:rPr>
            </w:pPr>
            <w:r>
              <w:rPr>
                <w:rFonts w:hint="eastAsia" w:ascii="宋体" w:hAnsi="宋体"/>
                <w:szCs w:val="21"/>
              </w:rPr>
              <w:t>3</w:t>
            </w:r>
          </w:p>
        </w:tc>
        <w:tc>
          <w:tcPr>
            <w:tcW w:w="3772" w:type="dxa"/>
            <w:gridSpan w:val="2"/>
            <w:vAlign w:val="center"/>
          </w:tcPr>
          <w:p>
            <w:pPr>
              <w:pStyle w:val="37"/>
              <w:numPr>
                <w:ilvl w:val="12"/>
                <w:numId w:val="0"/>
              </w:numPr>
              <w:pBdr>
                <w:bottom w:val="none" w:color="auto" w:sz="0" w:space="0"/>
              </w:pBdr>
              <w:tabs>
                <w:tab w:val="clear" w:pos="4153"/>
                <w:tab w:val="clear" w:pos="8306"/>
              </w:tabs>
              <w:spacing w:line="300" w:lineRule="auto"/>
              <w:jc w:val="both"/>
              <w:rPr>
                <w:rFonts w:ascii="宋体" w:hAnsi="宋体"/>
                <w:sz w:val="21"/>
                <w:szCs w:val="21"/>
              </w:rPr>
            </w:pPr>
            <w:r>
              <w:rPr>
                <w:rFonts w:hint="eastAsia" w:ascii="宋体" w:hAnsi="宋体"/>
                <w:sz w:val="21"/>
                <w:szCs w:val="21"/>
              </w:rPr>
              <w:t>考察投标人近三年（</w:t>
            </w:r>
            <w:r>
              <w:rPr>
                <w:rFonts w:ascii="宋体" w:hAnsi="宋体"/>
                <w:sz w:val="21"/>
                <w:szCs w:val="21"/>
              </w:rPr>
              <w:t>2018</w:t>
            </w:r>
            <w:r>
              <w:rPr>
                <w:rFonts w:hint="eastAsia" w:ascii="宋体" w:hAnsi="宋体"/>
                <w:sz w:val="21"/>
                <w:szCs w:val="21"/>
              </w:rPr>
              <w:t>年</w:t>
            </w:r>
            <w:r>
              <w:rPr>
                <w:rFonts w:ascii="宋体" w:hAnsi="宋体"/>
                <w:sz w:val="21"/>
                <w:szCs w:val="21"/>
              </w:rPr>
              <w:t>0</w:t>
            </w:r>
            <w:r>
              <w:rPr>
                <w:rFonts w:hint="eastAsia" w:ascii="宋体" w:hAnsi="宋体"/>
                <w:sz w:val="21"/>
                <w:szCs w:val="21"/>
                <w:lang w:val="en-US" w:eastAsia="zh-CN"/>
              </w:rPr>
              <w:t>8</w:t>
            </w:r>
            <w:r>
              <w:rPr>
                <w:rFonts w:hint="eastAsia" w:ascii="宋体" w:hAnsi="宋体"/>
                <w:sz w:val="21"/>
                <w:szCs w:val="21"/>
              </w:rPr>
              <w:t>月至本项目招标公告发布之日，以合同签订时间为准）同类（同类指的是</w:t>
            </w:r>
            <w:r>
              <w:rPr>
                <w:rFonts w:hint="eastAsia" w:ascii="宋体" w:hAnsi="宋体"/>
                <w:color w:val="FF0000"/>
                <w:sz w:val="21"/>
                <w:szCs w:val="21"/>
              </w:rPr>
              <w:t>与投标产品相同品牌相同类型的产品</w:t>
            </w:r>
            <w:r>
              <w:rPr>
                <w:rFonts w:hint="eastAsia" w:ascii="宋体" w:hAnsi="宋体"/>
                <w:sz w:val="21"/>
                <w:szCs w:val="21"/>
              </w:rPr>
              <w:t>）业绩情况：提供3个（或以上）得100分，2个得60分，1个得30分。要求同时提供合同关键信息（通过合同关键信息无法判断是否得分的，也可以提供能证明得分的其它证明资料，如合同甲方出具的证明文件等）作为得分依据。评分中出现无证明资料或专家无法凭所提供资料判断是否得分的情况，一律作不得分处理。</w:t>
            </w:r>
          </w:p>
        </w:tc>
      </w:tr>
      <w:bookmarkEnd w:id="3"/>
    </w:tbl>
    <w:p>
      <w:pPr>
        <w:widowControl/>
        <w:jc w:val="left"/>
      </w:pPr>
    </w:p>
    <w:p>
      <w:pPr>
        <w:widowControl/>
        <w:jc w:val="left"/>
      </w:pPr>
      <w:r>
        <w:br w:type="page"/>
      </w:r>
    </w:p>
    <w:p>
      <w:pPr>
        <w:pStyle w:val="2"/>
      </w:pPr>
      <w:r>
        <w:rPr>
          <w:rFonts w:hint="eastAsia"/>
        </w:rPr>
        <w:t>目录</w:t>
      </w:r>
    </w:p>
    <w:p>
      <w:pPr>
        <w:rPr>
          <w:b/>
          <w:sz w:val="24"/>
        </w:rPr>
      </w:pPr>
      <w:r>
        <w:rPr>
          <w:rFonts w:hint="eastAsia"/>
          <w:b/>
          <w:sz w:val="24"/>
        </w:rPr>
        <w:t>第一册专用条款</w:t>
      </w:r>
    </w:p>
    <w:p>
      <w:pPr>
        <w:rPr>
          <w:sz w:val="24"/>
        </w:rPr>
      </w:pPr>
      <w:r>
        <w:rPr>
          <w:rFonts w:hint="eastAsia"/>
          <w:sz w:val="24"/>
        </w:rPr>
        <w:t>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第二章  招标项目需求</w:t>
      </w:r>
    </w:p>
    <w:p>
      <w:pPr>
        <w:ind w:left="630" w:leftChars="300" w:firstLine="630" w:firstLineChars="300"/>
        <w:rPr>
          <w:rFonts w:ascii="宋体" w:hAnsi="宋体"/>
          <w:szCs w:val="21"/>
        </w:rPr>
      </w:pPr>
      <w:r>
        <w:rPr>
          <w:rFonts w:hint="eastAsia" w:ascii="宋体" w:hAnsi="宋体"/>
          <w:szCs w:val="21"/>
        </w:rPr>
        <w:t>第三章  投标文件格式、附件</w:t>
      </w:r>
    </w:p>
    <w:p>
      <w:pPr>
        <w:ind w:left="630" w:leftChars="300" w:firstLine="630" w:firstLineChars="300"/>
        <w:rPr>
          <w:rFonts w:ascii="宋体" w:hAnsi="宋体"/>
          <w:szCs w:val="21"/>
        </w:rPr>
      </w:pPr>
      <w:r>
        <w:rPr>
          <w:rFonts w:hint="eastAsia" w:ascii="宋体" w:hAnsi="宋体"/>
          <w:szCs w:val="21"/>
        </w:rPr>
        <w:t>第四章  合同条款及格式</w:t>
      </w:r>
    </w:p>
    <w:p>
      <w:pPr>
        <w:ind w:left="630" w:leftChars="300" w:firstLine="630" w:firstLineChars="300"/>
        <w:rPr>
          <w:rFonts w:ascii="宋体" w:hAnsi="宋体"/>
          <w:szCs w:val="21"/>
        </w:rPr>
      </w:pPr>
      <w:r>
        <w:rPr>
          <w:rFonts w:hint="eastAsia" w:ascii="宋体" w:hAnsi="宋体"/>
          <w:szCs w:val="21"/>
        </w:rPr>
        <w:t>第五章  政府采购履约异常情况反馈表</w:t>
      </w:r>
    </w:p>
    <w:p>
      <w:pPr>
        <w:rPr>
          <w:b/>
          <w:sz w:val="24"/>
        </w:rPr>
      </w:pPr>
    </w:p>
    <w:p>
      <w:pPr>
        <w:rPr>
          <w:b/>
          <w:sz w:val="24"/>
        </w:rPr>
      </w:pPr>
      <w:r>
        <w:rPr>
          <w:rFonts w:hint="eastAsia"/>
          <w:b/>
          <w:sz w:val="24"/>
        </w:rPr>
        <w:t>第二册通用条款</w:t>
      </w:r>
    </w:p>
    <w:p>
      <w:pPr>
        <w:numPr>
          <w:ilvl w:val="1"/>
          <w:numId w:val="0"/>
        </w:numPr>
        <w:tabs>
          <w:tab w:val="left" w:pos="360"/>
        </w:tabs>
        <w:ind w:firstLine="1079" w:firstLineChars="514"/>
        <w:rPr>
          <w:szCs w:val="21"/>
        </w:rPr>
      </w:pPr>
      <w:r>
        <w:rPr>
          <w:rFonts w:hint="eastAsia"/>
          <w:szCs w:val="21"/>
        </w:rPr>
        <w:t>第一章总则</w:t>
      </w:r>
    </w:p>
    <w:p>
      <w:pPr>
        <w:numPr>
          <w:ilvl w:val="1"/>
          <w:numId w:val="0"/>
        </w:numPr>
        <w:tabs>
          <w:tab w:val="left" w:pos="360"/>
        </w:tabs>
        <w:ind w:firstLine="1079" w:firstLineChars="514"/>
        <w:rPr>
          <w:szCs w:val="21"/>
        </w:rPr>
      </w:pPr>
      <w:r>
        <w:rPr>
          <w:rFonts w:hint="eastAsia"/>
          <w:szCs w:val="21"/>
        </w:rPr>
        <w:t>第二章招标文件</w:t>
      </w:r>
    </w:p>
    <w:p>
      <w:pPr>
        <w:numPr>
          <w:ilvl w:val="1"/>
          <w:numId w:val="0"/>
        </w:numPr>
        <w:tabs>
          <w:tab w:val="left" w:pos="360"/>
        </w:tabs>
        <w:ind w:firstLine="1079" w:firstLineChars="514"/>
        <w:rPr>
          <w:szCs w:val="21"/>
        </w:rPr>
      </w:pPr>
      <w:r>
        <w:rPr>
          <w:rFonts w:hint="eastAsia"/>
          <w:szCs w:val="21"/>
        </w:rPr>
        <w:t>第三章投标文件的编制</w:t>
      </w:r>
    </w:p>
    <w:p>
      <w:pPr>
        <w:numPr>
          <w:ilvl w:val="1"/>
          <w:numId w:val="0"/>
        </w:numPr>
        <w:tabs>
          <w:tab w:val="left" w:pos="360"/>
        </w:tabs>
        <w:ind w:firstLine="1079" w:firstLineChars="514"/>
        <w:rPr>
          <w:szCs w:val="21"/>
        </w:rPr>
      </w:pPr>
      <w:r>
        <w:rPr>
          <w:rFonts w:hint="eastAsia"/>
          <w:szCs w:val="21"/>
        </w:rPr>
        <w:t>第四章投标文件的递交</w:t>
      </w:r>
    </w:p>
    <w:p>
      <w:pPr>
        <w:numPr>
          <w:ilvl w:val="1"/>
          <w:numId w:val="0"/>
        </w:numPr>
        <w:tabs>
          <w:tab w:val="left" w:pos="360"/>
        </w:tabs>
        <w:ind w:firstLine="1079" w:firstLineChars="514"/>
        <w:rPr>
          <w:szCs w:val="21"/>
        </w:rPr>
      </w:pPr>
      <w:r>
        <w:rPr>
          <w:rFonts w:hint="eastAsia"/>
          <w:szCs w:val="21"/>
        </w:rPr>
        <w:t>第五章开标</w:t>
      </w:r>
    </w:p>
    <w:p>
      <w:pPr>
        <w:numPr>
          <w:ilvl w:val="1"/>
          <w:numId w:val="0"/>
        </w:numPr>
        <w:tabs>
          <w:tab w:val="left" w:pos="360"/>
        </w:tabs>
        <w:ind w:firstLine="1079" w:firstLineChars="514"/>
        <w:rPr>
          <w:szCs w:val="21"/>
        </w:rPr>
      </w:pPr>
      <w:r>
        <w:rPr>
          <w:rFonts w:hint="eastAsia"/>
          <w:szCs w:val="21"/>
        </w:rPr>
        <w:t>第六章评标要求</w:t>
      </w:r>
    </w:p>
    <w:p>
      <w:pPr>
        <w:numPr>
          <w:ilvl w:val="1"/>
          <w:numId w:val="0"/>
        </w:numPr>
        <w:tabs>
          <w:tab w:val="left" w:pos="360"/>
        </w:tabs>
        <w:ind w:firstLine="1079" w:firstLineChars="514"/>
        <w:rPr>
          <w:szCs w:val="21"/>
        </w:rPr>
      </w:pPr>
      <w:r>
        <w:rPr>
          <w:rFonts w:hint="eastAsia"/>
          <w:szCs w:val="21"/>
        </w:rPr>
        <w:t>第七章评标程序及评标方法</w:t>
      </w:r>
    </w:p>
    <w:p>
      <w:pPr>
        <w:numPr>
          <w:ilvl w:val="1"/>
          <w:numId w:val="0"/>
        </w:numPr>
        <w:tabs>
          <w:tab w:val="left" w:pos="360"/>
        </w:tabs>
        <w:ind w:firstLine="1079" w:firstLineChars="514"/>
        <w:rPr>
          <w:szCs w:val="21"/>
        </w:rPr>
      </w:pPr>
      <w:r>
        <w:rPr>
          <w:rFonts w:hint="eastAsia"/>
          <w:szCs w:val="21"/>
        </w:rPr>
        <w:t>第八章定标及公示</w:t>
      </w:r>
    </w:p>
    <w:p>
      <w:pPr>
        <w:numPr>
          <w:ilvl w:val="1"/>
          <w:numId w:val="0"/>
        </w:numPr>
        <w:tabs>
          <w:tab w:val="left" w:pos="360"/>
        </w:tabs>
        <w:ind w:firstLine="1079" w:firstLineChars="514"/>
        <w:rPr>
          <w:szCs w:val="21"/>
        </w:rPr>
      </w:pPr>
      <w:r>
        <w:rPr>
          <w:rFonts w:hint="eastAsia"/>
          <w:szCs w:val="21"/>
        </w:rPr>
        <w:t>第九章公开招标失败的后续处理</w:t>
      </w:r>
    </w:p>
    <w:p>
      <w:pPr>
        <w:numPr>
          <w:ilvl w:val="1"/>
          <w:numId w:val="0"/>
        </w:numPr>
        <w:tabs>
          <w:tab w:val="left" w:pos="360"/>
        </w:tabs>
        <w:ind w:firstLine="1079" w:firstLineChars="514"/>
        <w:rPr>
          <w:szCs w:val="21"/>
        </w:rPr>
      </w:pPr>
      <w:r>
        <w:rPr>
          <w:rFonts w:hint="eastAsia"/>
          <w:szCs w:val="21"/>
        </w:rPr>
        <w:t>第十章合同的授予与备案</w:t>
      </w:r>
    </w:p>
    <w:p>
      <w:pPr>
        <w:numPr>
          <w:ilvl w:val="1"/>
          <w:numId w:val="0"/>
        </w:numPr>
        <w:tabs>
          <w:tab w:val="left" w:pos="360"/>
        </w:tabs>
        <w:ind w:firstLine="1079" w:firstLineChars="514"/>
        <w:rPr>
          <w:szCs w:val="21"/>
        </w:rPr>
      </w:pPr>
      <w:r>
        <w:rPr>
          <w:rFonts w:hint="eastAsia"/>
          <w:szCs w:val="21"/>
        </w:rPr>
        <w:t>第十一章质疑处理</w:t>
      </w:r>
    </w:p>
    <w:p>
      <w:pPr>
        <w:rPr>
          <w:sz w:val="24"/>
        </w:rPr>
      </w:pPr>
    </w:p>
    <w:p>
      <w:pPr>
        <w:pStyle w:val="2"/>
      </w:pPr>
      <w:r>
        <w:rPr>
          <w:sz w:val="24"/>
        </w:rPr>
        <w:br w:type="page"/>
      </w:r>
      <w:bookmarkStart w:id="4" w:name="bt投标报价汇总表"/>
      <w:bookmarkEnd w:id="4"/>
      <w:bookmarkStart w:id="5" w:name="bt投标人须知"/>
      <w:bookmarkEnd w:id="5"/>
      <w:bookmarkStart w:id="6" w:name="bt技术标投标文件格式"/>
      <w:bookmarkEnd w:id="6"/>
      <w:bookmarkStart w:id="7" w:name="bt项目管理班子配备情况"/>
      <w:bookmarkEnd w:id="7"/>
      <w:bookmarkStart w:id="8" w:name="bt说明"/>
      <w:bookmarkEnd w:id="8"/>
      <w:bookmarkStart w:id="9" w:name="bt投标人情况介绍"/>
      <w:bookmarkEnd w:id="9"/>
      <w:bookmarkStart w:id="10" w:name="bt合同条款"/>
      <w:bookmarkEnd w:id="10"/>
      <w:bookmarkStart w:id="11" w:name="bt其他资料由投标人自定"/>
      <w:bookmarkEnd w:id="11"/>
      <w:bookmarkStart w:id="12" w:name="bt合同条款及格式"/>
      <w:bookmarkEnd w:id="12"/>
      <w:bookmarkStart w:id="13" w:name="bt其他资料2"/>
      <w:bookmarkEnd w:id="13"/>
      <w:bookmarkStart w:id="14" w:name="bt商务标投标文件格式"/>
      <w:bookmarkEnd w:id="14"/>
      <w:bookmarkStart w:id="15" w:name="bt开标一览表"/>
      <w:bookmarkEnd w:id="15"/>
      <w:bookmarkStart w:id="16" w:name="bt投标文件签署授权委托书"/>
      <w:bookmarkEnd w:id="16"/>
      <w:bookmarkStart w:id="17" w:name="合同格式"/>
      <w:bookmarkEnd w:id="17"/>
      <w:bookmarkStart w:id="18" w:name="bt投标函"/>
      <w:bookmarkEnd w:id="18"/>
      <w:bookmarkStart w:id="19" w:name="bt本工程承诺书"/>
      <w:bookmarkEnd w:id="19"/>
      <w:bookmarkStart w:id="20" w:name="bt合同格式"/>
      <w:bookmarkEnd w:id="20"/>
      <w:r>
        <w:rPr>
          <w:rFonts w:hint="eastAsia"/>
        </w:rPr>
        <w:t>第一册专用条款</w:t>
      </w:r>
    </w:p>
    <w:p>
      <w:pPr>
        <w:pStyle w:val="5"/>
        <w:rPr>
          <w:sz w:val="32"/>
          <w:szCs w:val="32"/>
        </w:rPr>
      </w:pPr>
      <w:r>
        <w:rPr>
          <w:rFonts w:hint="eastAsia"/>
          <w:sz w:val="32"/>
          <w:szCs w:val="32"/>
        </w:rPr>
        <w:t>第一章  招标公告</w:t>
      </w:r>
    </w:p>
    <w:p>
      <w:pPr>
        <w:ind w:firstLine="420" w:firstLineChars="200"/>
        <w:rPr>
          <w:rFonts w:ascii="宋体" w:hAnsi="宋体" w:cs="宋体"/>
          <w:kern w:val="0"/>
          <w:szCs w:val="21"/>
        </w:rPr>
      </w:pPr>
      <w:r>
        <w:rPr>
          <w:rFonts w:hint="eastAsia" w:ascii="宋体" w:hAnsi="宋体" w:cs="宋体"/>
          <w:kern w:val="0"/>
          <w:szCs w:val="21"/>
        </w:rPr>
        <w:t>根据《深圳经济特区政府采购条例》和《深圳大学采购管理办法》的有关规定，深圳大学招投标管理中心就</w:t>
      </w:r>
      <w:r>
        <w:rPr>
          <w:rFonts w:hint="eastAsia" w:ascii="宋体" w:hAnsi="宋体" w:cs="宋体"/>
          <w:color w:val="FF0000"/>
          <w:kern w:val="0"/>
          <w:sz w:val="24"/>
          <w:u w:val="single"/>
        </w:rPr>
        <w:t>双束型聚焦离子束系统</w:t>
      </w:r>
      <w:r>
        <w:rPr>
          <w:rFonts w:hint="eastAsia" w:ascii="宋体" w:hAnsi="宋体" w:cs="宋体"/>
          <w:kern w:val="0"/>
          <w:szCs w:val="21"/>
        </w:rPr>
        <w:t>项目，进行</w:t>
      </w:r>
      <w:r>
        <w:rPr>
          <w:rFonts w:hint="eastAsia" w:ascii="宋体" w:hAnsi="宋体" w:cs="宋体"/>
          <w:color w:val="000000"/>
          <w:kern w:val="0"/>
          <w:szCs w:val="21"/>
        </w:rPr>
        <w:t>公开招标</w:t>
      </w:r>
      <w:r>
        <w:rPr>
          <w:rFonts w:hint="eastAsia" w:ascii="宋体" w:hAnsi="宋体" w:cs="宋体"/>
          <w:kern w:val="0"/>
          <w:szCs w:val="21"/>
        </w:rPr>
        <w:t>，欢迎符合资格的供应商参加投标。</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一、项目编号：</w:t>
      </w:r>
      <w:r>
        <w:rPr>
          <w:rFonts w:ascii="宋体" w:hAnsi="宋体"/>
          <w:color w:val="FF0000"/>
          <w:szCs w:val="21"/>
        </w:rPr>
        <w:t>SZUCG20211418EQ</w:t>
      </w:r>
    </w:p>
    <w:p>
      <w:pPr>
        <w:rPr>
          <w:rFonts w:ascii="宋体" w:hAnsi="宋体" w:cs="宋体"/>
          <w:color w:val="FF0000"/>
          <w:kern w:val="0"/>
          <w:szCs w:val="21"/>
        </w:rPr>
      </w:pPr>
      <w:r>
        <w:rPr>
          <w:rFonts w:hint="eastAsia" w:ascii="宋体" w:hAnsi="宋体" w:cs="宋体"/>
          <w:kern w:val="0"/>
          <w:szCs w:val="21"/>
        </w:rPr>
        <w:t>二、项目名称：</w:t>
      </w:r>
      <w:r>
        <w:rPr>
          <w:rFonts w:hint="eastAsia" w:ascii="宋体" w:hAnsi="宋体" w:cs="宋体"/>
          <w:color w:val="FF0000"/>
          <w:kern w:val="0"/>
          <w:szCs w:val="21"/>
        </w:rPr>
        <w:t>双束型聚焦离子束系统</w:t>
      </w:r>
    </w:p>
    <w:p>
      <w:pPr>
        <w:rPr>
          <w:rFonts w:ascii="宋体" w:hAnsi="宋体" w:cs="宋体"/>
          <w:kern w:val="0"/>
          <w:szCs w:val="21"/>
        </w:rPr>
      </w:pPr>
      <w:r>
        <w:rPr>
          <w:rFonts w:hint="eastAsia" w:ascii="宋体" w:hAnsi="宋体" w:cs="宋体"/>
          <w:kern w:val="0"/>
          <w:szCs w:val="21"/>
        </w:rPr>
        <w:t>三、项目概况：</w:t>
      </w:r>
    </w:p>
    <w:p>
      <w:pPr>
        <w:ind w:firstLine="420" w:firstLineChars="200"/>
        <w:rPr>
          <w:rFonts w:ascii="宋体" w:hAnsi="宋体" w:cs="宋体"/>
          <w:kern w:val="0"/>
          <w:szCs w:val="21"/>
        </w:rPr>
      </w:pPr>
      <w:r>
        <w:rPr>
          <w:rFonts w:hint="eastAsia" w:ascii="宋体" w:hAnsi="宋体" w:cs="宋体"/>
          <w:kern w:val="0"/>
          <w:szCs w:val="21"/>
        </w:rPr>
        <w:t xml:space="preserve">详见招标文件。   </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四、投标人资格要求：</w:t>
      </w:r>
    </w:p>
    <w:p>
      <w:pPr>
        <w:ind w:firstLine="420" w:firstLineChars="200"/>
        <w:rPr>
          <w:rFonts w:ascii="宋体" w:hAnsi="宋体" w:cs="宋体"/>
          <w:kern w:val="0"/>
          <w:szCs w:val="21"/>
        </w:rPr>
      </w:pPr>
    </w:p>
    <w:p>
      <w:pPr>
        <w:ind w:firstLine="420" w:firstLineChars="200"/>
        <w:rPr>
          <w:rFonts w:ascii="宋体" w:hAnsi="宋体" w:cs="宋体"/>
          <w:kern w:val="0"/>
          <w:szCs w:val="21"/>
        </w:rPr>
      </w:pPr>
      <w:r>
        <w:rPr>
          <w:rFonts w:hint="eastAsia" w:ascii="宋体" w:hAnsi="宋体" w:cs="宋体"/>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pPr>
        <w:ind w:firstLine="420" w:firstLineChars="200"/>
        <w:rPr>
          <w:rFonts w:ascii="宋体" w:hAnsi="宋体" w:cs="宋体"/>
          <w:kern w:val="0"/>
          <w:szCs w:val="21"/>
        </w:rPr>
      </w:pPr>
      <w:r>
        <w:rPr>
          <w:rFonts w:hint="eastAsia" w:ascii="宋体" w:hAnsi="宋体" w:cs="宋体"/>
          <w:kern w:val="0"/>
          <w:szCs w:val="21"/>
        </w:rPr>
        <w:t>2. 参与本项目投标前三年内，在经营活动中没有重大违法记录（由供应商在《投标及履约承诺函》中作出声明）。</w:t>
      </w:r>
    </w:p>
    <w:p>
      <w:pPr>
        <w:ind w:firstLine="420" w:firstLineChars="200"/>
        <w:rPr>
          <w:rFonts w:ascii="宋体" w:hAnsi="宋体" w:cs="宋体"/>
          <w:kern w:val="0"/>
          <w:szCs w:val="21"/>
        </w:rPr>
      </w:pPr>
      <w:r>
        <w:rPr>
          <w:rFonts w:hint="eastAsia" w:ascii="宋体" w:hAnsi="宋体" w:cs="宋体"/>
          <w:kern w:val="0"/>
          <w:szCs w:val="21"/>
        </w:rPr>
        <w:t>3. 参与本项目政府采购活动时不存在被有关部门禁止参与政府采购活动且在有效期内的情况（由供应商在《投标及履约承诺函》中作出声明）。</w:t>
      </w:r>
    </w:p>
    <w:p>
      <w:pPr>
        <w:ind w:firstLine="420"/>
        <w:rPr>
          <w:rFonts w:ascii="宋体" w:hAnsi="宋体" w:cs="宋体"/>
          <w:kern w:val="0"/>
          <w:szCs w:val="21"/>
        </w:rPr>
      </w:pPr>
      <w:r>
        <w:rPr>
          <w:rFonts w:hint="eastAsia" w:ascii="宋体" w:hAnsi="宋体" w:cs="宋体"/>
          <w:kern w:val="0"/>
          <w:szCs w:val="21"/>
        </w:rPr>
        <w:t>4.本项目接受投标人选用进口产品参与投标，</w:t>
      </w:r>
      <w:r>
        <w:rPr>
          <w:rFonts w:ascii="宋体" w:hAnsi="宋体" w:cs="宋体"/>
          <w:kern w:val="0"/>
          <w:szCs w:val="21"/>
        </w:rPr>
        <w:t>不拒绝</w:t>
      </w:r>
      <w:r>
        <w:rPr>
          <w:rFonts w:hint="eastAsia" w:ascii="宋体" w:hAnsi="宋体" w:cs="宋体"/>
          <w:kern w:val="0"/>
          <w:szCs w:val="21"/>
        </w:rPr>
        <w:t>投标人选用国产产品参与投标（进口产品是指通过海关验放进入中国境内且产自关境外的进口产品）。</w:t>
      </w:r>
    </w:p>
    <w:p>
      <w:pPr>
        <w:ind w:firstLine="420" w:firstLineChars="200"/>
        <w:rPr>
          <w:rFonts w:ascii="宋体" w:hAnsi="宋体" w:cs="宋体"/>
          <w:kern w:val="0"/>
          <w:szCs w:val="21"/>
        </w:rPr>
      </w:pPr>
      <w:r>
        <w:rPr>
          <w:rFonts w:ascii="宋体" w:hAnsi="宋体" w:cs="宋体"/>
          <w:kern w:val="0"/>
          <w:szCs w:val="21"/>
        </w:rPr>
        <w:t>5</w:t>
      </w:r>
      <w:r>
        <w:rPr>
          <w:rFonts w:hint="eastAsia" w:ascii="宋体" w:hAnsi="宋体" w:cs="宋体"/>
          <w:kern w:val="0"/>
          <w:szCs w:val="21"/>
        </w:rPr>
        <w:t>. 本项目不接受联合体投标。</w:t>
      </w:r>
    </w:p>
    <w:p>
      <w:pPr>
        <w:ind w:firstLine="420" w:firstLineChars="200"/>
        <w:rPr>
          <w:rFonts w:ascii="宋体" w:hAnsi="宋体" w:cs="宋体"/>
          <w:kern w:val="0"/>
          <w:szCs w:val="21"/>
        </w:rPr>
      </w:pPr>
      <w:r>
        <w:rPr>
          <w:rFonts w:hint="eastAsia" w:ascii="宋体" w:hAnsi="宋体" w:cs="宋体"/>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五、采购预算或最高</w:t>
      </w:r>
      <w:r>
        <w:rPr>
          <w:rFonts w:ascii="宋体" w:hAnsi="宋体" w:cs="宋体"/>
          <w:kern w:val="0"/>
          <w:szCs w:val="21"/>
        </w:rPr>
        <w:t>限价</w:t>
      </w:r>
      <w:r>
        <w:rPr>
          <w:rFonts w:hint="eastAsia" w:ascii="宋体" w:hAnsi="宋体" w:cs="宋体"/>
          <w:kern w:val="0"/>
          <w:szCs w:val="21"/>
        </w:rPr>
        <w:t>：</w:t>
      </w:r>
      <w:r>
        <w:rPr>
          <w:rFonts w:hint="eastAsia" w:ascii="宋体" w:hAnsi="宋体" w:cs="宋体"/>
          <w:color w:val="FF0000"/>
          <w:kern w:val="0"/>
          <w:szCs w:val="21"/>
        </w:rPr>
        <w:t>9,000,000.00 元</w:t>
      </w:r>
      <w:r>
        <w:rPr>
          <w:rFonts w:hint="eastAsia" w:ascii="宋体" w:hAnsi="宋体" w:cs="宋体"/>
          <w:kern w:val="0"/>
          <w:szCs w:val="21"/>
        </w:rPr>
        <w:t>（人民币</w:t>
      </w:r>
      <w:r>
        <w:rPr>
          <w:rFonts w:ascii="宋体" w:hAnsi="宋体" w:cs="宋体"/>
          <w:kern w:val="0"/>
          <w:szCs w:val="21"/>
        </w:rPr>
        <w:t>）</w:t>
      </w:r>
      <w:r>
        <w:rPr>
          <w:rFonts w:hint="eastAsia" w:ascii="宋体" w:hAnsi="宋体" w:cs="宋体"/>
          <w:kern w:val="0"/>
          <w:szCs w:val="21"/>
        </w:rPr>
        <w:t>。</w:t>
      </w:r>
    </w:p>
    <w:p>
      <w:pPr>
        <w:ind w:firstLine="420" w:firstLineChars="200"/>
        <w:rPr>
          <w:rFonts w:ascii="宋体" w:hAnsi="宋体" w:cs="宋体"/>
          <w:kern w:val="0"/>
          <w:szCs w:val="21"/>
        </w:rPr>
      </w:pPr>
    </w:p>
    <w:tbl>
      <w:tblPr>
        <w:tblStyle w:val="54"/>
        <w:tblpPr w:leftFromText="180" w:rightFromText="180" w:vertAnchor="text" w:horzAnchor="margin" w:tblpY="173"/>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546"/>
        <w:gridCol w:w="859"/>
        <w:gridCol w:w="859"/>
        <w:gridCol w:w="1375"/>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5" w:type="dxa"/>
            <w:vAlign w:val="center"/>
          </w:tcPr>
          <w:p>
            <w:pPr>
              <w:jc w:val="center"/>
              <w:rPr>
                <w:bCs/>
                <w:szCs w:val="21"/>
              </w:rPr>
            </w:pPr>
            <w:r>
              <w:rPr>
                <w:rFonts w:hint="eastAsia"/>
                <w:szCs w:val="21"/>
              </w:rPr>
              <w:t>采购计划编号</w:t>
            </w:r>
          </w:p>
        </w:tc>
        <w:tc>
          <w:tcPr>
            <w:tcW w:w="1546" w:type="dxa"/>
            <w:vAlign w:val="center"/>
          </w:tcPr>
          <w:p>
            <w:pPr>
              <w:jc w:val="center"/>
              <w:rPr>
                <w:bCs/>
                <w:szCs w:val="21"/>
              </w:rPr>
            </w:pPr>
            <w:r>
              <w:rPr>
                <w:rFonts w:hint="eastAsia"/>
                <w:bCs/>
                <w:szCs w:val="21"/>
              </w:rPr>
              <w:t>货物名称</w:t>
            </w:r>
          </w:p>
        </w:tc>
        <w:tc>
          <w:tcPr>
            <w:tcW w:w="859" w:type="dxa"/>
            <w:vAlign w:val="center"/>
          </w:tcPr>
          <w:p>
            <w:pPr>
              <w:jc w:val="center"/>
              <w:rPr>
                <w:bCs/>
                <w:szCs w:val="21"/>
              </w:rPr>
            </w:pPr>
            <w:r>
              <w:rPr>
                <w:rFonts w:hint="eastAsia"/>
                <w:bCs/>
                <w:szCs w:val="21"/>
              </w:rPr>
              <w:t>数量</w:t>
            </w:r>
          </w:p>
        </w:tc>
        <w:tc>
          <w:tcPr>
            <w:tcW w:w="859" w:type="dxa"/>
            <w:vAlign w:val="center"/>
          </w:tcPr>
          <w:p>
            <w:pPr>
              <w:jc w:val="center"/>
              <w:rPr>
                <w:bCs/>
                <w:szCs w:val="21"/>
              </w:rPr>
            </w:pPr>
            <w:r>
              <w:rPr>
                <w:rFonts w:hint="eastAsia"/>
                <w:bCs/>
                <w:szCs w:val="21"/>
              </w:rPr>
              <w:t>单位</w:t>
            </w:r>
          </w:p>
        </w:tc>
        <w:tc>
          <w:tcPr>
            <w:tcW w:w="1375" w:type="dxa"/>
            <w:vAlign w:val="center"/>
          </w:tcPr>
          <w:p>
            <w:pPr>
              <w:jc w:val="center"/>
              <w:rPr>
                <w:b/>
                <w:bCs/>
                <w:color w:val="FF0000"/>
                <w:szCs w:val="21"/>
              </w:rPr>
            </w:pPr>
            <w:r>
              <w:rPr>
                <w:rFonts w:hint="eastAsia"/>
                <w:b/>
                <w:bCs/>
                <w:color w:val="FF0000"/>
                <w:szCs w:val="21"/>
              </w:rPr>
              <w:t>备注</w:t>
            </w:r>
          </w:p>
        </w:tc>
        <w:tc>
          <w:tcPr>
            <w:tcW w:w="1719" w:type="dxa"/>
            <w:vAlign w:val="center"/>
          </w:tcPr>
          <w:p>
            <w:pPr>
              <w:jc w:val="center"/>
              <w:rPr>
                <w:b/>
                <w:bCs/>
                <w:color w:val="FF0000"/>
                <w:szCs w:val="21"/>
              </w:rPr>
            </w:pPr>
            <w:r>
              <w:rPr>
                <w:rFonts w:hint="eastAsia"/>
                <w:b/>
                <w:bCs/>
                <w:color w:val="FF0000"/>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45" w:type="dxa"/>
          </w:tcPr>
          <w:p>
            <w:pPr>
              <w:jc w:val="center"/>
              <w:rPr>
                <w:bCs/>
                <w:szCs w:val="21"/>
              </w:rPr>
            </w:pPr>
            <w:r>
              <w:rPr>
                <w:bCs/>
                <w:szCs w:val="21"/>
              </w:rPr>
              <w:t>PLAN-2021-440301-0108001001-01581</w:t>
            </w:r>
          </w:p>
        </w:tc>
        <w:tc>
          <w:tcPr>
            <w:tcW w:w="1546" w:type="dxa"/>
            <w:vAlign w:val="center"/>
          </w:tcPr>
          <w:p>
            <w:pPr>
              <w:jc w:val="center"/>
              <w:rPr>
                <w:bCs/>
                <w:szCs w:val="21"/>
              </w:rPr>
            </w:pPr>
            <w:r>
              <w:rPr>
                <w:rFonts w:hint="eastAsia"/>
                <w:bCs/>
                <w:szCs w:val="21"/>
              </w:rPr>
              <w:t>双束型聚焦离子束系统</w:t>
            </w:r>
          </w:p>
        </w:tc>
        <w:tc>
          <w:tcPr>
            <w:tcW w:w="859" w:type="dxa"/>
            <w:vAlign w:val="center"/>
          </w:tcPr>
          <w:p>
            <w:pPr>
              <w:jc w:val="center"/>
              <w:rPr>
                <w:bCs/>
                <w:szCs w:val="21"/>
              </w:rPr>
            </w:pPr>
            <w:r>
              <w:rPr>
                <w:rFonts w:hint="eastAsia"/>
              </w:rPr>
              <w:t>1</w:t>
            </w:r>
          </w:p>
        </w:tc>
        <w:tc>
          <w:tcPr>
            <w:tcW w:w="859" w:type="dxa"/>
            <w:vAlign w:val="center"/>
          </w:tcPr>
          <w:p>
            <w:pPr>
              <w:jc w:val="center"/>
              <w:rPr>
                <w:bCs/>
                <w:szCs w:val="21"/>
              </w:rPr>
            </w:pPr>
            <w:r>
              <w:rPr>
                <w:rFonts w:hint="eastAsia"/>
              </w:rPr>
              <w:t>套</w:t>
            </w:r>
          </w:p>
        </w:tc>
        <w:tc>
          <w:tcPr>
            <w:tcW w:w="1375" w:type="dxa"/>
            <w:vAlign w:val="center"/>
          </w:tcPr>
          <w:p>
            <w:pPr>
              <w:jc w:val="center"/>
              <w:rPr>
                <w:b/>
                <w:bCs/>
                <w:color w:val="FF0000"/>
                <w:szCs w:val="21"/>
              </w:rPr>
            </w:pPr>
            <w:r>
              <w:rPr>
                <w:rFonts w:hint="eastAsia"/>
                <w:b/>
                <w:bCs/>
                <w:color w:val="FF0000"/>
                <w:szCs w:val="21"/>
              </w:rPr>
              <w:t>接受进口</w:t>
            </w:r>
          </w:p>
        </w:tc>
        <w:tc>
          <w:tcPr>
            <w:tcW w:w="1719" w:type="dxa"/>
            <w:vAlign w:val="center"/>
          </w:tcPr>
          <w:p>
            <w:pPr>
              <w:jc w:val="center"/>
              <w:rPr>
                <w:bCs/>
                <w:szCs w:val="21"/>
              </w:rPr>
            </w:pPr>
            <w:r>
              <w:rPr>
                <w:bCs/>
                <w:szCs w:val="21"/>
              </w:rPr>
              <w:t>9,000,000.00</w:t>
            </w:r>
          </w:p>
        </w:tc>
      </w:tr>
    </w:tbl>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六、投标与开标注意事项：</w:t>
      </w:r>
    </w:p>
    <w:p>
      <w:pPr>
        <w:ind w:firstLine="420" w:firstLineChars="200"/>
        <w:rPr>
          <w:rFonts w:ascii="宋体" w:hAnsi="宋体" w:cs="宋体"/>
          <w:kern w:val="0"/>
          <w:szCs w:val="21"/>
        </w:rPr>
      </w:pPr>
      <w:r>
        <w:rPr>
          <w:rFonts w:hint="eastAsia" w:ascii="宋体" w:hAnsi="宋体" w:cs="宋体"/>
          <w:kern w:val="0"/>
          <w:szCs w:val="21"/>
        </w:rPr>
        <w:t xml:space="preserve">1. 标书获得方法 </w:t>
      </w:r>
    </w:p>
    <w:p>
      <w:pPr>
        <w:ind w:firstLine="422" w:firstLineChars="200"/>
        <w:rPr>
          <w:rFonts w:ascii="宋体" w:hAnsi="宋体" w:cs="宋体"/>
          <w:b/>
          <w:color w:val="FF0000"/>
          <w:kern w:val="0"/>
          <w:szCs w:val="21"/>
        </w:rPr>
      </w:pPr>
      <w:r>
        <w:rPr>
          <w:rFonts w:hint="eastAsia" w:ascii="宋体" w:hAnsi="宋体" w:cs="宋体"/>
          <w:b/>
          <w:color w:val="FF0000"/>
          <w:kern w:val="0"/>
          <w:szCs w:val="21"/>
        </w:rPr>
        <w:t>出于疫情防控需要，投标人不能现场</w:t>
      </w:r>
      <w:r>
        <w:rPr>
          <w:rFonts w:ascii="宋体" w:hAnsi="宋体" w:cs="宋体"/>
          <w:b/>
          <w:color w:val="FF0000"/>
          <w:kern w:val="0"/>
          <w:szCs w:val="21"/>
        </w:rPr>
        <w:t>购买</w:t>
      </w:r>
      <w:r>
        <w:rPr>
          <w:rFonts w:hint="eastAsia" w:ascii="宋体" w:hAnsi="宋体" w:cs="宋体"/>
          <w:b/>
          <w:color w:val="FF0000"/>
          <w:kern w:val="0"/>
          <w:szCs w:val="21"/>
        </w:rPr>
        <w:t>招标</w:t>
      </w:r>
      <w:r>
        <w:rPr>
          <w:rFonts w:ascii="宋体" w:hAnsi="宋体" w:cs="宋体"/>
          <w:b/>
          <w:color w:val="FF0000"/>
          <w:kern w:val="0"/>
          <w:szCs w:val="21"/>
        </w:rPr>
        <w:t>文件</w:t>
      </w:r>
      <w:r>
        <w:rPr>
          <w:rFonts w:hint="eastAsia" w:ascii="宋体" w:hAnsi="宋体" w:cs="宋体"/>
          <w:b/>
          <w:color w:val="FF0000"/>
          <w:kern w:val="0"/>
          <w:szCs w:val="21"/>
        </w:rPr>
        <w:t>。如需购买招标文件请通过邮件报名，电子版招标文件可以在网站http://bidding.szu.edu.cn“招标公告”的本项目的招标公告页中下载。招标文件售后不退。</w:t>
      </w:r>
    </w:p>
    <w:p>
      <w:pPr>
        <w:ind w:firstLine="420" w:firstLineChars="200"/>
        <w:rPr>
          <w:rFonts w:ascii="宋体" w:hAnsi="宋体" w:cs="宋体"/>
          <w:kern w:val="0"/>
          <w:szCs w:val="21"/>
        </w:rPr>
      </w:pPr>
      <w:r>
        <w:rPr>
          <w:rFonts w:hint="eastAsia" w:ascii="宋体" w:hAnsi="宋体" w:cs="宋体"/>
          <w:kern w:val="0"/>
          <w:szCs w:val="21"/>
        </w:rPr>
        <w:t>任何有兴趣的合格投标人可于</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05</w:t>
      </w:r>
      <w:r>
        <w:rPr>
          <w:rFonts w:hint="eastAsia" w:ascii="宋体" w:hAnsi="宋体" w:cs="宋体"/>
          <w:kern w:val="0"/>
          <w:szCs w:val="21"/>
        </w:rPr>
        <w:t>日起至</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19</w:t>
      </w:r>
      <w:r>
        <w:rPr>
          <w:rFonts w:hint="eastAsia" w:ascii="宋体" w:hAnsi="宋体" w:cs="宋体"/>
          <w:kern w:val="0"/>
          <w:szCs w:val="21"/>
        </w:rPr>
        <w:t>日每天（节假日除外）的9:00—11:</w:t>
      </w:r>
      <w:r>
        <w:rPr>
          <w:rFonts w:ascii="宋体" w:hAnsi="宋体" w:cs="宋体"/>
          <w:kern w:val="0"/>
          <w:szCs w:val="21"/>
        </w:rPr>
        <w:t>3</w:t>
      </w:r>
      <w:r>
        <w:rPr>
          <w:rFonts w:hint="eastAsia" w:ascii="宋体" w:hAnsi="宋体" w:cs="宋体"/>
          <w:kern w:val="0"/>
          <w:szCs w:val="21"/>
        </w:rPr>
        <w:t>0；14:</w:t>
      </w:r>
      <w:r>
        <w:rPr>
          <w:rFonts w:ascii="宋体" w:hAnsi="宋体" w:cs="宋体"/>
          <w:kern w:val="0"/>
          <w:szCs w:val="21"/>
        </w:rPr>
        <w:t>30</w:t>
      </w:r>
      <w:r>
        <w:rPr>
          <w:rFonts w:hint="eastAsia" w:ascii="宋体" w:hAnsi="宋体" w:cs="宋体"/>
          <w:kern w:val="0"/>
          <w:szCs w:val="21"/>
        </w:rPr>
        <w:t>—17:00将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hint="eastAsia" w:ascii="宋体" w:hAnsi="宋体" w:cs="宋体"/>
          <w:kern w:val="0"/>
          <w:szCs w:val="21"/>
        </w:rPr>
        <w:t>）一并</w:t>
      </w:r>
      <w:r>
        <w:rPr>
          <w:rFonts w:ascii="宋体" w:hAnsi="宋体" w:cs="宋体"/>
          <w:kern w:val="0"/>
          <w:szCs w:val="21"/>
        </w:rPr>
        <w:t>扫描</w:t>
      </w:r>
      <w:r>
        <w:rPr>
          <w:rFonts w:hint="eastAsia" w:ascii="宋体" w:hAnsi="宋体" w:cs="宋体"/>
          <w:kern w:val="0"/>
          <w:szCs w:val="21"/>
        </w:rPr>
        <w:t>发至邮箱</w:t>
      </w:r>
      <w:r>
        <w:rPr>
          <w:rFonts w:ascii="宋体" w:hAnsi="宋体" w:cs="宋体"/>
          <w:b/>
          <w:color w:val="FF0000"/>
          <w:kern w:val="0"/>
          <w:sz w:val="24"/>
        </w:rPr>
        <w:t>zhaobiao@szu.edu.cn</w:t>
      </w:r>
      <w:r>
        <w:rPr>
          <w:rFonts w:hint="eastAsia" w:ascii="宋体" w:hAnsi="宋体" w:cs="宋体"/>
          <w:kern w:val="0"/>
          <w:szCs w:val="21"/>
        </w:rPr>
        <w:t>；标书费缴纳至深圳大学账户：</w:t>
      </w:r>
    </w:p>
    <w:p>
      <w:pPr>
        <w:ind w:firstLine="840" w:firstLineChars="400"/>
        <w:rPr>
          <w:rFonts w:ascii="宋体" w:hAnsi="宋体" w:cs="宋体"/>
          <w:kern w:val="0"/>
          <w:szCs w:val="21"/>
        </w:rPr>
      </w:pPr>
      <w:r>
        <w:rPr>
          <w:rFonts w:hint="eastAsia" w:ascii="宋体" w:hAnsi="宋体" w:cs="宋体"/>
          <w:kern w:val="0"/>
          <w:szCs w:val="21"/>
        </w:rPr>
        <w:t>开户行：中国银行深圳深大支行</w:t>
      </w:r>
    </w:p>
    <w:p>
      <w:pPr>
        <w:ind w:firstLine="840" w:firstLineChars="400"/>
        <w:rPr>
          <w:rFonts w:ascii="宋体" w:hAnsi="宋体" w:cs="宋体"/>
          <w:kern w:val="0"/>
          <w:szCs w:val="21"/>
        </w:rPr>
      </w:pPr>
      <w:r>
        <w:rPr>
          <w:rFonts w:hint="eastAsia" w:ascii="宋体" w:hAnsi="宋体" w:cs="宋体"/>
          <w:kern w:val="0"/>
          <w:szCs w:val="21"/>
        </w:rPr>
        <w:t>户名：深圳大学</w:t>
      </w:r>
    </w:p>
    <w:p>
      <w:pPr>
        <w:ind w:firstLine="840" w:firstLineChars="400"/>
        <w:rPr>
          <w:rFonts w:ascii="宋体" w:hAnsi="宋体" w:cs="宋体"/>
          <w:kern w:val="0"/>
          <w:szCs w:val="21"/>
        </w:rPr>
      </w:pPr>
      <w:r>
        <w:rPr>
          <w:rFonts w:hint="eastAsia" w:ascii="宋体" w:hAnsi="宋体" w:cs="宋体"/>
          <w:kern w:val="0"/>
          <w:szCs w:val="21"/>
        </w:rPr>
        <w:t>账号：</w:t>
      </w:r>
      <w:r>
        <w:rPr>
          <w:rFonts w:ascii="宋体" w:hAnsi="宋体" w:cs="宋体"/>
          <w:kern w:val="0"/>
          <w:szCs w:val="21"/>
        </w:rPr>
        <w:t>754968350439</w:t>
      </w:r>
    </w:p>
    <w:p>
      <w:pPr>
        <w:ind w:firstLine="840" w:firstLineChars="40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63"/>
          <w:rFonts w:hint="eastAsia" w:ascii="宋体" w:hAnsi="宋体" w:cs="宋体"/>
          <w:kern w:val="0"/>
          <w:szCs w:val="21"/>
        </w:rPr>
        <w:t>http://bidding.szu.edu.cn/listfile.asp</w:t>
      </w:r>
      <w:r>
        <w:rPr>
          <w:rStyle w:val="63"/>
          <w:rFonts w:ascii="宋体" w:hAnsi="宋体" w:cs="宋体"/>
          <w:kern w:val="0"/>
          <w:szCs w:val="21"/>
        </w:rPr>
        <w:fldChar w:fldCharType="end"/>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kern w:val="0"/>
          <w:szCs w:val="21"/>
        </w:rPr>
        <w:t>2. 关于</w:t>
      </w:r>
      <w:r>
        <w:rPr>
          <w:rFonts w:ascii="宋体" w:hAnsi="宋体" w:cs="宋体"/>
          <w:kern w:val="0"/>
          <w:szCs w:val="21"/>
        </w:rPr>
        <w:t>质疑</w:t>
      </w:r>
    </w:p>
    <w:p>
      <w:pPr>
        <w:ind w:firstLine="840" w:firstLineChars="400"/>
        <w:rPr>
          <w:rFonts w:ascii="宋体" w:hAnsi="宋体" w:cs="宋体"/>
          <w:kern w:val="0"/>
          <w:szCs w:val="21"/>
        </w:rPr>
      </w:pPr>
      <w:r>
        <w:rPr>
          <w:rFonts w:hint="eastAsia" w:ascii="宋体" w:hAnsi="宋体" w:cs="宋体"/>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w:t>
      </w:r>
    </w:p>
    <w:p>
      <w:pPr>
        <w:ind w:firstLine="420" w:firstLineChars="200"/>
        <w:rPr>
          <w:rFonts w:ascii="宋体" w:hAnsi="宋体" w:cs="宋体"/>
          <w:kern w:val="0"/>
          <w:szCs w:val="21"/>
        </w:rPr>
      </w:pPr>
      <w:r>
        <w:rPr>
          <w:rFonts w:hint="eastAsia" w:ascii="宋体" w:hAnsi="宋体" w:cs="宋体"/>
          <w:kern w:val="0"/>
          <w:szCs w:val="21"/>
        </w:rPr>
        <w:t xml:space="preserve">3. 投标截止时间 </w:t>
      </w:r>
    </w:p>
    <w:p>
      <w:pPr>
        <w:ind w:firstLine="840" w:firstLineChars="400"/>
        <w:rPr>
          <w:rFonts w:ascii="宋体" w:hAnsi="宋体" w:cs="宋体"/>
          <w:kern w:val="0"/>
          <w:szCs w:val="21"/>
        </w:rPr>
      </w:pPr>
      <w:r>
        <w:rPr>
          <w:rFonts w:hint="eastAsia" w:ascii="宋体" w:hAnsi="宋体" w:cs="宋体"/>
          <w:kern w:val="0"/>
          <w:szCs w:val="21"/>
        </w:rPr>
        <w:t>所有投标文件应于</w:t>
      </w:r>
      <w:r>
        <w:rPr>
          <w:rFonts w:ascii="宋体" w:hAnsi="宋体" w:cs="宋体"/>
          <w:color w:val="FF0000"/>
          <w:kern w:val="0"/>
          <w:szCs w:val="21"/>
        </w:rPr>
        <w:t>2021</w:t>
      </w:r>
      <w:r>
        <w:rPr>
          <w:rFonts w:hint="eastAsia" w:ascii="宋体" w:hAnsi="宋体" w:cs="宋体"/>
          <w:color w:val="FF0000"/>
          <w:kern w:val="0"/>
          <w:szCs w:val="21"/>
        </w:rPr>
        <w:t>年</w:t>
      </w:r>
      <w:r>
        <w:rPr>
          <w:rFonts w:hint="eastAsia" w:ascii="宋体" w:hAnsi="宋体" w:cs="宋体"/>
          <w:color w:val="FF0000"/>
          <w:kern w:val="0"/>
          <w:szCs w:val="21"/>
          <w:lang w:val="en-US" w:eastAsia="zh-CN"/>
        </w:rPr>
        <w:t>08</w:t>
      </w:r>
      <w:r>
        <w:rPr>
          <w:rFonts w:hint="eastAsia" w:ascii="宋体" w:hAnsi="宋体" w:cs="宋体"/>
          <w:color w:val="FF0000"/>
          <w:kern w:val="0"/>
          <w:szCs w:val="21"/>
        </w:rPr>
        <w:t>月</w:t>
      </w:r>
      <w:r>
        <w:rPr>
          <w:rFonts w:hint="eastAsia" w:ascii="宋体" w:hAnsi="宋体" w:cs="宋体"/>
          <w:color w:val="FF0000"/>
          <w:kern w:val="0"/>
          <w:szCs w:val="21"/>
          <w:lang w:val="en-US" w:eastAsia="zh-CN"/>
        </w:rPr>
        <w:t>20</w:t>
      </w:r>
      <w:r>
        <w:rPr>
          <w:rFonts w:hint="eastAsia" w:ascii="宋体" w:hAnsi="宋体" w:cs="宋体"/>
          <w:color w:val="FF0000"/>
          <w:kern w:val="0"/>
          <w:szCs w:val="21"/>
        </w:rPr>
        <w:t>日</w:t>
      </w:r>
      <w:r>
        <w:rPr>
          <w:rFonts w:ascii="宋体" w:hAnsi="宋体" w:cs="宋体"/>
          <w:b/>
          <w:color w:val="FF0000"/>
          <w:kern w:val="0"/>
          <w:szCs w:val="21"/>
        </w:rPr>
        <w:t>09</w:t>
      </w:r>
      <w:r>
        <w:rPr>
          <w:rFonts w:hint="eastAsia" w:ascii="宋体" w:hAnsi="宋体" w:cs="宋体"/>
          <w:b/>
          <w:color w:val="FF0000"/>
          <w:kern w:val="0"/>
          <w:szCs w:val="21"/>
        </w:rPr>
        <w:t>：00</w:t>
      </w:r>
      <w:r>
        <w:rPr>
          <w:rFonts w:hint="eastAsia" w:ascii="宋体" w:hAnsi="宋体" w:cs="宋体"/>
          <w:color w:val="FF0000"/>
          <w:kern w:val="0"/>
          <w:szCs w:val="21"/>
        </w:rPr>
        <w:t>时</w:t>
      </w:r>
      <w:r>
        <w:rPr>
          <w:rFonts w:hint="eastAsia" w:ascii="宋体" w:hAnsi="宋体" w:cs="宋体"/>
          <w:kern w:val="0"/>
          <w:szCs w:val="21"/>
        </w:rPr>
        <w:t>之前</w:t>
      </w:r>
      <w:r>
        <w:rPr>
          <w:rFonts w:hint="eastAsia" w:ascii="宋体" w:hAnsi="宋体" w:cs="宋体"/>
          <w:b/>
          <w:color w:val="FF0000"/>
          <w:kern w:val="0"/>
          <w:szCs w:val="21"/>
        </w:rPr>
        <w:t>邮寄</w:t>
      </w:r>
      <w:r>
        <w:t>（EMS，顺丰（不含顺丰同城））</w:t>
      </w:r>
      <w:r>
        <w:rPr>
          <w:rFonts w:hint="eastAsia" w:ascii="宋体" w:hAnsi="宋体" w:cs="宋体"/>
          <w:kern w:val="0"/>
          <w:szCs w:val="21"/>
        </w:rPr>
        <w:t>到深圳大学招投标管理中心</w:t>
      </w:r>
      <w:r>
        <w:rPr>
          <w:rFonts w:hint="eastAsia" w:ascii="宋体" w:hAnsi="宋体" w:cs="宋体"/>
          <w:color w:val="FF0000"/>
          <w:kern w:val="0"/>
          <w:szCs w:val="21"/>
        </w:rPr>
        <w:t>（以快递</w:t>
      </w:r>
      <w:r>
        <w:rPr>
          <w:rFonts w:ascii="宋体" w:hAnsi="宋体" w:cs="宋体"/>
          <w:color w:val="FF0000"/>
          <w:kern w:val="0"/>
          <w:szCs w:val="21"/>
        </w:rPr>
        <w:t>到达时间为准</w:t>
      </w:r>
      <w:r>
        <w:rPr>
          <w:rFonts w:hint="eastAsia" w:ascii="宋体" w:hAnsi="宋体" w:cs="宋体"/>
          <w:color w:val="FF0000"/>
          <w:kern w:val="0"/>
          <w:szCs w:val="21"/>
        </w:rPr>
        <w:t>，</w:t>
      </w:r>
      <w:r>
        <w:rPr>
          <w:rFonts w:ascii="宋体" w:hAnsi="宋体" w:cs="宋体"/>
          <w:color w:val="FF0000"/>
          <w:kern w:val="0"/>
          <w:szCs w:val="21"/>
        </w:rPr>
        <w:t>不接受快递到付</w:t>
      </w:r>
      <w:r>
        <w:rPr>
          <w:rFonts w:hint="eastAsia" w:ascii="宋体" w:hAnsi="宋体" w:cs="宋体"/>
          <w:color w:val="FF0000"/>
          <w:kern w:val="0"/>
          <w:szCs w:val="21"/>
        </w:rPr>
        <w:t>）</w:t>
      </w:r>
      <w:r>
        <w:rPr>
          <w:rFonts w:hint="eastAsia" w:ascii="宋体" w:hAnsi="宋体" w:cs="宋体"/>
          <w:kern w:val="0"/>
          <w:szCs w:val="21"/>
        </w:rPr>
        <w:t>。</w:t>
      </w:r>
    </w:p>
    <w:p>
      <w:pPr>
        <w:ind w:firstLine="843" w:firstLineChars="400"/>
        <w:rPr>
          <w:rFonts w:ascii="宋体" w:hAnsi="宋体" w:cs="宋体"/>
          <w:b/>
          <w:color w:val="FF0000"/>
          <w:kern w:val="0"/>
          <w:szCs w:val="21"/>
        </w:rPr>
      </w:pPr>
      <w:r>
        <w:rPr>
          <w:rFonts w:hint="eastAsia" w:ascii="宋体" w:hAnsi="宋体" w:cs="宋体"/>
          <w:b/>
          <w:color w:val="FF0000"/>
          <w:kern w:val="0"/>
          <w:szCs w:val="21"/>
        </w:rPr>
        <w:t xml:space="preserve"> 投标</w:t>
      </w:r>
      <w:r>
        <w:rPr>
          <w:rFonts w:ascii="宋体" w:hAnsi="宋体" w:cs="宋体"/>
          <w:b/>
          <w:color w:val="FF0000"/>
          <w:kern w:val="0"/>
          <w:szCs w:val="21"/>
        </w:rPr>
        <w:t>文件</w:t>
      </w:r>
      <w:r>
        <w:rPr>
          <w:rFonts w:hint="eastAsia" w:ascii="宋体" w:hAnsi="宋体" w:cs="宋体"/>
          <w:b/>
          <w:color w:val="FF0000"/>
          <w:kern w:val="0"/>
          <w:szCs w:val="21"/>
        </w:rPr>
        <w:t>不</w:t>
      </w:r>
      <w:r>
        <w:rPr>
          <w:rFonts w:ascii="宋体" w:hAnsi="宋体" w:cs="宋体"/>
          <w:b/>
          <w:color w:val="FF0000"/>
          <w:kern w:val="0"/>
          <w:szCs w:val="21"/>
        </w:rPr>
        <w:t>接受现场递交</w:t>
      </w:r>
      <w:r>
        <w:rPr>
          <w:rFonts w:hint="eastAsia" w:ascii="宋体" w:hAnsi="宋体" w:cs="宋体"/>
          <w:b/>
          <w:color w:val="FF0000"/>
          <w:kern w:val="0"/>
          <w:szCs w:val="21"/>
        </w:rPr>
        <w:t>。</w:t>
      </w:r>
    </w:p>
    <w:p>
      <w:pPr>
        <w:ind w:firstLine="840" w:firstLineChars="400"/>
        <w:rPr>
          <w:rFonts w:ascii="宋体" w:hAnsi="宋体" w:cs="宋体"/>
          <w:kern w:val="0"/>
          <w:szCs w:val="21"/>
        </w:rPr>
      </w:pPr>
      <w:r>
        <w:rPr>
          <w:rFonts w:hint="eastAsia" w:ascii="宋体" w:hAnsi="宋体" w:cs="宋体"/>
          <w:kern w:val="0"/>
          <w:szCs w:val="21"/>
        </w:rPr>
        <w:t>邮寄</w:t>
      </w:r>
      <w:r>
        <w:rPr>
          <w:rFonts w:ascii="宋体" w:hAnsi="宋体" w:cs="宋体"/>
          <w:kern w:val="0"/>
          <w:szCs w:val="21"/>
        </w:rPr>
        <w:t>地址：</w:t>
      </w:r>
      <w:r>
        <w:rPr>
          <w:rFonts w:hint="eastAsia" w:ascii="宋体" w:hAnsi="宋体" w:cs="宋体"/>
          <w:kern w:val="0"/>
          <w:szCs w:val="21"/>
        </w:rPr>
        <w:t>深圳市南山区南海大道3688号 深圳大学汇元楼24</w:t>
      </w:r>
      <w:r>
        <w:rPr>
          <w:rFonts w:ascii="宋体" w:hAnsi="宋体" w:cs="宋体"/>
          <w:kern w:val="0"/>
          <w:szCs w:val="21"/>
        </w:rPr>
        <w:t>2</w:t>
      </w:r>
      <w:r>
        <w:rPr>
          <w:rFonts w:hint="eastAsia" w:ascii="宋体" w:hAnsi="宋体" w:cs="宋体"/>
          <w:kern w:val="0"/>
          <w:szCs w:val="21"/>
        </w:rPr>
        <w:t>室</w:t>
      </w:r>
    </w:p>
    <w:p>
      <w:pPr>
        <w:ind w:firstLine="843" w:firstLineChars="400"/>
        <w:rPr>
          <w:rFonts w:ascii="宋体" w:hAnsi="宋体" w:cs="宋体"/>
          <w:b/>
          <w:color w:val="FF0000"/>
          <w:kern w:val="0"/>
          <w:szCs w:val="21"/>
        </w:rPr>
      </w:pPr>
      <w:r>
        <w:rPr>
          <w:rFonts w:hint="eastAsia" w:ascii="宋体" w:hAnsi="宋体" w:cs="宋体"/>
          <w:b/>
          <w:color w:val="FF0000"/>
          <w:kern w:val="0"/>
          <w:szCs w:val="21"/>
        </w:rPr>
        <w:t>收件人</w:t>
      </w:r>
      <w:r>
        <w:rPr>
          <w:rFonts w:ascii="宋体" w:hAnsi="宋体" w:cs="宋体"/>
          <w:b/>
          <w:color w:val="FF0000"/>
          <w:kern w:val="0"/>
          <w:szCs w:val="21"/>
        </w:rPr>
        <w:t>、联系方式：</w:t>
      </w:r>
      <w:r>
        <w:rPr>
          <w:rFonts w:hint="eastAsia" w:ascii="宋体" w:hAnsi="宋体" w:cs="宋体"/>
          <w:b/>
          <w:color w:val="FF0000"/>
          <w:kern w:val="0"/>
          <w:szCs w:val="21"/>
        </w:rPr>
        <w:t>黄</w:t>
      </w:r>
      <w:r>
        <w:rPr>
          <w:rFonts w:ascii="宋体" w:hAnsi="宋体" w:cs="宋体"/>
          <w:b/>
          <w:color w:val="FF0000"/>
          <w:kern w:val="0"/>
          <w:szCs w:val="21"/>
        </w:rPr>
        <w:t>老师，</w:t>
      </w:r>
      <w:r>
        <w:rPr>
          <w:rFonts w:hint="eastAsia" w:ascii="宋体" w:hAnsi="宋体" w:cs="宋体"/>
          <w:b/>
          <w:color w:val="FF0000"/>
          <w:kern w:val="0"/>
          <w:szCs w:val="21"/>
        </w:rPr>
        <w:t>（0755）</w:t>
      </w:r>
      <w:r>
        <w:rPr>
          <w:rFonts w:ascii="宋体" w:hAnsi="宋体" w:cs="宋体"/>
          <w:b/>
          <w:color w:val="FF0000"/>
          <w:kern w:val="0"/>
          <w:szCs w:val="21"/>
        </w:rPr>
        <w:t>2653 2310</w:t>
      </w:r>
    </w:p>
    <w:p>
      <w:pPr>
        <w:adjustRightInd w:val="0"/>
        <w:snapToGrid w:val="0"/>
        <w:spacing w:line="360" w:lineRule="auto"/>
        <w:ind w:firstLine="420" w:firstLineChars="20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ind w:firstLine="420" w:firstLineChars="200"/>
        <w:rPr>
          <w:rFonts w:ascii="宋体" w:hAnsi="宋体" w:cs="宋体"/>
          <w:kern w:val="0"/>
          <w:szCs w:val="21"/>
        </w:rPr>
      </w:pPr>
      <w:r>
        <w:rPr>
          <w:rFonts w:hint="eastAsia" w:ascii="宋体" w:hAnsi="宋体" w:cs="宋体"/>
          <w:kern w:val="0"/>
          <w:szCs w:val="21"/>
        </w:rPr>
        <w:t xml:space="preserve">4. 开标时间和地点 </w:t>
      </w:r>
    </w:p>
    <w:p>
      <w:pPr>
        <w:ind w:firstLine="840" w:firstLineChars="400"/>
        <w:rPr>
          <w:rFonts w:ascii="宋体" w:hAnsi="宋体" w:cs="宋体"/>
          <w:kern w:val="0"/>
          <w:szCs w:val="21"/>
        </w:rPr>
      </w:pPr>
      <w:r>
        <w:rPr>
          <w:rFonts w:hint="eastAsia" w:ascii="宋体" w:hAnsi="宋体" w:cs="宋体"/>
          <w:kern w:val="0"/>
          <w:szCs w:val="21"/>
        </w:rPr>
        <w:t>定于</w:t>
      </w:r>
      <w:r>
        <w:rPr>
          <w:rFonts w:ascii="宋体" w:hAnsi="宋体" w:cs="宋体"/>
          <w:color w:val="FF0000"/>
          <w:kern w:val="0"/>
          <w:szCs w:val="21"/>
        </w:rPr>
        <w:t>2021</w:t>
      </w:r>
      <w:r>
        <w:rPr>
          <w:rFonts w:hint="eastAsia" w:ascii="宋体" w:hAnsi="宋体" w:cs="宋体"/>
          <w:color w:val="FF0000"/>
          <w:kern w:val="0"/>
          <w:szCs w:val="21"/>
        </w:rPr>
        <w:t>年</w:t>
      </w:r>
      <w:r>
        <w:rPr>
          <w:rFonts w:hint="eastAsia" w:ascii="宋体" w:hAnsi="宋体" w:cs="宋体"/>
          <w:color w:val="FF0000"/>
          <w:kern w:val="0"/>
          <w:szCs w:val="21"/>
          <w:lang w:val="en-US" w:eastAsia="zh-CN"/>
        </w:rPr>
        <w:t>08</w:t>
      </w:r>
      <w:r>
        <w:rPr>
          <w:rFonts w:hint="eastAsia" w:ascii="宋体" w:hAnsi="宋体" w:cs="宋体"/>
          <w:color w:val="FF0000"/>
          <w:kern w:val="0"/>
          <w:szCs w:val="21"/>
        </w:rPr>
        <w:t>月</w:t>
      </w:r>
      <w:r>
        <w:rPr>
          <w:rFonts w:hint="eastAsia" w:ascii="宋体" w:hAnsi="宋体" w:cs="宋体"/>
          <w:color w:val="FF0000"/>
          <w:kern w:val="0"/>
          <w:szCs w:val="21"/>
          <w:lang w:val="en-US" w:eastAsia="zh-CN"/>
        </w:rPr>
        <w:t>20</w:t>
      </w:r>
      <w:r>
        <w:rPr>
          <w:rFonts w:hint="eastAsia" w:ascii="宋体" w:hAnsi="宋体" w:cs="宋体"/>
          <w:color w:val="FF0000"/>
          <w:kern w:val="0"/>
          <w:szCs w:val="21"/>
        </w:rPr>
        <w:t>日</w:t>
      </w:r>
      <w:r>
        <w:rPr>
          <w:rFonts w:ascii="宋体" w:hAnsi="宋体" w:cs="宋体"/>
          <w:b/>
          <w:color w:val="FF0000"/>
          <w:kern w:val="0"/>
          <w:szCs w:val="21"/>
        </w:rPr>
        <w:t>09</w:t>
      </w:r>
      <w:r>
        <w:rPr>
          <w:rFonts w:hint="eastAsia" w:ascii="宋体" w:hAnsi="宋体" w:cs="宋体"/>
          <w:b/>
          <w:color w:val="FF0000"/>
          <w:kern w:val="0"/>
          <w:szCs w:val="21"/>
        </w:rPr>
        <w:t>：00</w:t>
      </w:r>
      <w:r>
        <w:rPr>
          <w:rFonts w:hint="eastAsia" w:ascii="宋体" w:hAnsi="宋体" w:cs="宋体"/>
          <w:color w:val="FF0000"/>
          <w:kern w:val="0"/>
          <w:szCs w:val="21"/>
        </w:rPr>
        <w:t>时</w:t>
      </w:r>
      <w:r>
        <w:rPr>
          <w:rFonts w:hint="eastAsia" w:ascii="宋体" w:hAnsi="宋体" w:cs="宋体"/>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pPr>
        <w:ind w:firstLine="420" w:firstLineChars="200"/>
        <w:rPr>
          <w:rFonts w:ascii="宋体" w:hAnsi="宋体" w:cs="宋体"/>
          <w:kern w:val="0"/>
          <w:szCs w:val="21"/>
        </w:rPr>
      </w:pPr>
      <w:r>
        <w:rPr>
          <w:rFonts w:hint="eastAsia" w:ascii="宋体" w:hAnsi="宋体" w:cs="宋体"/>
          <w:kern w:val="0"/>
          <w:szCs w:val="21"/>
        </w:rPr>
        <w:t>5. 已经购买招标文件的潜在投标人，若不参加投标应在开标截止日前3天以书面形式通知深圳大学招投标管理中心。</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七、重要提示：</w:t>
      </w:r>
    </w:p>
    <w:p>
      <w:pPr>
        <w:ind w:firstLine="420" w:firstLineChars="200"/>
        <w:rPr>
          <w:rFonts w:ascii="宋体" w:hAnsi="宋体" w:cs="宋体"/>
          <w:kern w:val="0"/>
          <w:szCs w:val="21"/>
        </w:rPr>
      </w:pPr>
      <w:r>
        <w:rPr>
          <w:rFonts w:hint="eastAsia" w:ascii="宋体" w:hAnsi="宋体" w:cs="宋体"/>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ind w:firstLine="420" w:firstLineChars="200"/>
        <w:rPr>
          <w:rFonts w:ascii="宋体" w:hAnsi="宋体" w:cs="宋体"/>
          <w:kern w:val="0"/>
          <w:szCs w:val="21"/>
        </w:rPr>
      </w:pPr>
      <w:r>
        <w:rPr>
          <w:rFonts w:hint="eastAsia" w:ascii="宋体" w:hAnsi="宋体" w:cs="宋体"/>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hint="eastAsia" w:ascii="宋体" w:hAnsi="宋体" w:cs="宋体"/>
          <w:kern w:val="0"/>
          <w:szCs w:val="21"/>
        </w:rPr>
        <w:t>管理</w:t>
      </w:r>
      <w:r>
        <w:rPr>
          <w:rFonts w:ascii="宋体" w:hAnsi="宋体" w:cs="宋体"/>
          <w:kern w:val="0"/>
          <w:szCs w:val="21"/>
        </w:rPr>
        <w:t>中心</w:t>
      </w:r>
      <w:r>
        <w:rPr>
          <w:rFonts w:hint="eastAsia" w:ascii="宋体" w:hAnsi="宋体" w:cs="宋体"/>
          <w:kern w:val="0"/>
          <w:szCs w:val="21"/>
        </w:rPr>
        <w:t>网站（http://bidding.szu.edu.cn），在深圳大学</w:t>
      </w:r>
      <w:r>
        <w:rPr>
          <w:rFonts w:ascii="宋体" w:hAnsi="宋体" w:cs="宋体"/>
          <w:kern w:val="0"/>
          <w:szCs w:val="21"/>
        </w:rPr>
        <w:t>招投标管理中心</w:t>
      </w:r>
      <w:r>
        <w:rPr>
          <w:rFonts w:hint="eastAsia" w:ascii="宋体" w:hAnsi="宋体" w:cs="宋体"/>
          <w:kern w:val="0"/>
          <w:szCs w:val="21"/>
        </w:rPr>
        <w:t xml:space="preserve">网站上公布的与本次招标项目有关的信息视为已送达各投标人。 </w:t>
      </w:r>
    </w:p>
    <w:p>
      <w:pPr>
        <w:ind w:firstLine="420" w:firstLineChars="200"/>
        <w:rPr>
          <w:rFonts w:ascii="宋体" w:hAnsi="宋体" w:cs="宋体"/>
          <w:kern w:val="0"/>
          <w:szCs w:val="21"/>
        </w:rPr>
      </w:pPr>
      <w:r>
        <w:rPr>
          <w:rFonts w:hint="eastAsia" w:ascii="宋体" w:hAnsi="宋体" w:cs="宋体"/>
          <w:kern w:val="0"/>
          <w:szCs w:val="21"/>
        </w:rPr>
        <w:t>3. 本项目</w:t>
      </w:r>
      <w:r>
        <w:rPr>
          <w:rFonts w:ascii="宋体" w:hAnsi="宋体" w:cs="宋体"/>
          <w:kern w:val="0"/>
          <w:szCs w:val="21"/>
        </w:rPr>
        <w:t>无须</w:t>
      </w:r>
      <w:r>
        <w:rPr>
          <w:rFonts w:hint="eastAsia" w:ascii="宋体" w:hAnsi="宋体" w:cs="宋体"/>
          <w:kern w:val="0"/>
          <w:szCs w:val="21"/>
        </w:rPr>
        <w:t>交纳投标保证金</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八、联系方式：</w:t>
      </w:r>
    </w:p>
    <w:p>
      <w:pPr>
        <w:rPr>
          <w:rFonts w:ascii="宋体" w:hAnsi="宋体" w:cs="宋体"/>
          <w:kern w:val="0"/>
          <w:szCs w:val="21"/>
        </w:rPr>
      </w:pPr>
      <w:r>
        <w:rPr>
          <w:rFonts w:hint="eastAsia" w:ascii="宋体" w:hAnsi="宋体" w:cs="宋体"/>
          <w:kern w:val="0"/>
          <w:szCs w:val="21"/>
        </w:rPr>
        <w:t>单位</w:t>
      </w:r>
      <w:r>
        <w:rPr>
          <w:rFonts w:ascii="宋体" w:hAnsi="宋体" w:cs="宋体"/>
          <w:kern w:val="0"/>
          <w:szCs w:val="21"/>
        </w:rPr>
        <w:t>名称：</w:t>
      </w:r>
      <w:r>
        <w:rPr>
          <w:rFonts w:hint="eastAsia" w:ascii="宋体" w:hAnsi="宋体" w:cs="宋体"/>
          <w:kern w:val="0"/>
          <w:szCs w:val="21"/>
        </w:rPr>
        <w:t>深圳大学招投标管理中心</w:t>
      </w:r>
    </w:p>
    <w:p>
      <w:pPr>
        <w:ind w:firstLine="735" w:firstLineChars="350"/>
        <w:rPr>
          <w:rFonts w:ascii="宋体" w:hAnsi="宋体" w:cs="宋体"/>
          <w:kern w:val="0"/>
          <w:szCs w:val="21"/>
        </w:rPr>
      </w:pPr>
      <w:r>
        <w:rPr>
          <w:rFonts w:hint="eastAsia" w:ascii="宋体" w:hAnsi="宋体" w:cs="宋体"/>
          <w:kern w:val="0"/>
          <w:szCs w:val="21"/>
        </w:rPr>
        <w:t>详细地址：深圳市南山区南海大道3688号 深圳大学办公楼240室</w:t>
      </w:r>
    </w:p>
    <w:p>
      <w:pPr>
        <w:ind w:firstLine="735" w:firstLineChars="350"/>
        <w:rPr>
          <w:rFonts w:ascii="宋体" w:hAnsi="宋体" w:cs="宋体"/>
          <w:kern w:val="0"/>
          <w:szCs w:val="21"/>
        </w:rPr>
      </w:pPr>
      <w:r>
        <w:rPr>
          <w:rFonts w:hint="eastAsia" w:ascii="宋体" w:hAnsi="宋体" w:cs="宋体"/>
          <w:kern w:val="0"/>
          <w:szCs w:val="21"/>
        </w:rPr>
        <w:t>联系人：劳老师 电话：（0755）2653 1103</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九</w:t>
      </w:r>
      <w:r>
        <w:rPr>
          <w:rFonts w:ascii="宋体" w:hAnsi="宋体" w:cs="宋体"/>
          <w:kern w:val="0"/>
          <w:szCs w:val="21"/>
        </w:rPr>
        <w:t>、公告期</w:t>
      </w:r>
      <w:r>
        <w:rPr>
          <w:rFonts w:hint="eastAsia" w:ascii="宋体" w:hAnsi="宋体" w:cs="宋体"/>
          <w:kern w:val="0"/>
          <w:szCs w:val="21"/>
        </w:rPr>
        <w:t>限</w:t>
      </w:r>
      <w:r>
        <w:rPr>
          <w:rFonts w:ascii="宋体" w:hAnsi="宋体" w:cs="宋体"/>
          <w:kern w:val="0"/>
          <w:szCs w:val="21"/>
        </w:rPr>
        <w:t>：</w:t>
      </w:r>
    </w:p>
    <w:p>
      <w:pPr>
        <w:widowControl/>
        <w:ind w:firstLine="420" w:firstLineChars="200"/>
        <w:jc w:val="left"/>
        <w:rPr>
          <w:rFonts w:ascii="宋体" w:hAnsi="宋体" w:cs="宋体"/>
          <w:kern w:val="0"/>
          <w:szCs w:val="21"/>
        </w:rPr>
      </w:pPr>
      <w:r>
        <w:rPr>
          <w:rFonts w:hint="eastAsia" w:ascii="宋体" w:hAnsi="宋体" w:cs="宋体"/>
          <w:kern w:val="0"/>
          <w:szCs w:val="21"/>
        </w:rPr>
        <w:t>本公告期限（5个工作日）自</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06</w:t>
      </w:r>
      <w:r>
        <w:rPr>
          <w:rFonts w:hint="eastAsia" w:ascii="宋体" w:hAnsi="宋体" w:cs="宋体"/>
          <w:kern w:val="0"/>
          <w:szCs w:val="21"/>
        </w:rPr>
        <w:t>日至</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rPr>
        <w:t>日止。</w:t>
      </w:r>
    </w:p>
    <w:p>
      <w:pPr>
        <w:ind w:firstLine="735" w:firstLineChars="350"/>
        <w:rPr>
          <w:rFonts w:ascii="宋体" w:hAnsi="宋体" w:cs="宋体"/>
          <w:kern w:val="0"/>
          <w:szCs w:val="21"/>
        </w:rPr>
      </w:pPr>
    </w:p>
    <w:p>
      <w:pPr>
        <w:ind w:firstLine="738" w:firstLineChars="350"/>
        <w:jc w:val="right"/>
        <w:rPr>
          <w:rFonts w:ascii="宋体" w:hAnsi="宋体" w:cs="宋体"/>
          <w:b/>
          <w:kern w:val="0"/>
          <w:szCs w:val="21"/>
        </w:rPr>
      </w:pPr>
      <w:r>
        <w:rPr>
          <w:rFonts w:hint="eastAsia" w:ascii="宋体" w:hAnsi="宋体" w:cs="宋体"/>
          <w:b/>
          <w:kern w:val="0"/>
          <w:szCs w:val="21"/>
        </w:rPr>
        <w:t>深圳大学</w:t>
      </w:r>
      <w:r>
        <w:rPr>
          <w:rFonts w:ascii="宋体" w:hAnsi="宋体" w:cs="宋体"/>
          <w:b/>
          <w:kern w:val="0"/>
          <w:szCs w:val="21"/>
        </w:rPr>
        <w:t>招投标管理中心</w:t>
      </w:r>
    </w:p>
    <w:p>
      <w:pPr>
        <w:ind w:firstLine="738" w:firstLineChars="350"/>
        <w:jc w:val="right"/>
        <w:rPr>
          <w:rFonts w:ascii="宋体" w:hAnsi="宋体" w:cs="宋体"/>
          <w:b/>
          <w:kern w:val="0"/>
          <w:szCs w:val="21"/>
        </w:rPr>
      </w:pPr>
      <w:r>
        <w:rPr>
          <w:rFonts w:ascii="宋体" w:hAnsi="宋体" w:cs="宋体"/>
          <w:b/>
          <w:kern w:val="0"/>
          <w:szCs w:val="21"/>
        </w:rPr>
        <w:t>2021</w:t>
      </w:r>
      <w:r>
        <w:rPr>
          <w:rFonts w:hint="eastAsia" w:ascii="宋体" w:hAnsi="宋体" w:cs="宋体"/>
          <w:b/>
          <w:kern w:val="0"/>
          <w:szCs w:val="21"/>
        </w:rPr>
        <w:t>年</w:t>
      </w:r>
      <w:r>
        <w:rPr>
          <w:rFonts w:hint="eastAsia" w:ascii="宋体" w:hAnsi="宋体" w:cs="宋体"/>
          <w:b/>
          <w:kern w:val="0"/>
          <w:szCs w:val="21"/>
          <w:lang w:val="en-US" w:eastAsia="zh-CN"/>
        </w:rPr>
        <w:t>08</w:t>
      </w:r>
      <w:r>
        <w:rPr>
          <w:rFonts w:hint="eastAsia" w:ascii="宋体" w:hAnsi="宋体" w:cs="宋体"/>
          <w:b/>
          <w:kern w:val="0"/>
          <w:szCs w:val="21"/>
        </w:rPr>
        <w:t>月</w:t>
      </w:r>
      <w:r>
        <w:rPr>
          <w:rFonts w:hint="eastAsia" w:ascii="宋体" w:hAnsi="宋体" w:cs="宋体"/>
          <w:b/>
          <w:kern w:val="0"/>
          <w:szCs w:val="21"/>
          <w:lang w:val="en-US" w:eastAsia="zh-CN"/>
        </w:rPr>
        <w:t>05</w:t>
      </w:r>
      <w:r>
        <w:rPr>
          <w:rFonts w:hint="eastAsia" w:ascii="宋体" w:hAnsi="宋体" w:cs="宋体"/>
          <w:b/>
          <w:kern w:val="0"/>
          <w:szCs w:val="21"/>
        </w:rPr>
        <w:t>日</w:t>
      </w:r>
    </w:p>
    <w:p>
      <w:pPr>
        <w:ind w:firstLine="738" w:firstLineChars="350"/>
        <w:jc w:val="right"/>
        <w:rPr>
          <w:rFonts w:ascii="宋体" w:hAnsi="宋体" w:cs="宋体"/>
          <w:b/>
          <w:kern w:val="0"/>
          <w:szCs w:val="21"/>
        </w:rPr>
      </w:pPr>
    </w:p>
    <w:p>
      <w:pPr>
        <w:pStyle w:val="5"/>
        <w:rPr>
          <w:sz w:val="32"/>
          <w:szCs w:val="32"/>
        </w:rPr>
      </w:pPr>
      <w:r>
        <w:rPr>
          <w:rFonts w:hint="eastAsia"/>
          <w:sz w:val="32"/>
          <w:szCs w:val="32"/>
        </w:rPr>
        <w:t>第二章项目需求</w:t>
      </w:r>
    </w:p>
    <w:p>
      <w:pPr>
        <w:pStyle w:val="5"/>
        <w:spacing w:before="120" w:beforeLines="50" w:after="120" w:afterLines="50"/>
        <w:rPr>
          <w:sz w:val="28"/>
          <w:szCs w:val="28"/>
        </w:rPr>
      </w:pPr>
      <w:bookmarkStart w:id="21" w:name="_Toc73521635"/>
      <w:bookmarkStart w:id="22" w:name="_Toc60560625"/>
      <w:bookmarkStart w:id="23" w:name="_Toc100052364"/>
      <w:bookmarkStart w:id="24" w:name="_Toc101074876"/>
      <w:bookmarkStart w:id="25" w:name="_Toc73521547"/>
      <w:bookmarkStart w:id="26" w:name="_Toc60631620"/>
      <w:bookmarkStart w:id="27" w:name="_Toc73518117"/>
      <w:bookmarkStart w:id="28" w:name="_Toc73517639"/>
      <w:r>
        <w:rPr>
          <w:rFonts w:hint="eastAsia"/>
          <w:sz w:val="28"/>
          <w:szCs w:val="28"/>
        </w:rPr>
        <w:t>一、对通用条款的补充内容</w:t>
      </w:r>
    </w:p>
    <w:bookmarkEnd w:id="21"/>
    <w:bookmarkEnd w:id="22"/>
    <w:bookmarkEnd w:id="23"/>
    <w:bookmarkEnd w:id="24"/>
    <w:bookmarkEnd w:id="25"/>
    <w:bookmarkEnd w:id="26"/>
    <w:bookmarkEnd w:id="27"/>
    <w:bookmarkEnd w:id="28"/>
    <w:tbl>
      <w:tblPr>
        <w:tblStyle w:val="5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60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b/>
              </w:rPr>
            </w:pPr>
            <w:r>
              <w:rPr>
                <w:rFonts w:hint="eastAsia" w:ascii="宋体" w:hAnsi="宋体"/>
                <w:b/>
                <w:color w:val="FF0000"/>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4</w:t>
            </w:r>
          </w:p>
        </w:tc>
        <w:tc>
          <w:tcPr>
            <w:tcW w:w="2160" w:type="dxa"/>
            <w:vAlign w:val="center"/>
          </w:tcPr>
          <w:p>
            <w:pPr>
              <w:rPr>
                <w:rFonts w:ascii="宋体" w:hAnsi="宋体"/>
              </w:rPr>
            </w:pPr>
            <w:r>
              <w:rPr>
                <w:rFonts w:hint="eastAsia" w:ascii="宋体" w:hAnsi="宋体"/>
              </w:rPr>
              <w:t>投标文件的投递</w:t>
            </w:r>
          </w:p>
        </w:tc>
        <w:tc>
          <w:tcPr>
            <w:tcW w:w="5400" w:type="dxa"/>
            <w:vAlign w:val="center"/>
          </w:tcPr>
          <w:p>
            <w:pPr>
              <w:ind w:right="840"/>
              <w:rPr>
                <w:rFonts w:ascii="宋体" w:hAnsi="宋体" w:cs="宋体"/>
                <w:b/>
                <w:kern w:val="0"/>
                <w:szCs w:val="21"/>
              </w:rPr>
            </w:pPr>
            <w:r>
              <w:rPr>
                <w:rFonts w:hint="eastAsia" w:ascii="宋体" w:hAnsi="宋体"/>
              </w:rPr>
              <w:t>投标人必须在招标文件规定的投标截止时间前将密封的投标文件</w:t>
            </w:r>
            <w:r>
              <w:rPr>
                <w:rFonts w:hint="eastAsia" w:ascii="宋体" w:hAnsi="宋体"/>
                <w:b/>
                <w:color w:val="FF0000"/>
              </w:rPr>
              <w:t>邮寄</w:t>
            </w:r>
            <w:r>
              <w:rPr>
                <w:rFonts w:hint="eastAsia" w:ascii="宋体" w:hAnsi="宋体"/>
              </w:rPr>
              <w:t>到深圳大学招投标管理中心</w:t>
            </w:r>
            <w:r>
              <w:rPr>
                <w:color w:val="FF0000"/>
              </w:rPr>
              <w:t>（以快递到达时间为准）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ascii="宋体" w:hAnsi="宋体"/>
              </w:rPr>
              <w:t>5</w:t>
            </w:r>
          </w:p>
        </w:tc>
        <w:tc>
          <w:tcPr>
            <w:tcW w:w="2160" w:type="dxa"/>
            <w:vAlign w:val="center"/>
          </w:tcPr>
          <w:p>
            <w:pPr>
              <w:rPr>
                <w:rFonts w:ascii="宋体" w:hAnsi="宋体"/>
              </w:rPr>
            </w:pPr>
            <w:r>
              <w:rPr>
                <w:rFonts w:hint="eastAsia" w:ascii="宋体" w:hAnsi="宋体"/>
              </w:rPr>
              <w:t>履约担保金额</w:t>
            </w:r>
          </w:p>
        </w:tc>
        <w:tc>
          <w:tcPr>
            <w:tcW w:w="5400" w:type="dxa"/>
            <w:vAlign w:val="center"/>
          </w:tcPr>
          <w:p>
            <w:pPr>
              <w:rPr>
                <w:rFonts w:ascii="宋体" w:hAnsi="宋体"/>
              </w:rPr>
            </w:pPr>
            <w:r>
              <w:rPr>
                <w:rFonts w:ascii="宋体" w:hAnsi="宋体"/>
              </w:rPr>
              <w:t>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6</w:t>
            </w:r>
          </w:p>
        </w:tc>
        <w:tc>
          <w:tcPr>
            <w:tcW w:w="2160" w:type="dxa"/>
            <w:vAlign w:val="center"/>
          </w:tcPr>
          <w:p>
            <w:pPr>
              <w:rPr>
                <w:rFonts w:ascii="宋体" w:hAnsi="宋体"/>
              </w:rPr>
            </w:pPr>
            <w:r>
              <w:rPr>
                <w:rFonts w:hint="eastAsia" w:ascii="宋体" w:hAnsi="宋体"/>
              </w:rPr>
              <w:t>投标文件</w:t>
            </w:r>
          </w:p>
        </w:tc>
        <w:tc>
          <w:tcPr>
            <w:tcW w:w="5400" w:type="dxa"/>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w:t>
            </w:r>
            <w:r>
              <w:rPr>
                <w:rFonts w:ascii="宋体" w:hAnsi="宋体"/>
              </w:rPr>
              <w:t>数不足</w:t>
            </w:r>
            <w:r>
              <w:rPr>
                <w:rFonts w:hint="eastAsia" w:ascii="宋体" w:hAnsi="宋体"/>
              </w:rPr>
              <w:t>按</w:t>
            </w:r>
            <w:r>
              <w:rPr>
                <w:rFonts w:ascii="宋体" w:hAnsi="宋体"/>
              </w:rPr>
              <w:t>投标无效处理</w:t>
            </w:r>
            <w:r>
              <w:rPr>
                <w:rFonts w:hint="eastAsia" w:ascii="宋体" w:hAnsi="宋体"/>
              </w:rPr>
              <w:t>。</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rPr>
            </w:pPr>
            <w:r>
              <w:rPr>
                <w:rFonts w:hint="eastAsia" w:ascii="宋体" w:hAnsi="宋体"/>
              </w:rPr>
              <w:t>投标文件</w:t>
            </w:r>
            <w:r>
              <w:rPr>
                <w:rFonts w:ascii="宋体" w:hAnsi="宋体"/>
              </w:rPr>
              <w:t>需</w:t>
            </w:r>
            <w:r>
              <w:rPr>
                <w:rFonts w:hint="eastAsia" w:ascii="宋体" w:hAnsi="宋体"/>
              </w:rPr>
              <w:t>投标一览表</w:t>
            </w:r>
            <w:r>
              <w:rPr>
                <w:rFonts w:hint="eastAsia" w:ascii="宋体" w:hAnsi="宋体"/>
                <w:szCs w:val="21"/>
              </w:rPr>
              <w:t>及电子文件光盘需另外再单独密封一份提交。</w:t>
            </w:r>
          </w:p>
        </w:tc>
      </w:tr>
    </w:tbl>
    <w:p>
      <w:pPr>
        <w:rPr>
          <w:b/>
        </w:rPr>
      </w:pPr>
      <w:r>
        <w:rPr>
          <w:rFonts w:hint="eastAsia"/>
          <w:szCs w:val="21"/>
        </w:rPr>
        <w:t>备注：本表为通用条款相关内容的补充和明确，如与通用条款相冲突的以本表为准。</w:t>
      </w:r>
    </w:p>
    <w:p>
      <w:pPr>
        <w:rPr>
          <w:b/>
        </w:rPr>
      </w:pPr>
    </w:p>
    <w:p>
      <w:pPr>
        <w:pStyle w:val="5"/>
        <w:spacing w:before="120" w:beforeLines="50" w:after="120" w:afterLines="50"/>
        <w:rPr>
          <w:sz w:val="28"/>
          <w:szCs w:val="28"/>
        </w:rPr>
      </w:pPr>
      <w:r>
        <w:rPr>
          <w:rFonts w:hint="eastAsia"/>
          <w:sz w:val="28"/>
          <w:szCs w:val="28"/>
        </w:rPr>
        <w:t>二、货物清单</w:t>
      </w:r>
    </w:p>
    <w:p>
      <w:pPr>
        <w:jc w:val="left"/>
        <w:rPr>
          <w:rFonts w:ascii="宋体" w:hAnsi="宋体"/>
          <w:b/>
          <w:sz w:val="24"/>
        </w:rPr>
      </w:pPr>
      <w:r>
        <w:rPr>
          <w:rFonts w:hint="eastAsia" w:ascii="宋体" w:hAnsi="宋体"/>
          <w:b/>
          <w:sz w:val="24"/>
        </w:rPr>
        <w:t>（一）货物总清单</w:t>
      </w:r>
    </w:p>
    <w:tbl>
      <w:tblPr>
        <w:tblStyle w:val="54"/>
        <w:tblpPr w:leftFromText="180" w:rightFromText="180" w:vertAnchor="text" w:horzAnchor="margin" w:tblpY="173"/>
        <w:tblW w:w="7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05"/>
        <w:gridCol w:w="1276"/>
        <w:gridCol w:w="709"/>
        <w:gridCol w:w="709"/>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序号</w:t>
            </w:r>
          </w:p>
        </w:tc>
        <w:tc>
          <w:tcPr>
            <w:tcW w:w="1605" w:type="dxa"/>
            <w:vAlign w:val="center"/>
          </w:tcPr>
          <w:p>
            <w:pPr>
              <w:jc w:val="center"/>
              <w:rPr>
                <w:bCs/>
                <w:szCs w:val="21"/>
              </w:rPr>
            </w:pPr>
            <w:r>
              <w:rPr>
                <w:rFonts w:hint="eastAsia"/>
                <w:szCs w:val="21"/>
              </w:rPr>
              <w:t>采购计划编号</w:t>
            </w:r>
          </w:p>
        </w:tc>
        <w:tc>
          <w:tcPr>
            <w:tcW w:w="1276" w:type="dxa"/>
            <w:vAlign w:val="center"/>
          </w:tcPr>
          <w:p>
            <w:pPr>
              <w:jc w:val="center"/>
              <w:rPr>
                <w:bCs/>
                <w:szCs w:val="21"/>
              </w:rPr>
            </w:pPr>
            <w:r>
              <w:rPr>
                <w:rFonts w:hint="eastAsia"/>
                <w:bCs/>
                <w:szCs w:val="21"/>
              </w:rPr>
              <w:t>货物名称</w:t>
            </w:r>
          </w:p>
        </w:tc>
        <w:tc>
          <w:tcPr>
            <w:tcW w:w="709" w:type="dxa"/>
            <w:vAlign w:val="center"/>
          </w:tcPr>
          <w:p>
            <w:pPr>
              <w:jc w:val="center"/>
              <w:rPr>
                <w:bCs/>
                <w:szCs w:val="21"/>
              </w:rPr>
            </w:pPr>
            <w:r>
              <w:rPr>
                <w:rFonts w:hint="eastAsia"/>
                <w:bCs/>
                <w:szCs w:val="21"/>
              </w:rPr>
              <w:t>数量</w:t>
            </w:r>
          </w:p>
        </w:tc>
        <w:tc>
          <w:tcPr>
            <w:tcW w:w="709" w:type="dxa"/>
            <w:vAlign w:val="center"/>
          </w:tcPr>
          <w:p>
            <w:pPr>
              <w:jc w:val="center"/>
              <w:rPr>
                <w:bCs/>
                <w:szCs w:val="21"/>
              </w:rPr>
            </w:pPr>
            <w:r>
              <w:rPr>
                <w:rFonts w:hint="eastAsia"/>
                <w:bCs/>
                <w:szCs w:val="21"/>
              </w:rPr>
              <w:t>单位</w:t>
            </w:r>
          </w:p>
        </w:tc>
        <w:tc>
          <w:tcPr>
            <w:tcW w:w="1134" w:type="dxa"/>
            <w:vAlign w:val="center"/>
          </w:tcPr>
          <w:p>
            <w:pPr>
              <w:jc w:val="center"/>
              <w:rPr>
                <w:b/>
                <w:bCs/>
                <w:color w:val="FF0000"/>
                <w:szCs w:val="21"/>
              </w:rPr>
            </w:pPr>
            <w:r>
              <w:rPr>
                <w:rFonts w:hint="eastAsia"/>
                <w:b/>
                <w:bCs/>
                <w:color w:val="FF0000"/>
                <w:szCs w:val="21"/>
              </w:rPr>
              <w:t>备注</w:t>
            </w:r>
          </w:p>
        </w:tc>
        <w:tc>
          <w:tcPr>
            <w:tcW w:w="1418" w:type="dxa"/>
            <w:vAlign w:val="center"/>
          </w:tcPr>
          <w:p>
            <w:pPr>
              <w:jc w:val="center"/>
              <w:rPr>
                <w:b/>
                <w:bCs/>
                <w:color w:val="FF0000"/>
                <w:szCs w:val="21"/>
              </w:rPr>
            </w:pPr>
            <w:r>
              <w:rPr>
                <w:rFonts w:hint="eastAsia"/>
                <w:b/>
                <w:bCs/>
                <w:color w:val="FF0000"/>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71" w:type="dxa"/>
          </w:tcPr>
          <w:p>
            <w:pPr>
              <w:jc w:val="center"/>
              <w:rPr>
                <w:bCs/>
                <w:szCs w:val="21"/>
              </w:rPr>
            </w:pPr>
            <w:r>
              <w:rPr>
                <w:rFonts w:hint="eastAsia"/>
                <w:bCs/>
                <w:szCs w:val="21"/>
              </w:rPr>
              <w:t>1</w:t>
            </w:r>
          </w:p>
        </w:tc>
        <w:tc>
          <w:tcPr>
            <w:tcW w:w="1605" w:type="dxa"/>
          </w:tcPr>
          <w:p>
            <w:pPr>
              <w:jc w:val="center"/>
              <w:rPr>
                <w:bCs/>
                <w:szCs w:val="21"/>
              </w:rPr>
            </w:pPr>
            <w:r>
              <w:rPr>
                <w:bCs/>
                <w:szCs w:val="21"/>
              </w:rPr>
              <w:t>PLAN-2021-440301-0108001001-01581</w:t>
            </w:r>
          </w:p>
        </w:tc>
        <w:tc>
          <w:tcPr>
            <w:tcW w:w="1276" w:type="dxa"/>
            <w:vAlign w:val="center"/>
          </w:tcPr>
          <w:p>
            <w:pPr>
              <w:jc w:val="center"/>
              <w:rPr>
                <w:bCs/>
                <w:szCs w:val="21"/>
              </w:rPr>
            </w:pPr>
            <w:r>
              <w:rPr>
                <w:rFonts w:hint="eastAsia"/>
                <w:bCs/>
                <w:szCs w:val="21"/>
              </w:rPr>
              <w:t>双束型聚焦离子束系统</w:t>
            </w:r>
          </w:p>
        </w:tc>
        <w:tc>
          <w:tcPr>
            <w:tcW w:w="709" w:type="dxa"/>
            <w:vAlign w:val="center"/>
          </w:tcPr>
          <w:p>
            <w:pPr>
              <w:jc w:val="center"/>
              <w:rPr>
                <w:bCs/>
                <w:szCs w:val="21"/>
              </w:rPr>
            </w:pPr>
            <w:r>
              <w:rPr>
                <w:rFonts w:hint="eastAsia"/>
              </w:rPr>
              <w:t>1</w:t>
            </w:r>
          </w:p>
        </w:tc>
        <w:tc>
          <w:tcPr>
            <w:tcW w:w="709" w:type="dxa"/>
            <w:vAlign w:val="center"/>
          </w:tcPr>
          <w:p>
            <w:pPr>
              <w:jc w:val="center"/>
              <w:rPr>
                <w:bCs/>
                <w:szCs w:val="21"/>
              </w:rPr>
            </w:pPr>
            <w:r>
              <w:rPr>
                <w:rFonts w:hint="eastAsia"/>
              </w:rPr>
              <w:t>套</w:t>
            </w:r>
          </w:p>
        </w:tc>
        <w:tc>
          <w:tcPr>
            <w:tcW w:w="1134" w:type="dxa"/>
            <w:vAlign w:val="center"/>
          </w:tcPr>
          <w:p>
            <w:pPr>
              <w:jc w:val="center"/>
              <w:rPr>
                <w:b/>
                <w:bCs/>
                <w:color w:val="FF0000"/>
                <w:szCs w:val="21"/>
              </w:rPr>
            </w:pPr>
            <w:r>
              <w:rPr>
                <w:rFonts w:hint="eastAsia"/>
                <w:b/>
                <w:bCs/>
                <w:color w:val="FF0000"/>
                <w:szCs w:val="21"/>
              </w:rPr>
              <w:t>接受</w:t>
            </w:r>
            <w:r>
              <w:rPr>
                <w:b/>
                <w:bCs/>
                <w:color w:val="FF0000"/>
                <w:szCs w:val="21"/>
              </w:rPr>
              <w:t>进口</w:t>
            </w:r>
          </w:p>
        </w:tc>
        <w:tc>
          <w:tcPr>
            <w:tcW w:w="1418" w:type="dxa"/>
            <w:vAlign w:val="center"/>
          </w:tcPr>
          <w:p>
            <w:pPr>
              <w:jc w:val="center"/>
              <w:rPr>
                <w:bCs/>
                <w:szCs w:val="21"/>
              </w:rPr>
            </w:pPr>
            <w:r>
              <w:rPr>
                <w:bCs/>
                <w:szCs w:val="21"/>
              </w:rPr>
              <w:t>9,000,000.00</w:t>
            </w:r>
          </w:p>
        </w:tc>
      </w:tr>
    </w:tbl>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r>
        <w:rPr>
          <w:rFonts w:ascii="宋体" w:hAnsi="宋体"/>
          <w:b/>
          <w:sz w:val="24"/>
        </w:rPr>
        <w:t>（二</w:t>
      </w:r>
      <w:r>
        <w:rPr>
          <w:rFonts w:hint="eastAsia" w:ascii="宋体" w:hAnsi="宋体"/>
          <w:b/>
          <w:sz w:val="24"/>
        </w:rPr>
        <w:t>）货</w:t>
      </w:r>
      <w:r>
        <w:rPr>
          <w:rFonts w:ascii="宋体" w:hAnsi="宋体"/>
          <w:b/>
          <w:sz w:val="24"/>
        </w:rPr>
        <w:t>物</w:t>
      </w:r>
      <w:r>
        <w:rPr>
          <w:rFonts w:hint="eastAsia" w:ascii="宋体" w:hAnsi="宋体"/>
          <w:b/>
          <w:sz w:val="24"/>
        </w:rPr>
        <w:t>明细</w:t>
      </w:r>
      <w:r>
        <w:rPr>
          <w:rFonts w:ascii="宋体" w:hAnsi="宋体"/>
          <w:b/>
          <w:sz w:val="24"/>
        </w:rPr>
        <w:t>清单</w:t>
      </w:r>
    </w:p>
    <w:tbl>
      <w:tblPr>
        <w:tblStyle w:val="54"/>
        <w:tblpPr w:leftFromText="180" w:rightFromText="180" w:vertAnchor="text" w:horzAnchor="margin" w:tblpY="173"/>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059"/>
        <w:gridCol w:w="2381"/>
        <w:gridCol w:w="709"/>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序号</w:t>
            </w:r>
          </w:p>
        </w:tc>
        <w:tc>
          <w:tcPr>
            <w:tcW w:w="2059" w:type="dxa"/>
            <w:vAlign w:val="center"/>
          </w:tcPr>
          <w:p>
            <w:pPr>
              <w:jc w:val="center"/>
              <w:rPr>
                <w:bCs/>
                <w:szCs w:val="21"/>
              </w:rPr>
            </w:pPr>
            <w:r>
              <w:rPr>
                <w:rFonts w:hint="eastAsia"/>
                <w:szCs w:val="21"/>
              </w:rPr>
              <w:t>采购计划编号</w:t>
            </w:r>
          </w:p>
        </w:tc>
        <w:tc>
          <w:tcPr>
            <w:tcW w:w="2381" w:type="dxa"/>
            <w:vAlign w:val="center"/>
          </w:tcPr>
          <w:p>
            <w:pPr>
              <w:jc w:val="center"/>
              <w:rPr>
                <w:bCs/>
                <w:szCs w:val="21"/>
              </w:rPr>
            </w:pPr>
            <w:r>
              <w:rPr>
                <w:rFonts w:hint="eastAsia"/>
                <w:bCs/>
                <w:szCs w:val="21"/>
              </w:rPr>
              <w:t>货物名称</w:t>
            </w:r>
          </w:p>
        </w:tc>
        <w:tc>
          <w:tcPr>
            <w:tcW w:w="709" w:type="dxa"/>
            <w:vAlign w:val="center"/>
          </w:tcPr>
          <w:p>
            <w:pPr>
              <w:jc w:val="center"/>
              <w:rPr>
                <w:bCs/>
                <w:szCs w:val="21"/>
              </w:rPr>
            </w:pPr>
            <w:r>
              <w:rPr>
                <w:rFonts w:hint="eastAsia"/>
                <w:bCs/>
                <w:szCs w:val="21"/>
              </w:rPr>
              <w:t>数量</w:t>
            </w:r>
          </w:p>
        </w:tc>
        <w:tc>
          <w:tcPr>
            <w:tcW w:w="709" w:type="dxa"/>
            <w:vAlign w:val="center"/>
          </w:tcPr>
          <w:p>
            <w:pPr>
              <w:jc w:val="center"/>
              <w:rPr>
                <w:bCs/>
                <w:szCs w:val="21"/>
              </w:rPr>
            </w:pPr>
            <w:r>
              <w:rPr>
                <w:rFonts w:hint="eastAsia"/>
                <w:bCs/>
                <w:szCs w:val="21"/>
              </w:rPr>
              <w:t>单位</w:t>
            </w:r>
          </w:p>
        </w:tc>
        <w:tc>
          <w:tcPr>
            <w:tcW w:w="1417" w:type="dxa"/>
            <w:vAlign w:val="center"/>
          </w:tcPr>
          <w:p>
            <w:pPr>
              <w:jc w:val="center"/>
              <w:rPr>
                <w:b/>
                <w:bCs/>
                <w:color w:val="FF0000"/>
                <w:szCs w:val="21"/>
              </w:rPr>
            </w:pPr>
            <w:r>
              <w:rPr>
                <w:rFonts w:hint="eastAsia"/>
                <w:b/>
                <w:bCs/>
                <w:color w:val="FF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bCs/>
                <w:szCs w:val="21"/>
              </w:rPr>
            </w:pPr>
            <w:r>
              <w:rPr>
                <w:rFonts w:hint="eastAsia"/>
                <w:bCs/>
                <w:szCs w:val="21"/>
              </w:rPr>
              <w:t>1</w:t>
            </w:r>
          </w:p>
        </w:tc>
        <w:tc>
          <w:tcPr>
            <w:tcW w:w="2059" w:type="dxa"/>
            <w:vMerge w:val="restart"/>
            <w:vAlign w:val="center"/>
          </w:tcPr>
          <w:p>
            <w:pPr>
              <w:jc w:val="center"/>
              <w:rPr>
                <w:bCs/>
                <w:szCs w:val="21"/>
              </w:rPr>
            </w:pPr>
            <w:r>
              <w:rPr>
                <w:bCs/>
                <w:szCs w:val="21"/>
              </w:rPr>
              <w:t>PLAN-2021-440301-0108001001-01581</w:t>
            </w:r>
          </w:p>
        </w:tc>
        <w:tc>
          <w:tcPr>
            <w:tcW w:w="238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szCs w:val="21"/>
              </w:rPr>
              <w:t>双束型聚焦离子束系统</w:t>
            </w:r>
          </w:p>
        </w:tc>
        <w:tc>
          <w:tcPr>
            <w:tcW w:w="709" w:type="dxa"/>
            <w:vAlign w:val="center"/>
          </w:tcPr>
          <w:p>
            <w:pPr>
              <w:jc w:val="center"/>
              <w:rPr>
                <w:bCs/>
                <w:szCs w:val="21"/>
              </w:rPr>
            </w:pPr>
            <w:r>
              <w:rPr>
                <w:rFonts w:hint="eastAsia"/>
              </w:rPr>
              <w:t>1</w:t>
            </w:r>
          </w:p>
        </w:tc>
        <w:tc>
          <w:tcPr>
            <w:tcW w:w="709" w:type="dxa"/>
          </w:tcPr>
          <w:p>
            <w:r>
              <w:rPr>
                <w:rFonts w:hint="eastAsia"/>
              </w:rPr>
              <w:t>套</w:t>
            </w:r>
          </w:p>
        </w:tc>
        <w:tc>
          <w:tcPr>
            <w:tcW w:w="1417" w:type="dxa"/>
            <w:vAlign w:val="center"/>
          </w:tcPr>
          <w:p>
            <w:pPr>
              <w:jc w:val="center"/>
              <w:rPr>
                <w:bCs/>
                <w:szCs w:val="21"/>
              </w:rPr>
            </w:pPr>
            <w:r>
              <w:rPr>
                <w:rFonts w:hint="eastAsia"/>
                <w:b/>
                <w:bCs/>
                <w:color w:val="FF000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bCs/>
                <w:szCs w:val="21"/>
              </w:rPr>
            </w:pPr>
            <w:r>
              <w:rPr>
                <w:rFonts w:hint="eastAsia"/>
                <w:bCs/>
                <w:szCs w:val="21"/>
              </w:rPr>
              <w:t>2</w:t>
            </w:r>
          </w:p>
        </w:tc>
        <w:tc>
          <w:tcPr>
            <w:tcW w:w="2059" w:type="dxa"/>
            <w:vMerge w:val="continue"/>
          </w:tcPr>
          <w:p>
            <w:pPr>
              <w:jc w:val="center"/>
              <w:rPr>
                <w:bCs/>
                <w:szCs w:val="21"/>
              </w:rPr>
            </w:pPr>
          </w:p>
        </w:tc>
        <w:tc>
          <w:tcPr>
            <w:tcW w:w="2381" w:type="dxa"/>
            <w:vAlign w:val="center"/>
          </w:tcPr>
          <w:p>
            <w:pPr>
              <w:jc w:val="center"/>
              <w:rPr>
                <w:rFonts w:asciiTheme="minorEastAsia" w:hAnsiTheme="minorEastAsia" w:eastAsiaTheme="minorEastAsia"/>
                <w:bCs/>
                <w:szCs w:val="21"/>
              </w:rPr>
            </w:pPr>
            <w:r>
              <w:rPr>
                <w:rFonts w:hint="eastAsia" w:ascii="宋体" w:hAnsi="宋体"/>
                <w:szCs w:val="21"/>
              </w:rPr>
              <w:t>能谱仪</w:t>
            </w:r>
          </w:p>
        </w:tc>
        <w:tc>
          <w:tcPr>
            <w:tcW w:w="709" w:type="dxa"/>
            <w:vAlign w:val="center"/>
          </w:tcPr>
          <w:p>
            <w:pPr>
              <w:jc w:val="center"/>
              <w:rPr>
                <w:bCs/>
                <w:szCs w:val="21"/>
              </w:rPr>
            </w:pPr>
            <w:r>
              <w:rPr>
                <w:rFonts w:hint="eastAsia"/>
              </w:rPr>
              <w:t>1</w:t>
            </w:r>
          </w:p>
        </w:tc>
        <w:tc>
          <w:tcPr>
            <w:tcW w:w="709" w:type="dxa"/>
          </w:tcPr>
          <w:p>
            <w:r>
              <w:rPr>
                <w:rFonts w:hint="eastAsia"/>
              </w:rPr>
              <w:t>套</w:t>
            </w:r>
          </w:p>
        </w:tc>
        <w:tc>
          <w:tcPr>
            <w:tcW w:w="1417" w:type="dxa"/>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bCs/>
                <w:szCs w:val="21"/>
              </w:rPr>
            </w:pPr>
            <w:r>
              <w:rPr>
                <w:rFonts w:hint="eastAsia"/>
                <w:bCs/>
                <w:szCs w:val="21"/>
              </w:rPr>
              <w:t>3</w:t>
            </w:r>
          </w:p>
        </w:tc>
        <w:tc>
          <w:tcPr>
            <w:tcW w:w="2059" w:type="dxa"/>
            <w:vMerge w:val="continue"/>
          </w:tcPr>
          <w:p>
            <w:pPr>
              <w:jc w:val="center"/>
              <w:rPr>
                <w:bCs/>
                <w:szCs w:val="21"/>
              </w:rPr>
            </w:pPr>
          </w:p>
        </w:tc>
        <w:tc>
          <w:tcPr>
            <w:tcW w:w="2381" w:type="dxa"/>
            <w:vAlign w:val="center"/>
          </w:tcPr>
          <w:p>
            <w:pPr>
              <w:jc w:val="center"/>
              <w:rPr>
                <w:rFonts w:asciiTheme="minorEastAsia" w:hAnsiTheme="minorEastAsia" w:eastAsiaTheme="minorEastAsia"/>
                <w:bCs/>
                <w:szCs w:val="21"/>
              </w:rPr>
            </w:pPr>
            <w:r>
              <w:rPr>
                <w:rFonts w:hint="eastAsia" w:ascii="宋体" w:hAnsi="宋体"/>
                <w:szCs w:val="21"/>
              </w:rPr>
              <w:t>离子溅射仪</w:t>
            </w:r>
          </w:p>
        </w:tc>
        <w:tc>
          <w:tcPr>
            <w:tcW w:w="709" w:type="dxa"/>
            <w:vAlign w:val="center"/>
          </w:tcPr>
          <w:p>
            <w:pPr>
              <w:jc w:val="center"/>
              <w:rPr>
                <w:bCs/>
                <w:szCs w:val="21"/>
              </w:rPr>
            </w:pPr>
            <w:r>
              <w:rPr>
                <w:rFonts w:hint="eastAsia"/>
              </w:rPr>
              <w:t>1</w:t>
            </w:r>
          </w:p>
        </w:tc>
        <w:tc>
          <w:tcPr>
            <w:tcW w:w="709" w:type="dxa"/>
          </w:tcPr>
          <w:p>
            <w:r>
              <w:rPr>
                <w:rFonts w:hint="eastAsia"/>
              </w:rPr>
              <w:t>套</w:t>
            </w:r>
          </w:p>
        </w:tc>
        <w:tc>
          <w:tcPr>
            <w:tcW w:w="1417" w:type="dxa"/>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771" w:type="dxa"/>
          </w:tcPr>
          <w:p>
            <w:pPr>
              <w:jc w:val="center"/>
              <w:rPr>
                <w:bCs/>
                <w:szCs w:val="21"/>
              </w:rPr>
            </w:pPr>
            <w:r>
              <w:rPr>
                <w:rFonts w:hint="eastAsia"/>
                <w:bCs/>
                <w:szCs w:val="21"/>
              </w:rPr>
              <w:t>4</w:t>
            </w:r>
          </w:p>
        </w:tc>
        <w:tc>
          <w:tcPr>
            <w:tcW w:w="2059" w:type="dxa"/>
            <w:vMerge w:val="continue"/>
          </w:tcPr>
          <w:p>
            <w:pPr>
              <w:jc w:val="center"/>
              <w:rPr>
                <w:bCs/>
                <w:szCs w:val="21"/>
              </w:rPr>
            </w:pPr>
          </w:p>
        </w:tc>
        <w:tc>
          <w:tcPr>
            <w:tcW w:w="2381" w:type="dxa"/>
            <w:vAlign w:val="center"/>
          </w:tcPr>
          <w:p>
            <w:pPr>
              <w:jc w:val="center"/>
              <w:rPr>
                <w:rFonts w:ascii="宋体" w:hAnsi="宋体"/>
                <w:szCs w:val="21"/>
              </w:rPr>
            </w:pPr>
            <w:r>
              <w:rPr>
                <w:rFonts w:hint="eastAsia" w:ascii="宋体" w:hAnsi="宋体"/>
                <w:szCs w:val="21"/>
              </w:rPr>
              <w:t>主动消磁器</w:t>
            </w:r>
          </w:p>
        </w:tc>
        <w:tc>
          <w:tcPr>
            <w:tcW w:w="709" w:type="dxa"/>
            <w:vAlign w:val="center"/>
          </w:tcPr>
          <w:p>
            <w:pPr>
              <w:jc w:val="center"/>
            </w:pPr>
            <w:r>
              <w:rPr>
                <w:rFonts w:hint="eastAsia"/>
              </w:rPr>
              <w:t>1</w:t>
            </w:r>
          </w:p>
        </w:tc>
        <w:tc>
          <w:tcPr>
            <w:tcW w:w="709" w:type="dxa"/>
          </w:tcPr>
          <w:p>
            <w:r>
              <w:rPr>
                <w:rFonts w:hint="eastAsia"/>
              </w:rPr>
              <w:t>套</w:t>
            </w:r>
          </w:p>
        </w:tc>
        <w:tc>
          <w:tcPr>
            <w:tcW w:w="1417" w:type="dxa"/>
          </w:tcPr>
          <w:p>
            <w:pPr>
              <w:jc w:val="center"/>
              <w:rPr>
                <w:bCs/>
                <w:szCs w:val="21"/>
                <w:highlight w:val="yellow"/>
              </w:rPr>
            </w:pPr>
          </w:p>
        </w:tc>
      </w:tr>
    </w:tbl>
    <w:p>
      <w:pPr>
        <w:jc w:val="left"/>
        <w:rPr>
          <w:rFonts w:ascii="宋体" w:hAnsi="宋体"/>
          <w:b/>
          <w:sz w:val="24"/>
        </w:rPr>
      </w:pPr>
    </w:p>
    <w:p>
      <w:pPr>
        <w:jc w:val="left"/>
        <w:rPr>
          <w:rFonts w:ascii="宋体" w:hAnsi="宋体"/>
          <w:b/>
          <w:sz w:val="24"/>
        </w:rPr>
      </w:pPr>
    </w:p>
    <w:p>
      <w:pPr>
        <w:pStyle w:val="5"/>
        <w:spacing w:before="120" w:beforeLines="50" w:after="120" w:afterLines="50"/>
        <w:rPr>
          <w:sz w:val="28"/>
          <w:szCs w:val="28"/>
        </w:rPr>
      </w:pPr>
      <w:r>
        <w:rPr>
          <w:rFonts w:hint="eastAsia"/>
          <w:sz w:val="28"/>
          <w:szCs w:val="28"/>
        </w:rPr>
        <w:t>三、具体技术要求</w:t>
      </w:r>
    </w:p>
    <w:p>
      <w:pPr>
        <w:rPr>
          <w:b/>
          <w:szCs w:val="21"/>
        </w:rPr>
      </w:pPr>
      <w:r>
        <w:rPr>
          <w:rFonts w:hint="eastAsia"/>
          <w:b/>
          <w:szCs w:val="21"/>
        </w:rPr>
        <w:t>说明：1. 投标人须如实填写《技术规格偏离表》，并按招标文件的要求提供相关证明资料，包括产品原厂说明书或产品彩页等。提供的证明资料与投标响应情况不相符的，视为《技术规格偏离表》填写不实。</w:t>
      </w:r>
    </w:p>
    <w:p>
      <w:pPr>
        <w:rPr>
          <w:b/>
          <w:szCs w:val="21"/>
        </w:rPr>
      </w:pPr>
      <w:r>
        <w:rPr>
          <w:rFonts w:hint="eastAsia"/>
          <w:b/>
          <w:szCs w:val="21"/>
        </w:rPr>
        <w:t xml:space="preserve">      2. 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pPr>
        <w:rPr>
          <w:b/>
          <w:szCs w:val="21"/>
        </w:rPr>
      </w:pPr>
    </w:p>
    <w:p>
      <w:pPr>
        <w:rPr>
          <w:b/>
          <w:szCs w:val="21"/>
        </w:rPr>
      </w:pPr>
    </w:p>
    <w:tbl>
      <w:tblPr>
        <w:tblStyle w:val="54"/>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vAlign w:val="center"/>
          </w:tcPr>
          <w:p>
            <w:pPr>
              <w:jc w:val="center"/>
              <w:rPr>
                <w:szCs w:val="21"/>
              </w:rPr>
            </w:pPr>
            <w:r>
              <w:rPr>
                <w:rFonts w:hint="eastAsia"/>
                <w:szCs w:val="21"/>
              </w:rPr>
              <w:t>序号</w:t>
            </w:r>
          </w:p>
        </w:tc>
        <w:tc>
          <w:tcPr>
            <w:tcW w:w="1980" w:type="dxa"/>
            <w:vAlign w:val="center"/>
          </w:tcPr>
          <w:p>
            <w:pPr>
              <w:widowControl/>
              <w:jc w:val="center"/>
              <w:rPr>
                <w:szCs w:val="21"/>
              </w:rPr>
            </w:pPr>
            <w:r>
              <w:rPr>
                <w:rFonts w:hint="eastAsia"/>
                <w:szCs w:val="21"/>
              </w:rPr>
              <w:t>货物名称</w:t>
            </w:r>
          </w:p>
        </w:tc>
        <w:tc>
          <w:tcPr>
            <w:tcW w:w="5580" w:type="dxa"/>
            <w:vAlign w:val="center"/>
          </w:tcPr>
          <w:p>
            <w:pPr>
              <w:jc w:val="center"/>
              <w:rPr>
                <w:szCs w:val="21"/>
              </w:rPr>
            </w:pPr>
            <w:r>
              <w:rPr>
                <w:rFonts w:hint="eastAsia"/>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restart"/>
            <w:vAlign w:val="center"/>
          </w:tcPr>
          <w:p>
            <w:pPr>
              <w:jc w:val="center"/>
              <w:rPr>
                <w:b/>
                <w:szCs w:val="21"/>
              </w:rPr>
            </w:pPr>
            <w:r>
              <w:rPr>
                <w:b/>
                <w:szCs w:val="21"/>
              </w:rPr>
              <w:t>1</w:t>
            </w:r>
          </w:p>
        </w:tc>
        <w:tc>
          <w:tcPr>
            <w:tcW w:w="1980" w:type="dxa"/>
            <w:vMerge w:val="restart"/>
            <w:vAlign w:val="center"/>
          </w:tcPr>
          <w:p>
            <w:pPr>
              <w:jc w:val="center"/>
              <w:rPr>
                <w:b/>
                <w:szCs w:val="21"/>
              </w:rPr>
            </w:pPr>
            <w:r>
              <w:rPr>
                <w:rFonts w:hint="eastAsia" w:asciiTheme="minorEastAsia" w:hAnsiTheme="minorEastAsia" w:eastAsiaTheme="minorEastAsia"/>
                <w:b/>
                <w:bCs/>
                <w:szCs w:val="21"/>
              </w:rPr>
              <w:t>双束型聚焦离子束系统</w:t>
            </w:r>
          </w:p>
        </w:tc>
        <w:tc>
          <w:tcPr>
            <w:tcW w:w="5580" w:type="dxa"/>
            <w:vAlign w:val="center"/>
          </w:tcPr>
          <w:p>
            <w:pPr>
              <w:rPr>
                <w:b/>
                <w:bCs/>
              </w:rPr>
            </w:pPr>
            <w:r>
              <w:rPr>
                <w:rFonts w:hint="eastAsia"/>
                <w:b/>
                <w:bCs/>
              </w:rPr>
              <w:t>1.1双束型聚焦离子束系统功能要求：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b/>
                <w:szCs w:val="21"/>
              </w:rPr>
              <w:t>★</w:t>
            </w:r>
            <w:r>
              <w:rPr>
                <w:rFonts w:hint="eastAsia"/>
                <w:szCs w:val="21"/>
              </w:rPr>
              <w:t>1.1.1可</w:t>
            </w:r>
            <w:r>
              <w:rPr>
                <w:szCs w:val="21"/>
              </w:rPr>
              <w:t>用于金属、半导体、电介质、多层膜结构等固体样品上制备微纳结构</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1.1.2具有</w:t>
            </w:r>
            <w:r>
              <w:rPr>
                <w:szCs w:val="21"/>
              </w:rPr>
              <w:t>高质量定点TEM样品制备</w:t>
            </w:r>
            <w:r>
              <w:rPr>
                <w:rFonts w:hint="eastAsia"/>
                <w:color w:val="000000" w:themeColor="text1"/>
                <w:szCs w:val="21"/>
                <w14:textFill>
                  <w14:solidFill>
                    <w14:schemeClr w14:val="tx1"/>
                  </w14:solidFill>
                </w14:textFill>
              </w:rPr>
              <w:t>、自动TEM样品制备功能；</w:t>
            </w:r>
            <w:r>
              <w:rPr>
                <w:rFonts w:hint="eastAsia"/>
                <w:szCs w:val="21"/>
              </w:rPr>
              <w:t>具有</w:t>
            </w:r>
            <w:r>
              <w:rPr>
                <w:szCs w:val="21"/>
              </w:rPr>
              <w:t>离子束刻蚀、离子束沉积、电子束沉积</w:t>
            </w:r>
            <w:r>
              <w:rPr>
                <w:rFonts w:hint="eastAsia"/>
                <w:szCs w:val="21"/>
              </w:rPr>
              <w:t>功能；</w:t>
            </w:r>
            <w:r>
              <w:rPr>
                <w:szCs w:val="21"/>
              </w:rPr>
              <w:t>高分辨扫描电镜功能可对离子束加工试样进行实时观测</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b/>
                <w:bCs/>
                <w:szCs w:val="21"/>
              </w:rPr>
            </w:pPr>
            <w:r>
              <w:rPr>
                <w:rFonts w:hint="eastAsia"/>
                <w:b/>
                <w:bCs/>
                <w:szCs w:val="21"/>
              </w:rPr>
              <w:t>1.2离子束系统参数要求：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b/>
                <w:szCs w:val="21"/>
              </w:rPr>
              <w:t>★</w:t>
            </w:r>
            <w:r>
              <w:rPr>
                <w:rFonts w:hint="eastAsia"/>
                <w:szCs w:val="21"/>
              </w:rPr>
              <w:t>1.2.1离子源种类：液态Ga离子源；离子源寿命：≥1000小时；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1.2.2 交叉点分辨率：</w:t>
            </w:r>
          </w:p>
          <w:p>
            <w:pPr>
              <w:rPr>
                <w:szCs w:val="21"/>
              </w:rPr>
            </w:pPr>
            <w:r>
              <w:rPr>
                <w:rFonts w:hint="eastAsia"/>
                <w:szCs w:val="21"/>
              </w:rPr>
              <w:t>≤4.0nm @ 30kV (采用Multi-edge平均值法测量方式)</w:t>
            </w:r>
          </w:p>
          <w:p>
            <w:pPr>
              <w:rPr>
                <w:szCs w:val="21"/>
              </w:rPr>
            </w:pPr>
            <w:r>
              <w:rPr>
                <w:rFonts w:hint="eastAsia"/>
                <w:szCs w:val="21"/>
              </w:rPr>
              <w:t>≤2.5nm @ 30kV (采用Selective-edge平均值法测量方式)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1.2.3加速电压范围：0.5kV - 30 kV；束流强度范围：1pA - 100nA；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1.2.</w:t>
            </w:r>
            <w:r>
              <w:rPr>
                <w:szCs w:val="21"/>
              </w:rPr>
              <w:t>6辅助气体注入系统</w:t>
            </w:r>
            <w:r>
              <w:rPr>
                <w:rFonts w:hint="eastAsia"/>
                <w:szCs w:val="21"/>
              </w:rPr>
              <w:t>，</w:t>
            </w:r>
            <w:r>
              <w:rPr>
                <w:szCs w:val="21"/>
              </w:rPr>
              <w:t>拥有独立的分离式气体注入系统，可重新配置；具备金属沉积系统，可在离子束、电子束诱导下进行</w:t>
            </w:r>
            <w:r>
              <w:rPr>
                <w:rFonts w:hint="eastAsia"/>
                <w:szCs w:val="21"/>
              </w:rPr>
              <w:t>W</w:t>
            </w:r>
            <w:r>
              <w:rPr>
                <w:szCs w:val="21"/>
              </w:rPr>
              <w:t>等金属的沉积</w:t>
            </w:r>
            <w:r>
              <w:rPr>
                <w:vanish/>
                <w:szCs w:val="21"/>
              </w:rPr>
              <w:t>end ess is less than</w:t>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szCs w:val="21"/>
              </w:rPr>
              <w:t>；</w:t>
            </w:r>
            <w:r>
              <w:rPr>
                <w:rFonts w:hint="eastAsia"/>
                <w:szCs w:val="21"/>
              </w:rPr>
              <w:t>不少于</w:t>
            </w:r>
            <w:r>
              <w:rPr>
                <w:szCs w:val="21"/>
              </w:rPr>
              <w:t>5种气体注入系统</w:t>
            </w:r>
            <w:r>
              <w:rPr>
                <w:rFonts w:hint="eastAsia"/>
                <w:szCs w:val="21"/>
              </w:rPr>
              <w:t>可选</w:t>
            </w:r>
            <w:r>
              <w:rPr>
                <w:szCs w:val="21"/>
              </w:rPr>
              <w:t>，拥有10种以上备选过程方案；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1.2.</w:t>
            </w:r>
            <w:r>
              <w:rPr>
                <w:rFonts w:hint="eastAsia"/>
                <w:szCs w:val="21"/>
                <w:lang w:val="en-US" w:eastAsia="zh-CN"/>
              </w:rPr>
              <w:t>7</w:t>
            </w:r>
            <w:r>
              <w:rPr>
                <w:rFonts w:hint="eastAsia"/>
                <w:szCs w:val="21"/>
              </w:rPr>
              <w:t>具备束流测量装置；具备实时观察离子束加工的监控功能。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b/>
                <w:bCs/>
                <w:szCs w:val="21"/>
              </w:rPr>
            </w:pPr>
            <w:r>
              <w:rPr>
                <w:rFonts w:hint="eastAsia"/>
                <w:b/>
                <w:bCs/>
                <w:szCs w:val="21"/>
              </w:rPr>
              <w:t>1.3电子束系统参数要求：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▲1.3.1</w:t>
            </w:r>
            <w:r>
              <w:rPr>
                <w:szCs w:val="21"/>
              </w:rPr>
              <w:t>电子枪类型：肖特基（ZrO/W）场发射灯丝</w:t>
            </w:r>
            <w:r>
              <w:rPr>
                <w:rFonts w:hint="eastAsia"/>
                <w:szCs w:val="21"/>
              </w:rPr>
              <w:t>，配有UC技术 (单色器)；</w:t>
            </w:r>
            <w:r>
              <w:rPr>
                <w:szCs w:val="21"/>
              </w:rPr>
              <w:t>样品加工后，能快速切换到电子束检查与成像</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▲1.3.2</w:t>
            </w:r>
            <w:r>
              <w:rPr>
                <w:szCs w:val="21"/>
              </w:rPr>
              <w:t>分辨率：</w:t>
            </w:r>
          </w:p>
          <w:p>
            <w:pPr>
              <w:rPr>
                <w:szCs w:val="21"/>
              </w:rPr>
            </w:pPr>
            <w:r>
              <w:rPr>
                <w:szCs w:val="21"/>
              </w:rPr>
              <w:t>在最佳工作距离：</w:t>
            </w:r>
            <w:r>
              <w:rPr>
                <w:rFonts w:hint="eastAsia"/>
                <w:szCs w:val="21"/>
              </w:rPr>
              <w:t>≤</w:t>
            </w:r>
            <w:r>
              <w:rPr>
                <w:szCs w:val="21"/>
              </w:rPr>
              <w:t>0.</w:t>
            </w:r>
            <w:r>
              <w:rPr>
                <w:rFonts w:hint="eastAsia"/>
                <w:szCs w:val="21"/>
              </w:rPr>
              <w:t>6</w:t>
            </w:r>
            <w:r>
              <w:rPr>
                <w:szCs w:val="21"/>
              </w:rPr>
              <w:t>nm @ 15kV</w:t>
            </w:r>
            <w:r>
              <w:rPr>
                <w:rFonts w:hint="eastAsia"/>
                <w:szCs w:val="21"/>
              </w:rPr>
              <w:t>~2kV</w:t>
            </w:r>
            <w:r>
              <w:rPr>
                <w:szCs w:val="21"/>
              </w:rPr>
              <w:t>；</w:t>
            </w:r>
            <w:r>
              <w:rPr>
                <w:rFonts w:hint="eastAsia"/>
                <w:szCs w:val="21"/>
              </w:rPr>
              <w:t>≤0.7nm @ 1kV；</w:t>
            </w:r>
            <w:r>
              <w:rPr>
                <w:szCs w:val="21"/>
              </w:rPr>
              <w:t>在束交叉点分辨率：</w:t>
            </w:r>
            <w:r>
              <w:rPr>
                <w:rFonts w:hint="eastAsia"/>
                <w:szCs w:val="21"/>
              </w:rPr>
              <w:t>≤</w:t>
            </w:r>
            <w:r>
              <w:rPr>
                <w:szCs w:val="21"/>
              </w:rPr>
              <w:t>0</w:t>
            </w:r>
            <w:r>
              <w:rPr>
                <w:rFonts w:hint="eastAsia"/>
                <w:szCs w:val="21"/>
              </w:rPr>
              <w:t>.6</w:t>
            </w:r>
            <w:r>
              <w:rPr>
                <w:szCs w:val="21"/>
              </w:rPr>
              <w:t>nm @ 15kV；</w:t>
            </w:r>
            <w:r>
              <w:rPr>
                <w:rFonts w:hint="eastAsia"/>
                <w:szCs w:val="21"/>
              </w:rPr>
              <w:t>≤1.2</w:t>
            </w:r>
            <w:r>
              <w:rPr>
                <w:szCs w:val="21"/>
              </w:rPr>
              <w:t>nm @ 1kV</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1.3.</w:t>
            </w:r>
            <w:r>
              <w:rPr>
                <w:rFonts w:hint="eastAsia"/>
                <w:szCs w:val="21"/>
                <w:lang w:val="en-US" w:eastAsia="zh-CN"/>
              </w:rPr>
              <w:t>3</w:t>
            </w:r>
            <w:r>
              <w:rPr>
                <w:szCs w:val="21"/>
              </w:rPr>
              <w:t>束交叉点工作距离</w:t>
            </w:r>
            <w:r>
              <w:rPr>
                <w:rFonts w:hint="eastAsia"/>
                <w:szCs w:val="21"/>
              </w:rPr>
              <w:t>范围</w:t>
            </w:r>
            <w:r>
              <w:rPr>
                <w:szCs w:val="21"/>
              </w:rPr>
              <w:t>：</w:t>
            </w:r>
            <w:r>
              <w:rPr>
                <w:rFonts w:hint="eastAsia"/>
                <w:szCs w:val="21"/>
              </w:rPr>
              <w:t>≤</w:t>
            </w:r>
            <w:r>
              <w:rPr>
                <w:szCs w:val="21"/>
              </w:rPr>
              <w:t>4mm</w:t>
            </w:r>
            <w:r>
              <w:rPr>
                <w:rFonts w:hint="eastAsia"/>
                <w:szCs w:val="21"/>
              </w:rPr>
              <w:t>；成像</w:t>
            </w:r>
            <w:r>
              <w:rPr>
                <w:szCs w:val="21"/>
              </w:rPr>
              <w:t>电压</w:t>
            </w:r>
            <w:r>
              <w:rPr>
                <w:rFonts w:hint="eastAsia"/>
                <w:szCs w:val="21"/>
              </w:rPr>
              <w:t>范围</w:t>
            </w:r>
            <w:r>
              <w:rPr>
                <w:szCs w:val="21"/>
              </w:rPr>
              <w:t>：</w:t>
            </w:r>
            <w:r>
              <w:rPr>
                <w:rFonts w:hint="eastAsia"/>
                <w:szCs w:val="21"/>
              </w:rPr>
              <w:t>20</w:t>
            </w:r>
            <w:r>
              <w:rPr>
                <w:szCs w:val="21"/>
              </w:rPr>
              <w:t>V－30KV</w:t>
            </w:r>
            <w:r>
              <w:rPr>
                <w:rFonts w:hint="eastAsia"/>
                <w:szCs w:val="21"/>
              </w:rPr>
              <w:t xml:space="preserve"> (连续可调)；电子束减速模式：-4kV 至 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▲1.3.</w:t>
            </w:r>
            <w:r>
              <w:rPr>
                <w:rFonts w:hint="eastAsia"/>
                <w:szCs w:val="21"/>
                <w:lang w:val="en-US" w:eastAsia="zh-CN"/>
              </w:rPr>
              <w:t>4</w:t>
            </w:r>
            <w:r>
              <w:rPr>
                <w:szCs w:val="21"/>
              </w:rPr>
              <w:t>束流强度</w:t>
            </w:r>
            <w:r>
              <w:rPr>
                <w:rFonts w:hint="eastAsia"/>
                <w:szCs w:val="21"/>
              </w:rPr>
              <w:t>范围</w:t>
            </w:r>
            <w:r>
              <w:rPr>
                <w:szCs w:val="21"/>
              </w:rPr>
              <w:t>：</w:t>
            </w:r>
            <w:r>
              <w:rPr>
                <w:rFonts w:hint="eastAsia"/>
                <w:szCs w:val="21"/>
              </w:rPr>
              <w:t>0.8pA - 100</w:t>
            </w:r>
            <w:r>
              <w:rPr>
                <w:szCs w:val="21"/>
              </w:rPr>
              <w:t>nA</w:t>
            </w:r>
            <w:r>
              <w:rPr>
                <w:rFonts w:hint="eastAsia"/>
                <w:szCs w:val="21"/>
              </w:rPr>
              <w:t>；具备可加热式物镜光阑。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b/>
                <w:bCs/>
                <w:szCs w:val="21"/>
              </w:rPr>
            </w:pPr>
            <w:r>
              <w:rPr>
                <w:rFonts w:hint="eastAsia"/>
                <w:b/>
                <w:bCs/>
                <w:szCs w:val="21"/>
              </w:rPr>
              <w:t>1.4探测器技术要求：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1.4.1配备高真空模式下</w:t>
            </w:r>
            <w:r>
              <w:rPr>
                <w:color w:val="000000" w:themeColor="text1"/>
                <w:szCs w:val="21"/>
                <w14:textFill>
                  <w14:solidFill>
                    <w14:schemeClr w14:val="tx1"/>
                  </w14:solidFill>
                </w14:textFill>
              </w:rPr>
              <w:t>二次电子探</w:t>
            </w:r>
            <w:r>
              <w:rPr>
                <w:rFonts w:hint="eastAsia"/>
                <w:color w:val="000000" w:themeColor="text1"/>
                <w:szCs w:val="21"/>
                <w14:textFill>
                  <w14:solidFill>
                    <w14:schemeClr w14:val="tx1"/>
                  </w14:solidFill>
                </w14:textFill>
              </w:rPr>
              <w:t>测器；配备极靴内探测器，具有二次电子和背散射电子模式；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配备低电压高衬度可伸缩定向背散射电子探测器；配备镜筒内二次电子探测器；配备镜筒内背散射电子探测器；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配备样品导航相机；配备</w:t>
            </w:r>
            <w:r>
              <w:rPr>
                <w:color w:val="000000" w:themeColor="text1"/>
                <w:szCs w:val="21"/>
                <w14:textFill>
                  <w14:solidFill>
                    <w14:schemeClr w14:val="tx1"/>
                  </w14:solidFill>
                </w14:textFill>
              </w:rPr>
              <w:t>样品室红外CCD相机</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b/>
                <w:bCs/>
                <w:szCs w:val="21"/>
              </w:rPr>
            </w:pPr>
            <w:r>
              <w:rPr>
                <w:rFonts w:hint="eastAsia"/>
                <w:b/>
                <w:bCs/>
                <w:szCs w:val="21"/>
              </w:rPr>
              <w:t>1.5真空系统技术要求：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b/>
                <w:szCs w:val="21"/>
              </w:rPr>
              <w:t>★</w:t>
            </w:r>
            <w:r>
              <w:rPr>
                <w:rFonts w:hint="eastAsia"/>
                <w:szCs w:val="21"/>
              </w:rPr>
              <w:t>1.5.1完全无油真空系统：由</w:t>
            </w:r>
            <w:r>
              <w:rPr>
                <w:szCs w:val="21"/>
              </w:rPr>
              <w:t>机械干泵</w:t>
            </w:r>
            <w:r>
              <w:rPr>
                <w:rFonts w:hint="eastAsia"/>
                <w:szCs w:val="21"/>
              </w:rPr>
              <w:t>、</w:t>
            </w:r>
            <w:r>
              <w:rPr>
                <w:szCs w:val="21"/>
              </w:rPr>
              <w:t>涡轮分子泵</w:t>
            </w:r>
            <w:r>
              <w:rPr>
                <w:rFonts w:hint="eastAsia"/>
                <w:szCs w:val="21"/>
              </w:rPr>
              <w:t>和</w:t>
            </w:r>
            <w:r>
              <w:rPr>
                <w:szCs w:val="21"/>
              </w:rPr>
              <w:t>离子泵</w:t>
            </w:r>
            <w:r>
              <w:rPr>
                <w:rFonts w:hint="eastAsia"/>
                <w:szCs w:val="21"/>
              </w:rPr>
              <w:t>构成</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1.5.2</w:t>
            </w:r>
            <w:r>
              <w:rPr>
                <w:szCs w:val="21"/>
              </w:rPr>
              <w:t>样品室真空度：&lt;2.</w:t>
            </w:r>
            <w:r>
              <w:rPr>
                <w:rFonts w:hint="eastAsia"/>
                <w:szCs w:val="21"/>
              </w:rPr>
              <w:t>6</w:t>
            </w:r>
            <w:r>
              <w:rPr>
                <w:szCs w:val="21"/>
              </w:rPr>
              <w:sym w:font="Symbol" w:char="F0B4"/>
            </w:r>
            <w:r>
              <w:rPr>
                <w:szCs w:val="21"/>
              </w:rPr>
              <w:t>10</w:t>
            </w:r>
            <w:r>
              <w:rPr>
                <w:szCs w:val="21"/>
                <w:vertAlign w:val="superscript"/>
              </w:rPr>
              <w:t>-6</w:t>
            </w:r>
            <w:r>
              <w:rPr>
                <w:szCs w:val="21"/>
              </w:rPr>
              <w:t>mBar (连续24小时抽真空后)。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b/>
                <w:szCs w:val="21"/>
              </w:rPr>
            </w:pPr>
            <w:r>
              <w:rPr>
                <w:rFonts w:hint="eastAsia"/>
                <w:b/>
                <w:szCs w:val="21"/>
              </w:rPr>
              <w:t>1.6样品腔室技术要求：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1.6.1样品室要求：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▲1.6.1.1左右内径不小于</w:t>
            </w:r>
            <w:r>
              <w:rPr>
                <w:szCs w:val="21"/>
              </w:rPr>
              <w:t>3</w:t>
            </w:r>
            <w:r>
              <w:rPr>
                <w:rFonts w:hint="eastAsia"/>
                <w:szCs w:val="21"/>
              </w:rPr>
              <w:t>7</w:t>
            </w:r>
            <w:r>
              <w:rPr>
                <w:szCs w:val="21"/>
              </w:rPr>
              <w:t>0mm</w:t>
            </w:r>
            <w:r>
              <w:rPr>
                <w:rFonts w:hint="eastAsia"/>
                <w:szCs w:val="21"/>
              </w:rPr>
              <w:t>；不少于21个附件接口；电子束和离子束交叉点、分析工作距离≤</w:t>
            </w:r>
            <w:r>
              <w:rPr>
                <w:szCs w:val="21"/>
              </w:rPr>
              <w:t>4</w:t>
            </w:r>
            <w:r>
              <w:rPr>
                <w:rFonts w:hint="eastAsia"/>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1.6.1.</w:t>
            </w:r>
            <w:r>
              <w:rPr>
                <w:rFonts w:hint="eastAsia"/>
                <w:szCs w:val="21"/>
                <w:lang w:val="en-US" w:eastAsia="zh-CN"/>
              </w:rPr>
              <w:t>2</w:t>
            </w:r>
            <w:r>
              <w:rPr>
                <w:rFonts w:hint="eastAsia"/>
                <w:szCs w:val="21"/>
              </w:rPr>
              <w:t xml:space="preserve"> 电子束和离子束夹角≤52°；配备一体化等离子清洗装置；配备束流检测装置；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1.6.1.</w:t>
            </w:r>
            <w:r>
              <w:rPr>
                <w:rFonts w:hint="eastAsia"/>
                <w:szCs w:val="21"/>
                <w:lang w:val="en-US" w:eastAsia="zh-CN"/>
              </w:rPr>
              <w:t>3</w:t>
            </w:r>
            <w:r>
              <w:rPr>
                <w:rFonts w:hint="eastAsia"/>
                <w:szCs w:val="21"/>
              </w:rPr>
              <w:t xml:space="preserve"> 配备全自动TEM样品纳米机械手，软件和双束聚焦离子束软件一体化设计；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1.6.1.</w:t>
            </w:r>
            <w:r>
              <w:rPr>
                <w:rFonts w:hint="eastAsia"/>
                <w:szCs w:val="21"/>
                <w:lang w:val="en-US" w:eastAsia="zh-CN"/>
              </w:rPr>
              <w:t>4</w:t>
            </w:r>
            <w:r>
              <w:rPr>
                <w:rFonts w:hint="eastAsia"/>
                <w:szCs w:val="21"/>
              </w:rPr>
              <w:t>配备快速进样装置，快速样品交换仓；快速交换仓容许最大样品直径不小于</w:t>
            </w:r>
            <w:r>
              <w:rPr>
                <w:szCs w:val="21"/>
              </w:rPr>
              <w:t>32mm</w:t>
            </w:r>
            <w:r>
              <w:rPr>
                <w:rFonts w:hint="eastAsia"/>
                <w:szCs w:val="21"/>
              </w:rPr>
              <w:t>，高度不低于</w:t>
            </w:r>
            <w:r>
              <w:rPr>
                <w:szCs w:val="21"/>
              </w:rPr>
              <w:t>10mm</w:t>
            </w:r>
            <w:r>
              <w:rPr>
                <w:rFonts w:hint="eastAsia"/>
                <w:szCs w:val="21"/>
              </w:rPr>
              <w:t>；抽真空时间不慢于</w:t>
            </w:r>
            <w:r>
              <w:rPr>
                <w:szCs w:val="21"/>
              </w:rPr>
              <w:t>3</w:t>
            </w:r>
            <w:r>
              <w:rPr>
                <w:rFonts w:hint="eastAsia"/>
                <w:szCs w:val="21"/>
              </w:rPr>
              <w:t>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1.6.2</w:t>
            </w:r>
            <w:r>
              <w:rPr>
                <w:szCs w:val="21"/>
              </w:rPr>
              <w:t>样品台</w:t>
            </w:r>
            <w:r>
              <w:rPr>
                <w:rFonts w:hint="eastAsia"/>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b/>
                <w:szCs w:val="21"/>
              </w:rPr>
            </w:pPr>
            <w:r>
              <w:rPr>
                <w:rFonts w:hint="eastAsia"/>
                <w:b/>
                <w:szCs w:val="21"/>
              </w:rPr>
              <w:t>★</w:t>
            </w:r>
            <w:r>
              <w:rPr>
                <w:rFonts w:hint="eastAsia"/>
                <w:szCs w:val="21"/>
              </w:rPr>
              <w:t>1.6.2.1配备全自动</w:t>
            </w:r>
            <w:r>
              <w:rPr>
                <w:szCs w:val="21"/>
              </w:rPr>
              <w:t>五轴马达驱动样品台；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▲1.6.2.2</w:t>
            </w:r>
            <w:r>
              <w:rPr>
                <w:szCs w:val="21"/>
              </w:rPr>
              <w:t xml:space="preserve"> XYR</w:t>
            </w:r>
            <w:r>
              <w:rPr>
                <w:rFonts w:hint="eastAsia"/>
                <w:szCs w:val="21"/>
              </w:rPr>
              <w:t>轴由</w:t>
            </w:r>
            <w:r>
              <w:rPr>
                <w:szCs w:val="21"/>
              </w:rPr>
              <w:t>压电陶瓷</w:t>
            </w:r>
            <w:r>
              <w:rPr>
                <w:rFonts w:hint="eastAsia"/>
                <w:szCs w:val="21"/>
              </w:rPr>
              <w:t>驱动，以保证移动精度</w:t>
            </w:r>
            <w:r>
              <w:rPr>
                <w:szCs w:val="21"/>
              </w:rPr>
              <w:t>；X、Y方向移动范围不低于150mm，</w:t>
            </w:r>
            <w:r>
              <w:rPr>
                <w:rFonts w:hint="eastAsia"/>
                <w:szCs w:val="21"/>
              </w:rPr>
              <w:t>重复</w:t>
            </w:r>
            <w:r>
              <w:rPr>
                <w:szCs w:val="21"/>
              </w:rPr>
              <w:t>精度</w:t>
            </w:r>
            <w:r>
              <w:rPr>
                <w:rFonts w:hint="eastAsia"/>
                <w:szCs w:val="21"/>
              </w:rPr>
              <w:t>≤</w:t>
            </w:r>
            <w:r>
              <w:rPr>
                <w:szCs w:val="21"/>
              </w:rPr>
              <w:t>1.0微米</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1.6.2.</w:t>
            </w:r>
            <w:r>
              <w:rPr>
                <w:rFonts w:hint="eastAsia"/>
                <w:szCs w:val="21"/>
                <w:lang w:val="en-US" w:eastAsia="zh-CN"/>
              </w:rPr>
              <w:t>3</w:t>
            </w:r>
            <w:r>
              <w:rPr>
                <w:rFonts w:hint="eastAsia"/>
                <w:szCs w:val="21"/>
              </w:rPr>
              <w:t xml:space="preserve"> Z</w:t>
            </w:r>
            <w:r>
              <w:rPr>
                <w:szCs w:val="21"/>
              </w:rPr>
              <w:t>方向移动范围不低于10mm，可绕Z轴旋转任意角度 (360度)</w:t>
            </w:r>
            <w:r>
              <w:rPr>
                <w:rFonts w:hint="eastAsia"/>
                <w:szCs w:val="21"/>
              </w:rPr>
              <w:t>；</w:t>
            </w:r>
            <w:r>
              <w:rPr>
                <w:szCs w:val="21"/>
              </w:rPr>
              <w:t>倾角范围包含 -</w:t>
            </w:r>
            <w:r>
              <w:rPr>
                <w:rFonts w:hint="eastAsia"/>
                <w:szCs w:val="21"/>
              </w:rPr>
              <w:t>10</w:t>
            </w:r>
            <w:r>
              <w:rPr>
                <w:szCs w:val="21"/>
              </w:rPr>
              <w:t>至60度，X、Y方向最小移动步长</w:t>
            </w:r>
            <w:r>
              <w:rPr>
                <w:rFonts w:hint="eastAsia"/>
                <w:szCs w:val="21"/>
              </w:rPr>
              <w:t>≤</w:t>
            </w:r>
            <w:r>
              <w:rPr>
                <w:szCs w:val="21"/>
              </w:rPr>
              <w:t>100nm</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1.6.2.</w:t>
            </w:r>
            <w:r>
              <w:rPr>
                <w:rFonts w:hint="eastAsia"/>
                <w:szCs w:val="21"/>
                <w:lang w:val="en-US" w:eastAsia="zh-CN"/>
              </w:rPr>
              <w:t>4</w:t>
            </w:r>
            <w:r>
              <w:rPr>
                <w:szCs w:val="21"/>
              </w:rPr>
              <w:t>最大样品直径不小于150mm</w:t>
            </w:r>
            <w:r>
              <w:rPr>
                <w:rFonts w:hint="eastAsia"/>
                <w:szCs w:val="21"/>
              </w:rPr>
              <w:t>；</w:t>
            </w:r>
            <w:r>
              <w:rPr>
                <w:szCs w:val="21"/>
              </w:rPr>
              <w:t>最大样品高度：样品台到束交叉点不小于5</w:t>
            </w:r>
            <w:r>
              <w:rPr>
                <w:rFonts w:hint="eastAsia"/>
                <w:szCs w:val="21"/>
              </w:rPr>
              <w:t>5</w:t>
            </w:r>
            <w:r>
              <w:rPr>
                <w:szCs w:val="21"/>
              </w:rPr>
              <w:t>mm</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b/>
                <w:bCs/>
                <w:szCs w:val="21"/>
              </w:rPr>
            </w:pPr>
            <w:r>
              <w:rPr>
                <w:rFonts w:hint="eastAsia"/>
                <w:b/>
                <w:bCs/>
                <w:szCs w:val="21"/>
              </w:rPr>
              <w:t>1.7空压机和</w:t>
            </w:r>
            <w:r>
              <w:rPr>
                <w:b/>
                <w:bCs/>
                <w:szCs w:val="21"/>
              </w:rPr>
              <w:t>冷却循环水机</w:t>
            </w:r>
            <w:r>
              <w:rPr>
                <w:rFonts w:hint="eastAsia"/>
                <w:b/>
                <w:bCs/>
                <w:szCs w:val="21"/>
              </w:rPr>
              <w:t>要求：</w:t>
            </w:r>
          </w:p>
          <w:p>
            <w:pPr>
              <w:rPr>
                <w:szCs w:val="21"/>
              </w:rPr>
            </w:pPr>
            <w:r>
              <w:rPr>
                <w:rFonts w:hint="eastAsia"/>
                <w:szCs w:val="21"/>
              </w:rPr>
              <w:t>配备</w:t>
            </w:r>
            <w:r>
              <w:rPr>
                <w:szCs w:val="21"/>
              </w:rPr>
              <w:t>有空压机和冷却循环水系统，分别用于冷却SEM镜筒及其它部件</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b/>
                <w:bCs/>
                <w:szCs w:val="21"/>
              </w:rPr>
              <w:t>1.8一体化TEM样品纳米机械手要求</w:t>
            </w:r>
            <w:r>
              <w:rPr>
                <w:rFonts w:hint="eastAsia"/>
                <w:szCs w:val="21"/>
              </w:rPr>
              <w:t>：</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1.8.1 漂移≤</w:t>
            </w:r>
            <w:r>
              <w:rPr>
                <w:szCs w:val="21"/>
              </w:rPr>
              <w:t>10</w:t>
            </w:r>
            <w:r>
              <w:rPr>
                <w:rFonts w:hint="eastAsia"/>
                <w:szCs w:val="21"/>
              </w:rPr>
              <w:t>0nm/min；最小步长≤50nm；重复性≤</w:t>
            </w:r>
            <w:r>
              <w:rPr>
                <w:szCs w:val="21"/>
              </w:rPr>
              <w:t>150 nm</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▲1.8.2旋转：马达驱动；TEM样品纳米机械手软件集成在双束显微镜控制软件中，操作更方便。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b/>
                <w:bCs/>
                <w:szCs w:val="21"/>
              </w:rPr>
            </w:pPr>
            <w:r>
              <w:rPr>
                <w:rFonts w:hint="eastAsia"/>
                <w:b/>
                <w:bCs/>
                <w:szCs w:val="21"/>
              </w:rPr>
              <w:t>1.9沉积和刻蚀气体要求：</w:t>
            </w:r>
          </w:p>
          <w:p>
            <w:pPr>
              <w:rPr>
                <w:szCs w:val="21"/>
              </w:rPr>
            </w:pPr>
            <w:r>
              <w:rPr>
                <w:rFonts w:hint="eastAsia"/>
                <w:szCs w:val="21"/>
              </w:rPr>
              <w:t>包含W沉积、C沉积、Au沉积、IEE增强刻蚀、绝缘体沉积I</w:t>
            </w:r>
            <w:r>
              <w:rPr>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b/>
                <w:bCs/>
                <w:szCs w:val="21"/>
              </w:rPr>
            </w:pPr>
            <w:r>
              <w:rPr>
                <w:rFonts w:hint="eastAsia"/>
                <w:b/>
                <w:bCs/>
                <w:szCs w:val="21"/>
              </w:rPr>
              <w:t>1.10</w:t>
            </w:r>
            <w:r>
              <w:rPr>
                <w:b/>
                <w:bCs/>
                <w:szCs w:val="21"/>
              </w:rPr>
              <w:t>备品备件</w:t>
            </w:r>
            <w:r>
              <w:rPr>
                <w:rFonts w:hint="eastAsia"/>
                <w:b/>
                <w:bCs/>
                <w:szCs w:val="21"/>
              </w:rPr>
              <w:t>要求：</w:t>
            </w:r>
          </w:p>
          <w:p>
            <w:pPr>
              <w:rPr>
                <w:color w:val="FF0000"/>
                <w:szCs w:val="21"/>
              </w:rPr>
            </w:pPr>
            <w:r>
              <w:rPr>
                <w:rFonts w:hint="eastAsia"/>
                <w:szCs w:val="21"/>
              </w:rPr>
              <w:t>UPS、系统罩、维修吊臂、工作台、控制面板、样品夹具套装、样品基座。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color w:val="FF0000"/>
                <w:szCs w:val="21"/>
              </w:rPr>
            </w:pPr>
            <w:r>
              <w:rPr>
                <w:rFonts w:hint="eastAsia"/>
                <w:b/>
                <w:bCs/>
                <w:szCs w:val="21"/>
              </w:rPr>
              <w:t>1.11消耗品要求：</w:t>
            </w:r>
          </w:p>
          <w:p>
            <w:pPr>
              <w:rPr>
                <w:szCs w:val="21"/>
              </w:rPr>
            </w:pPr>
            <w:r>
              <w:rPr>
                <w:rFonts w:hint="eastAsia"/>
                <w:szCs w:val="21"/>
              </w:rPr>
              <w:t>备用一根场发射灯丝（按需发货，灯丝的更换卖方承担人工费和差旅费），备用5套Ga离子源，备用一套</w:t>
            </w:r>
            <w:r>
              <w:rPr>
                <w:szCs w:val="21"/>
              </w:rPr>
              <w:t>IEE</w:t>
            </w:r>
            <w:r>
              <w:rPr>
                <w:rFonts w:hint="eastAsia"/>
                <w:szCs w:val="21"/>
              </w:rPr>
              <w:t>，备用一套</w:t>
            </w:r>
            <w:r>
              <w:rPr>
                <w:szCs w:val="21"/>
              </w:rPr>
              <w:t>W</w:t>
            </w:r>
            <w:r>
              <w:rPr>
                <w:rFonts w:hint="eastAsia"/>
                <w:szCs w:val="21"/>
              </w:rPr>
              <w:t>，备用一套C，备用一套绝缘体I</w:t>
            </w:r>
            <w:r>
              <w:rPr>
                <w:szCs w:val="21"/>
              </w:rPr>
              <w:t>I</w:t>
            </w:r>
            <w:r>
              <w:rPr>
                <w:rFonts w:hint="eastAsia"/>
                <w:szCs w:val="21"/>
              </w:rPr>
              <w:t>，备用一套Au，备用5个牵引极，备用</w:t>
            </w:r>
            <w:r>
              <w:rPr>
                <w:szCs w:val="21"/>
              </w:rPr>
              <w:t>1</w:t>
            </w:r>
            <w:r>
              <w:rPr>
                <w:rFonts w:hint="eastAsia"/>
                <w:szCs w:val="21"/>
              </w:rPr>
              <w:t>个抑制极，备用一套离子束光阑；镊子一把、双面碳导电胶带四卷、银导电胶两件、银导电胶稀释液1瓶。</w:t>
            </w:r>
            <w:r>
              <w:rPr>
                <w:rFonts w:hint="eastAsia"/>
                <w:color w:val="FF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bCs/>
                <w:szCs w:val="21"/>
              </w:rPr>
            </w:pPr>
            <w:r>
              <w:rPr>
                <w:rFonts w:hint="eastAsia"/>
                <w:b/>
                <w:bCs/>
              </w:rPr>
              <w:t>1.1</w:t>
            </w:r>
            <w:r>
              <w:rPr>
                <w:b/>
                <w:bCs/>
              </w:rPr>
              <w:t>2</w:t>
            </w:r>
            <w:r>
              <w:rPr>
                <w:rFonts w:hint="eastAsia"/>
                <w:b/>
                <w:bCs/>
              </w:rPr>
              <w:t>系统控制要求：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szCs w:val="21"/>
              </w:rPr>
            </w:pPr>
            <w:r>
              <w:rPr>
                <w:rFonts w:hint="eastAsia"/>
              </w:rPr>
              <w:t>1.1</w:t>
            </w:r>
            <w:r>
              <w:t>2</w:t>
            </w:r>
            <w:r>
              <w:rPr>
                <w:rFonts w:hint="eastAsia"/>
              </w:rPr>
              <w:t>.1基于Windows 10操作系统的64位图形用户界面，配备键盘，鼠标和控制面板；图像显示：两台24”以上 LCD显示器, SVGA 1280 x 1024以上；图像处理器：驻留时间范围25ns到25ms/pixel；自带16位图像发生器；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szCs w:val="21"/>
              </w:rPr>
            </w:pPr>
            <w:r>
              <w:rPr>
                <w:rFonts w:hint="eastAsia"/>
              </w:rPr>
              <w:t>1.1</w:t>
            </w:r>
            <w:r>
              <w:t>2</w:t>
            </w:r>
            <w:r>
              <w:rPr>
                <w:rFonts w:hint="eastAsia"/>
              </w:rPr>
              <w:t>.</w:t>
            </w:r>
            <w:r>
              <w:rPr>
                <w:rFonts w:hint="eastAsia"/>
                <w:lang w:val="en-US" w:eastAsia="zh-CN"/>
              </w:rPr>
              <w:t>2</w:t>
            </w:r>
            <w:r>
              <w:rPr>
                <w:rFonts w:hint="eastAsia"/>
              </w:rPr>
              <w:t>具备程序制定、改造软件，能控制镜筒，探测器，样品台等的运作模式。</w:t>
            </w:r>
            <w:r>
              <w:rPr>
                <w:rFonts w:hint="eastAsia"/>
                <w:szCs w:val="21"/>
              </w:rPr>
              <w:t>可以软件控制</w:t>
            </w:r>
            <w:r>
              <w:rPr>
                <w:szCs w:val="21"/>
              </w:rPr>
              <w:t>SEM</w:t>
            </w:r>
            <w:r>
              <w:rPr>
                <w:rFonts w:hint="eastAsia"/>
                <w:szCs w:val="21"/>
              </w:rPr>
              <w:t>的自动聚焦、自动亮度对比度；离子束加工和电子束成像可以在不同的样品高度和角度。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bCs/>
                <w:szCs w:val="21"/>
              </w:rPr>
            </w:pPr>
            <w:r>
              <w:rPr>
                <w:rFonts w:hint="eastAsia"/>
                <w:b/>
                <w:bCs/>
              </w:rPr>
              <w:t>1.1</w:t>
            </w:r>
            <w:r>
              <w:rPr>
                <w:b/>
                <w:bCs/>
              </w:rPr>
              <w:t xml:space="preserve">3 </w:t>
            </w:r>
            <w:r>
              <w:rPr>
                <w:rFonts w:hint="eastAsia"/>
                <w:b/>
                <w:bCs/>
              </w:rPr>
              <w:t>软件功能要求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szCs w:val="21"/>
              </w:rPr>
            </w:pPr>
            <w:r>
              <w:rPr>
                <w:rFonts w:hint="eastAsia"/>
              </w:rPr>
              <w:t>1.1</w:t>
            </w:r>
            <w:r>
              <w:t>3</w:t>
            </w:r>
            <w:r>
              <w:rPr>
                <w:rFonts w:hint="eastAsia"/>
              </w:rPr>
              <w:t>.</w:t>
            </w:r>
            <w:r>
              <w:t xml:space="preserve">1 </w:t>
            </w:r>
            <w:r>
              <w:rPr>
                <w:rFonts w:hint="eastAsia"/>
              </w:rPr>
              <w:t>具有智能扫描功能；具有漂移补偿帧积分D</w:t>
            </w:r>
            <w:r>
              <w:t>CFI</w:t>
            </w:r>
            <w:r>
              <w:rPr>
                <w:rFonts w:hint="eastAsia"/>
              </w:rPr>
              <w:t>功能；具有蒙太奇导航功能；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▲1.1</w:t>
            </w:r>
            <w:r>
              <w:rPr>
                <w:szCs w:val="21"/>
              </w:rPr>
              <w:t>3.</w:t>
            </w:r>
            <w:r>
              <w:rPr>
                <w:rFonts w:hint="eastAsia"/>
                <w:szCs w:val="21"/>
                <w:lang w:val="en-US" w:eastAsia="zh-CN"/>
              </w:rPr>
              <w:t>2</w:t>
            </w:r>
            <w:r>
              <w:rPr>
                <w:szCs w:val="21"/>
              </w:rPr>
              <w:t xml:space="preserve"> </w:t>
            </w:r>
            <w:r>
              <w:rPr>
                <w:rFonts w:hint="eastAsia"/>
                <w:szCs w:val="21"/>
              </w:rPr>
              <w:t>具有大视野图像自动采集和拼接软件，可以实现不小于6</w:t>
            </w:r>
            <w:r>
              <w:rPr>
                <w:szCs w:val="21"/>
              </w:rPr>
              <w:t>4K*64K</w:t>
            </w:r>
            <w:r>
              <w:rPr>
                <w:rFonts w:hint="eastAsia"/>
                <w:szCs w:val="21"/>
              </w:rPr>
              <w:t>的图形采集拼接；具有全自动T</w:t>
            </w:r>
            <w:r>
              <w:rPr>
                <w:szCs w:val="21"/>
              </w:rPr>
              <w:t>EM</w:t>
            </w:r>
            <w:r>
              <w:rPr>
                <w:rFonts w:hint="eastAsia"/>
                <w:szCs w:val="21"/>
              </w:rPr>
              <w:t>样品制备软件，可以自动完成定位、切割、粘接、提取、减薄等全流程，无需人工操作干预；具有自动三维切片图像采集和观测软件，可以自动完成三维切片的图像采集和重构拟合；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1.1</w:t>
            </w:r>
            <w:r>
              <w:rPr>
                <w:szCs w:val="21"/>
              </w:rPr>
              <w:t>3.</w:t>
            </w:r>
            <w:r>
              <w:rPr>
                <w:rFonts w:hint="eastAsia"/>
                <w:szCs w:val="21"/>
                <w:lang w:val="en-US" w:eastAsia="zh-CN"/>
              </w:rPr>
              <w:t>3</w:t>
            </w:r>
            <w:r>
              <w:rPr>
                <w:rFonts w:hint="eastAsia"/>
                <w:szCs w:val="21"/>
              </w:rPr>
              <w:t>具有纳米图形加工辅助软件，可以自动完成复杂微纳米图形的加工制备；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1.1</w:t>
            </w:r>
            <w:r>
              <w:rPr>
                <w:szCs w:val="21"/>
              </w:rPr>
              <w:t>3.</w:t>
            </w:r>
            <w:r>
              <w:rPr>
                <w:rFonts w:hint="eastAsia"/>
                <w:szCs w:val="21"/>
                <w:lang w:val="en-US" w:eastAsia="zh-CN"/>
              </w:rPr>
              <w:t>4</w:t>
            </w:r>
            <w:r>
              <w:rPr>
                <w:rFonts w:hint="eastAsia"/>
                <w:szCs w:val="21"/>
              </w:rPr>
              <w:t>具有专业三维数据分析处理软件，可以对不同相分布和孔隙进行自动分割、统计和计算等；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restart"/>
            <w:vAlign w:val="center"/>
          </w:tcPr>
          <w:p>
            <w:pPr>
              <w:jc w:val="center"/>
              <w:rPr>
                <w:b/>
                <w:szCs w:val="21"/>
              </w:rPr>
            </w:pPr>
            <w:r>
              <w:rPr>
                <w:rFonts w:hint="eastAsia"/>
                <w:b/>
                <w:szCs w:val="21"/>
              </w:rPr>
              <w:t>2</w:t>
            </w:r>
          </w:p>
        </w:tc>
        <w:tc>
          <w:tcPr>
            <w:tcW w:w="1980" w:type="dxa"/>
            <w:vMerge w:val="restart"/>
            <w:vAlign w:val="center"/>
          </w:tcPr>
          <w:p>
            <w:pPr>
              <w:jc w:val="center"/>
              <w:rPr>
                <w:b/>
                <w:szCs w:val="21"/>
              </w:rPr>
            </w:pPr>
            <w:r>
              <w:rPr>
                <w:rFonts w:hint="eastAsia"/>
                <w:b/>
                <w:szCs w:val="21"/>
              </w:rPr>
              <w:t>能谱仪</w:t>
            </w:r>
          </w:p>
        </w:tc>
        <w:tc>
          <w:tcPr>
            <w:tcW w:w="5580" w:type="dxa"/>
            <w:vAlign w:val="center"/>
          </w:tcPr>
          <w:p>
            <w:pPr>
              <w:rPr>
                <w:szCs w:val="21"/>
              </w:rPr>
            </w:pPr>
            <w:r>
              <w:rPr>
                <w:rFonts w:hint="eastAsia"/>
                <w:b/>
                <w:szCs w:val="21"/>
              </w:rPr>
              <w:t>★</w:t>
            </w:r>
            <w:r>
              <w:rPr>
                <w:rFonts w:hint="eastAsia"/>
                <w:szCs w:val="21"/>
              </w:rPr>
              <w:t>2.1</w:t>
            </w:r>
            <w:r>
              <w:rPr>
                <w:szCs w:val="21"/>
              </w:rPr>
              <w:t>探测器：硅漂移（SDD）电制冷探测器，采用场效应管（FET）一体化集成设计的高速SDD芯片，</w:t>
            </w:r>
            <w:r>
              <w:rPr>
                <w:rFonts w:hint="eastAsia"/>
                <w:szCs w:val="21"/>
              </w:rPr>
              <w:t>不小于</w:t>
            </w:r>
            <w:r>
              <w:rPr>
                <w:szCs w:val="21"/>
              </w:rPr>
              <w:t>60mm</w:t>
            </w:r>
            <w:r>
              <w:rPr>
                <w:szCs w:val="21"/>
                <w:vertAlign w:val="superscript"/>
              </w:rPr>
              <w:t>2</w:t>
            </w:r>
            <w:r>
              <w:rPr>
                <w:szCs w:val="21"/>
              </w:rPr>
              <w:t>有效面积，超薄窗设计，独立真空；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2.2</w:t>
            </w:r>
            <w:r>
              <w:rPr>
                <w:szCs w:val="21"/>
              </w:rPr>
              <w:t>能量分辨率：在100,000CPS条件下MnKa优于129eV，轻元素分辨率：C-K/57eV, F-K/67eV；采用纤细化等技术，探测器探指直径不大于22</w:t>
            </w:r>
            <w:r>
              <w:rPr>
                <w:rFonts w:hint="eastAsia"/>
                <w:szCs w:val="21"/>
              </w:rPr>
              <w:t>mm；</w:t>
            </w:r>
            <w:r>
              <w:rPr>
                <w:szCs w:val="21"/>
              </w:rPr>
              <w:t>元素分析范围: Be4～</w:t>
            </w:r>
            <w:r>
              <w:rPr>
                <w:rFonts w:hint="eastAsia"/>
                <w:szCs w:val="21"/>
              </w:rPr>
              <w:t>Cf98；</w:t>
            </w:r>
            <w:r>
              <w:rPr>
                <w:szCs w:val="21"/>
              </w:rPr>
              <w:t>能谱仪处理单元与计算机采用分立式设计，单探测器输出最大计数率优于600,000CPS，可处理最大计数率优于1,500,000CPS</w:t>
            </w:r>
            <w:r>
              <w:rPr>
                <w:rFonts w:hint="eastAsia"/>
                <w:szCs w:val="21"/>
              </w:rPr>
              <w:t>；</w:t>
            </w:r>
            <w:r>
              <w:rPr>
                <w:szCs w:val="21"/>
              </w:rPr>
              <w:t>谱定性分析：可自动标识谱峰，可设定自动标定的元素范围，可进行谱重构，对重叠峰进行可视化谱峰剥离，并对重叠峰区域各种可能的元素进行搜索与再确认</w:t>
            </w:r>
            <w:r>
              <w:rPr>
                <w:rFonts w:hint="eastAsia"/>
                <w:szCs w:val="21"/>
              </w:rPr>
              <w:t>；</w:t>
            </w:r>
            <w:r>
              <w:rPr>
                <w:szCs w:val="21"/>
              </w:rPr>
              <w:t>配备完善而精准的原子数据库，包含所有的分析线系(K, L, M 和 N线系)</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2.</w:t>
            </w:r>
            <w:r>
              <w:rPr>
                <w:rFonts w:hint="eastAsia"/>
                <w:szCs w:val="21"/>
                <w:lang w:val="en-US" w:eastAsia="zh-CN"/>
              </w:rPr>
              <w:t>3</w:t>
            </w:r>
            <w:r>
              <w:rPr>
                <w:szCs w:val="21"/>
              </w:rPr>
              <w:t>定性与定量分析：可自动和手动进行谱峰识别，并具有检验重叠峰识别准确性的可见峰剥离技术，可图形化显示剥离结果；自动或者手动倾斜样品修正，不导电样品修正，加速电压最优化；提供国际通用的所有定量方法——PhiZAF以及改进后包含XPP特例的PhiRZ，以适应不同的计算需求，可同时显示归一化和非归一化结果；交互式控制整个定量分析过程</w:t>
            </w:r>
            <w:r>
              <w:rPr>
                <w:rFonts w:hint="eastAsia"/>
                <w:szCs w:val="21"/>
              </w:rPr>
              <w:t>。</w:t>
            </w:r>
            <w:r>
              <w:rPr>
                <w:szCs w:val="21"/>
              </w:rPr>
              <w:t>可将电镜图像传输到能谱仪的显示器上，并以该图为中心做微区分析，实现点、区域定性定量分析，以及线扫描和面分布功能</w:t>
            </w:r>
            <w:r>
              <w:rPr>
                <w:rFonts w:hint="eastAsia"/>
                <w:szCs w:val="21"/>
              </w:rPr>
              <w:t>。</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Align w:val="center"/>
          </w:tcPr>
          <w:p>
            <w:pPr>
              <w:jc w:val="center"/>
              <w:rPr>
                <w:b/>
                <w:szCs w:val="21"/>
              </w:rPr>
            </w:pPr>
            <w:r>
              <w:rPr>
                <w:rFonts w:hint="eastAsia"/>
                <w:b/>
                <w:szCs w:val="21"/>
              </w:rPr>
              <w:t>3</w:t>
            </w:r>
          </w:p>
        </w:tc>
        <w:tc>
          <w:tcPr>
            <w:tcW w:w="1980" w:type="dxa"/>
            <w:vAlign w:val="center"/>
          </w:tcPr>
          <w:p>
            <w:pPr>
              <w:jc w:val="center"/>
              <w:rPr>
                <w:b/>
                <w:szCs w:val="21"/>
              </w:rPr>
            </w:pPr>
            <w:r>
              <w:rPr>
                <w:rFonts w:hint="eastAsia"/>
                <w:b/>
                <w:szCs w:val="21"/>
              </w:rPr>
              <w:t>离子溅射仪</w:t>
            </w:r>
          </w:p>
        </w:tc>
        <w:tc>
          <w:tcPr>
            <w:tcW w:w="5580" w:type="dxa"/>
            <w:vAlign w:val="center"/>
          </w:tcPr>
          <w:p>
            <w:pPr>
              <w:rPr>
                <w:szCs w:val="21"/>
              </w:rPr>
            </w:pPr>
            <w:r>
              <w:rPr>
                <w:rFonts w:hint="eastAsia" w:hAnsi="宋体"/>
                <w:szCs w:val="21"/>
              </w:rPr>
              <w:t>3.1配备离子溅射仪；配置Pt靶，可对样品表面进行镀膜处理。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restart"/>
            <w:vAlign w:val="center"/>
          </w:tcPr>
          <w:p>
            <w:pPr>
              <w:jc w:val="center"/>
              <w:rPr>
                <w:b/>
                <w:szCs w:val="21"/>
              </w:rPr>
            </w:pPr>
            <w:r>
              <w:rPr>
                <w:rFonts w:hint="eastAsia"/>
                <w:b/>
                <w:szCs w:val="21"/>
              </w:rPr>
              <w:t>4</w:t>
            </w:r>
          </w:p>
        </w:tc>
        <w:tc>
          <w:tcPr>
            <w:tcW w:w="1980" w:type="dxa"/>
            <w:vMerge w:val="restart"/>
            <w:vAlign w:val="center"/>
          </w:tcPr>
          <w:p>
            <w:pPr>
              <w:jc w:val="center"/>
              <w:rPr>
                <w:b/>
                <w:szCs w:val="21"/>
              </w:rPr>
            </w:pPr>
            <w:r>
              <w:rPr>
                <w:rFonts w:hint="eastAsia"/>
                <w:b/>
                <w:szCs w:val="21"/>
              </w:rPr>
              <w:t>主动消磁器</w:t>
            </w:r>
          </w:p>
        </w:tc>
        <w:tc>
          <w:tcPr>
            <w:tcW w:w="5580" w:type="dxa"/>
            <w:vAlign w:val="center"/>
          </w:tcPr>
          <w:p>
            <w:pPr>
              <w:rPr>
                <w:szCs w:val="21"/>
              </w:rPr>
            </w:pPr>
            <w:r>
              <w:rPr>
                <w:rFonts w:hint="eastAsia"/>
                <w:szCs w:val="21"/>
              </w:rPr>
              <w:t>4.1配备主动消磁器，纯模拟电路设计回稳速度；每个方向等距线圈数量：大于等于2组。需要在每个方向采用Merritt线圈来布置，即在每个方向的2个以上等距位置来布置线圈，提供消磁的均匀度；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szCs w:val="21"/>
              </w:rPr>
              <w:t>4.</w:t>
            </w:r>
            <w:r>
              <w:rPr>
                <w:rFonts w:hint="eastAsia"/>
                <w:szCs w:val="21"/>
                <w:lang w:val="en-US" w:eastAsia="zh-CN"/>
              </w:rPr>
              <w:t>2</w:t>
            </w:r>
            <w:r>
              <w:rPr>
                <w:rFonts w:hint="eastAsia"/>
                <w:szCs w:val="21"/>
              </w:rPr>
              <w:t>消磁的响应时间不大于50毫秒；具有实时监控和声音报警功能；可以显示线圈电流功能；具备磁场环境模拟输出功能，3个方向有BNC接口；零点温漂小于0.1nT/K；动态补偿幅度范围：不小于60mGpp；内置源阻值：小于等于2欧姆；50Hz消磁能力：通常40dB；消磁带宽：0到1KHz；</w:t>
            </w:r>
          </w:p>
        </w:tc>
      </w:tr>
    </w:tbl>
    <w:p>
      <w:pPr>
        <w:rPr>
          <w:b/>
          <w:szCs w:val="21"/>
        </w:rPr>
      </w:pPr>
    </w:p>
    <w:p>
      <w:pPr>
        <w:pStyle w:val="5"/>
        <w:spacing w:before="120" w:beforeLines="50" w:after="120" w:afterLines="50"/>
        <w:rPr>
          <w:sz w:val="28"/>
          <w:szCs w:val="28"/>
        </w:rPr>
      </w:pPr>
      <w:r>
        <w:rPr>
          <w:rFonts w:hint="eastAsia"/>
          <w:sz w:val="28"/>
          <w:szCs w:val="28"/>
        </w:rPr>
        <w:t>四、商务需求</w:t>
      </w:r>
    </w:p>
    <w:p/>
    <w:tbl>
      <w:tblPr>
        <w:tblStyle w:val="5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686"/>
        <w:gridCol w:w="5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5884"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250" w:type="dxa"/>
            <w:vMerge w:val="restart"/>
            <w:vAlign w:val="center"/>
          </w:tcPr>
          <w:p>
            <w:pPr>
              <w:jc w:val="center"/>
              <w:rPr>
                <w:b/>
              </w:rPr>
            </w:pPr>
            <w:r>
              <w:rPr>
                <w:rFonts w:hint="eastAsia"/>
                <w:b/>
              </w:rPr>
              <w:t>1</w:t>
            </w:r>
          </w:p>
        </w:tc>
        <w:tc>
          <w:tcPr>
            <w:tcW w:w="1686" w:type="dxa"/>
            <w:vMerge w:val="restart"/>
            <w:vAlign w:val="center"/>
          </w:tcPr>
          <w:p>
            <w:r>
              <w:rPr>
                <w:rFonts w:hint="eastAsia"/>
              </w:rPr>
              <w:t>免费保修期</w:t>
            </w:r>
          </w:p>
        </w:tc>
        <w:tc>
          <w:tcPr>
            <w:tcW w:w="5884" w:type="dxa"/>
          </w:tcPr>
          <w:p>
            <w:pPr>
              <w:spacing w:line="360" w:lineRule="auto"/>
              <w:rPr>
                <w:b/>
              </w:rPr>
            </w:pPr>
            <w:r>
              <w:rPr>
                <w:rFonts w:ascii="Segoe UI Symbol" w:hAnsi="Segoe UI Symbol" w:cs="Segoe UI Symbol"/>
                <w:b/>
                <w:szCs w:val="21"/>
              </w:rPr>
              <w:t>★</w:t>
            </w:r>
            <w:r>
              <w:rPr>
                <w:rFonts w:hint="eastAsia"/>
                <w:bCs/>
                <w:szCs w:val="21"/>
              </w:rPr>
              <w:t>1.1货物免费保修期</w:t>
            </w:r>
            <w:r>
              <w:rPr>
                <w:bCs/>
                <w:color w:val="FF0000"/>
                <w:szCs w:val="21"/>
                <w:u w:val="single"/>
              </w:rPr>
              <w:t>3</w:t>
            </w:r>
            <w:r>
              <w:rPr>
                <w:rFonts w:hint="eastAsia"/>
                <w:bCs/>
                <w:szCs w:val="21"/>
              </w:rPr>
              <w:t>年，其他第三方附件免费保修期为</w:t>
            </w:r>
            <w:r>
              <w:rPr>
                <w:bCs/>
                <w:szCs w:val="21"/>
                <w:u w:val="single"/>
              </w:rPr>
              <w:t xml:space="preserve"> 1 </w:t>
            </w:r>
            <w:r>
              <w:rPr>
                <w:rFonts w:hint="eastAsia"/>
                <w:bCs/>
                <w:szCs w:val="21"/>
              </w:rPr>
              <w:t>年，时间自最终验收合格并交付使用之日起计算。在</w:t>
            </w:r>
            <w:bookmarkStart w:id="29" w:name="OLE_LINK1"/>
            <w:r>
              <w:rPr>
                <w:rFonts w:hint="eastAsia"/>
                <w:bCs/>
                <w:szCs w:val="21"/>
              </w:rPr>
              <w:t>保修期内，所有维修人工和换件均为免费。在维修过程中，若因特殊原因严重延误维修时间，可相应延长保修期</w:t>
            </w:r>
            <w:bookmarkEnd w:id="29"/>
            <w:r>
              <w:rPr>
                <w:rFonts w:hint="eastAsia"/>
                <w:bCs/>
                <w:szCs w:val="21"/>
              </w:rPr>
              <w:t>。同时，提供保证设备在保修期中正常运行和常规保养所需的备品备件和专用工具。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50" w:type="dxa"/>
            <w:vMerge w:val="continue"/>
            <w:vAlign w:val="center"/>
          </w:tcPr>
          <w:p>
            <w:pPr>
              <w:jc w:val="center"/>
              <w:rPr>
                <w:b/>
              </w:rPr>
            </w:pPr>
          </w:p>
        </w:tc>
        <w:tc>
          <w:tcPr>
            <w:tcW w:w="1686" w:type="dxa"/>
            <w:vMerge w:val="continue"/>
            <w:vAlign w:val="center"/>
          </w:tcPr>
          <w:p/>
        </w:tc>
        <w:tc>
          <w:tcPr>
            <w:tcW w:w="5884" w:type="dxa"/>
          </w:tcPr>
          <w:p>
            <w:pPr>
              <w:spacing w:line="360" w:lineRule="auto"/>
              <w:rPr>
                <w:b/>
              </w:rPr>
            </w:pPr>
            <w:r>
              <w:rPr>
                <w:rFonts w:ascii="Segoe UI Symbol" w:hAnsi="Segoe UI Symbol" w:cs="Segoe UI Symbol"/>
                <w:szCs w:val="21"/>
              </w:rPr>
              <w:t>★</w:t>
            </w:r>
            <w:r>
              <w:rPr>
                <w:rFonts w:hint="eastAsia" w:ascii="Segoe UI Symbol" w:hAnsi="Segoe UI Symbol" w:cs="Segoe UI Symbol"/>
                <w:bCs/>
                <w:szCs w:val="21"/>
              </w:rPr>
              <w:t>1.2 免费保修期满后</w:t>
            </w:r>
            <w:r>
              <w:rPr>
                <w:rFonts w:hint="eastAsia" w:ascii="Segoe UI Symbol" w:hAnsi="Segoe UI Symbol" w:cs="Segoe UI Symbol"/>
                <w:szCs w:val="21"/>
              </w:rPr>
              <w:t>，</w:t>
            </w:r>
            <w:r>
              <w:rPr>
                <w:rFonts w:hint="eastAsia" w:ascii="Segoe UI Symbol" w:hAnsi="Segoe UI Symbol" w:cs="Segoe UI Symbol"/>
                <w:bCs/>
                <w:szCs w:val="21"/>
              </w:rPr>
              <w:t>提供终身维修服务，能长期提供良好的技术支持及零部件的优惠供应。其中，免费保修期满后的2年内，设备一旦发生故障，投标方需及时安排工程师上门维修，其中人工和差旅费由中标方承担；如有硬件损坏需要更换，投标方须按市场最低价出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50" w:type="dxa"/>
            <w:vMerge w:val="continue"/>
            <w:vAlign w:val="center"/>
          </w:tcPr>
          <w:p>
            <w:pPr>
              <w:jc w:val="center"/>
              <w:rPr>
                <w:b/>
              </w:rPr>
            </w:pPr>
          </w:p>
        </w:tc>
        <w:tc>
          <w:tcPr>
            <w:tcW w:w="1686" w:type="dxa"/>
            <w:vMerge w:val="continue"/>
            <w:vAlign w:val="center"/>
          </w:tcPr>
          <w:p/>
        </w:tc>
        <w:tc>
          <w:tcPr>
            <w:tcW w:w="5884" w:type="dxa"/>
          </w:tcPr>
          <w:p>
            <w:pPr>
              <w:spacing w:line="360" w:lineRule="auto"/>
              <w:rPr>
                <w:b/>
              </w:rPr>
            </w:pPr>
            <w:r>
              <w:rPr>
                <w:rFonts w:hint="eastAsia" w:ascii="Segoe UI Symbol" w:hAnsi="Segoe UI Symbol" w:cs="Segoe UI Symbol"/>
                <w:szCs w:val="21"/>
              </w:rPr>
              <w:t>1.3 根据用户要求在用户现场提供不少于2次专业培训。第一次为用户现场2-4人为期3天的基础应用培训，培训内容包括仪器的技术原理、操作、数据处理、基本维护等。第二次为设备正常运行一年内，根据用户需求免费提供第二次专业应用培训，为期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50" w:type="dxa"/>
            <w:vAlign w:val="center"/>
          </w:tcPr>
          <w:p>
            <w:pPr>
              <w:jc w:val="center"/>
              <w:rPr>
                <w:b/>
              </w:rPr>
            </w:pPr>
            <w:r>
              <w:rPr>
                <w:rFonts w:hint="eastAsia"/>
                <w:b/>
              </w:rPr>
              <w:t>2</w:t>
            </w:r>
          </w:p>
        </w:tc>
        <w:tc>
          <w:tcPr>
            <w:tcW w:w="1686" w:type="dxa"/>
          </w:tcPr>
          <w:p>
            <w:r>
              <w:rPr>
                <w:rFonts w:hint="eastAsia"/>
              </w:rPr>
              <w:t>维修响应及故障解决时间</w:t>
            </w:r>
          </w:p>
        </w:tc>
        <w:tc>
          <w:tcPr>
            <w:tcW w:w="5884" w:type="dxa"/>
          </w:tcPr>
          <w:p>
            <w:pPr>
              <w:rPr>
                <w:b/>
              </w:rPr>
            </w:pPr>
            <w:r>
              <w:rPr>
                <w:rFonts w:hint="eastAsia"/>
                <w:bCs/>
                <w:szCs w:val="21"/>
              </w:rPr>
              <w:t>在保修期内，供方将向需方提供优质的售后技术支持服务，响应时间为接到报修后</w:t>
            </w:r>
            <w:r>
              <w:rPr>
                <w:bCs/>
                <w:szCs w:val="21"/>
              </w:rPr>
              <w:t>8</w:t>
            </w:r>
            <w:r>
              <w:rPr>
                <w:rFonts w:hint="eastAsia"/>
                <w:bCs/>
                <w:szCs w:val="21"/>
              </w:rPr>
              <w:t>小时以内，如有必要在</w:t>
            </w:r>
            <w:r>
              <w:rPr>
                <w:bCs/>
                <w:szCs w:val="21"/>
              </w:rPr>
              <w:t>72</w:t>
            </w:r>
            <w:r>
              <w:rPr>
                <w:rFonts w:hint="eastAsia"/>
                <w:bCs/>
                <w:szCs w:val="21"/>
              </w:rPr>
              <w:t>小时内到设备使用现场进行维修工作，待产品运行正常后撤离现场。重大问题或其他无法迅速解决的问题在2周内解决或提出明确解决方案。免费保修期外的响应时间与免费保修期内一致。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50" w:type="dxa"/>
            <w:vAlign w:val="center"/>
          </w:tcPr>
          <w:p>
            <w:pPr>
              <w:jc w:val="center"/>
              <w:rPr>
                <w:b/>
              </w:rPr>
            </w:pPr>
            <w:r>
              <w:rPr>
                <w:rFonts w:hint="eastAsia"/>
                <w:b/>
              </w:rPr>
              <w:t>3</w:t>
            </w:r>
          </w:p>
        </w:tc>
        <w:tc>
          <w:tcPr>
            <w:tcW w:w="1686" w:type="dxa"/>
          </w:tcPr>
          <w:p>
            <w:r>
              <w:rPr>
                <w:rFonts w:hint="eastAsia"/>
              </w:rPr>
              <w:t>发生</w:t>
            </w:r>
            <w:r>
              <w:t>质量问题</w:t>
            </w:r>
            <w:r>
              <w:rPr>
                <w:rFonts w:hint="eastAsia"/>
              </w:rPr>
              <w:t>的</w:t>
            </w:r>
            <w:r>
              <w:t>处理方式</w:t>
            </w:r>
          </w:p>
        </w:tc>
        <w:tc>
          <w:tcPr>
            <w:tcW w:w="5884" w:type="dxa"/>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50" w:type="dxa"/>
            <w:vMerge w:val="restart"/>
            <w:vAlign w:val="center"/>
          </w:tcPr>
          <w:p>
            <w:pPr>
              <w:jc w:val="center"/>
              <w:rPr>
                <w:b/>
              </w:rPr>
            </w:pPr>
            <w:r>
              <w:rPr>
                <w:rFonts w:hint="eastAsia"/>
                <w:b/>
              </w:rPr>
              <w:t>4</w:t>
            </w:r>
          </w:p>
        </w:tc>
        <w:tc>
          <w:tcPr>
            <w:tcW w:w="1686" w:type="dxa"/>
            <w:vMerge w:val="restart"/>
            <w:vAlign w:val="center"/>
          </w:tcPr>
          <w:p>
            <w:pPr>
              <w:rPr>
                <w:b/>
              </w:rPr>
            </w:pPr>
            <w:r>
              <w:rPr>
                <w:rFonts w:hint="eastAsia"/>
              </w:rPr>
              <w:t>其他</w:t>
            </w:r>
          </w:p>
        </w:tc>
        <w:tc>
          <w:tcPr>
            <w:tcW w:w="5884" w:type="dxa"/>
            <w:vAlign w:val="center"/>
          </w:tcPr>
          <w:p>
            <w:pPr>
              <w:rPr>
                <w:b/>
              </w:rPr>
            </w:pPr>
            <w:r>
              <w:rPr>
                <w:rFonts w:hint="eastAsia"/>
              </w:rPr>
              <w:t>4.1在硬件条件支持的条件下，主机控制软件终身免费升级。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50" w:type="dxa"/>
            <w:vMerge w:val="continue"/>
            <w:vAlign w:val="center"/>
          </w:tcPr>
          <w:p>
            <w:pPr>
              <w:jc w:val="center"/>
              <w:rPr>
                <w:b/>
              </w:rPr>
            </w:pPr>
          </w:p>
        </w:tc>
        <w:tc>
          <w:tcPr>
            <w:tcW w:w="1686" w:type="dxa"/>
            <w:vMerge w:val="continue"/>
            <w:vAlign w:val="center"/>
          </w:tcPr>
          <w:p/>
        </w:tc>
        <w:tc>
          <w:tcPr>
            <w:tcW w:w="5884" w:type="dxa"/>
            <w:vAlign w:val="center"/>
          </w:tcPr>
          <w:p>
            <w:pPr>
              <w:rPr>
                <w:b/>
              </w:rPr>
            </w:pPr>
            <w:r>
              <w:rPr>
                <w:rFonts w:hint="eastAsia"/>
                <w:bCs/>
                <w:szCs w:val="21"/>
              </w:rPr>
              <w:t>4.2投标人应按其投标文件中的承诺，进行其他售后服务工作。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0" w:type="dxa"/>
            <w:vAlign w:val="center"/>
          </w:tcPr>
          <w:p>
            <w:pPr>
              <w:jc w:val="center"/>
              <w:rPr>
                <w:b/>
              </w:rPr>
            </w:pPr>
            <w:r>
              <w:rPr>
                <w:rFonts w:hint="eastAsia"/>
                <w:b/>
              </w:rPr>
              <w:t>1</w:t>
            </w:r>
          </w:p>
        </w:tc>
        <w:tc>
          <w:tcPr>
            <w:tcW w:w="1686" w:type="dxa"/>
          </w:tcPr>
          <w:p>
            <w:pPr>
              <w:rPr>
                <w:b/>
              </w:rPr>
            </w:pPr>
          </w:p>
        </w:tc>
        <w:tc>
          <w:tcPr>
            <w:tcW w:w="5884" w:type="dxa"/>
          </w:tcPr>
          <w:p>
            <w:r>
              <w:rPr>
                <w:rFonts w:hint="eastAsia"/>
              </w:rPr>
              <w:t>免费</w:t>
            </w:r>
            <w:r>
              <w:t>保修期</w:t>
            </w:r>
            <w:r>
              <w:rPr>
                <w:rFonts w:hint="eastAsia"/>
              </w:rPr>
              <w:t>后继续支持维修，并按成本价标准收取维修及零件费用。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0" w:type="dxa"/>
            <w:vMerge w:val="restart"/>
            <w:vAlign w:val="center"/>
          </w:tcPr>
          <w:p>
            <w:pPr>
              <w:jc w:val="center"/>
              <w:rPr>
                <w:b/>
              </w:rPr>
            </w:pPr>
            <w:r>
              <w:rPr>
                <w:rFonts w:hint="eastAsia"/>
                <w:b/>
              </w:rPr>
              <w:t>1</w:t>
            </w:r>
          </w:p>
        </w:tc>
        <w:tc>
          <w:tcPr>
            <w:tcW w:w="1686" w:type="dxa"/>
            <w:vMerge w:val="restart"/>
            <w:vAlign w:val="center"/>
          </w:tcPr>
          <w:p>
            <w:pPr>
              <w:jc w:val="center"/>
            </w:pPr>
            <w:r>
              <w:rPr>
                <w:rFonts w:hint="eastAsia"/>
              </w:rPr>
              <w:t>关于交货</w:t>
            </w:r>
          </w:p>
        </w:tc>
        <w:tc>
          <w:tcPr>
            <w:tcW w:w="5884" w:type="dxa"/>
          </w:tcPr>
          <w:p>
            <w:pPr>
              <w:rPr>
                <w:bCs/>
                <w:szCs w:val="21"/>
              </w:rPr>
            </w:pPr>
            <w:r>
              <w:rPr>
                <w:rFonts w:hint="eastAsia"/>
                <w:bCs/>
                <w:szCs w:val="21"/>
              </w:rPr>
              <w:t>1.1</w:t>
            </w:r>
            <w:r>
              <w:rPr>
                <w:bCs/>
                <w:szCs w:val="21"/>
              </w:rPr>
              <w:t xml:space="preserve"> </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rFonts w:hint="eastAsia"/>
                <w:bCs/>
                <w:szCs w:val="21"/>
                <w:u w:val="single"/>
              </w:rPr>
              <w:t xml:space="preserve">  </w:t>
            </w:r>
            <w:r>
              <w:rPr>
                <w:bCs/>
                <w:szCs w:val="21"/>
                <w:u w:val="single"/>
              </w:rPr>
              <w:t>120</w:t>
            </w:r>
            <w:r>
              <w:rPr>
                <w:rFonts w:hint="eastAsia"/>
                <w:bCs/>
                <w:szCs w:val="21"/>
                <w:u w:val="single"/>
              </w:rPr>
              <w:t xml:space="preserve">  </w:t>
            </w:r>
            <w:r>
              <w:rPr>
                <w:rFonts w:hint="eastAsia"/>
                <w:bCs/>
                <w:szCs w:val="21"/>
              </w:rPr>
              <w:t>天（日历日）内。</w:t>
            </w:r>
          </w:p>
          <w:p>
            <w:pPr>
              <w:rPr>
                <w:bCs/>
                <w:szCs w:val="21"/>
              </w:rPr>
            </w:pPr>
            <w:r>
              <w:rPr>
                <w:rFonts w:hint="eastAsia" w:ascii="宋体" w:hAnsi="宋体"/>
                <w:b/>
                <w:color w:val="FF0000"/>
                <w:szCs w:val="21"/>
              </w:rPr>
              <w:t>从中华人民共和国境外提供的</w:t>
            </w:r>
            <w:r>
              <w:rPr>
                <w:rFonts w:hint="eastAsia" w:ascii="宋体" w:hAnsi="宋体"/>
                <w:b/>
                <w:bCs/>
                <w:color w:val="FF0000"/>
                <w:szCs w:val="21"/>
              </w:rPr>
              <w:t>货物：</w:t>
            </w:r>
            <w:r>
              <w:rPr>
                <w:rFonts w:hint="eastAsia" w:ascii="宋体" w:hAnsi="宋体"/>
                <w:color w:val="000000"/>
                <w:szCs w:val="21"/>
              </w:rPr>
              <w:t>合同签订后且免税证明审批通过后</w:t>
            </w:r>
            <w:r>
              <w:rPr>
                <w:rFonts w:hint="eastAsia"/>
                <w:bCs/>
                <w:szCs w:val="21"/>
                <w:u w:val="single"/>
              </w:rPr>
              <w:t xml:space="preserve">  </w:t>
            </w:r>
            <w:r>
              <w:rPr>
                <w:bCs/>
                <w:szCs w:val="21"/>
                <w:u w:val="single"/>
              </w:rPr>
              <w:t>120</w:t>
            </w:r>
            <w:r>
              <w:rPr>
                <w:rFonts w:hint="eastAsia"/>
                <w:bCs/>
                <w:szCs w:val="21"/>
                <w:u w:val="single"/>
              </w:rPr>
              <w:t xml:space="preserve">  </w:t>
            </w:r>
            <w:r>
              <w:rPr>
                <w:rFonts w:hint="eastAsia"/>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50" w:type="dxa"/>
            <w:vMerge w:val="continue"/>
            <w:vAlign w:val="center"/>
          </w:tcPr>
          <w:p>
            <w:pPr>
              <w:jc w:val="center"/>
              <w:rPr>
                <w:b/>
              </w:rPr>
            </w:pPr>
          </w:p>
        </w:tc>
        <w:tc>
          <w:tcPr>
            <w:tcW w:w="1686" w:type="dxa"/>
            <w:vMerge w:val="continue"/>
            <w:vAlign w:val="center"/>
          </w:tcPr>
          <w:p>
            <w:pPr>
              <w:jc w:val="center"/>
            </w:pPr>
          </w:p>
        </w:tc>
        <w:tc>
          <w:tcPr>
            <w:tcW w:w="5884" w:type="dxa"/>
          </w:tcPr>
          <w:p>
            <w:pPr>
              <w:rPr>
                <w:bCs/>
                <w:szCs w:val="21"/>
              </w:rPr>
            </w:pPr>
            <w:r>
              <w:rPr>
                <w:rFonts w:hint="eastAsia"/>
                <w:bCs/>
                <w:szCs w:val="21"/>
              </w:rPr>
              <w:t>1.2投标人必须承担的设备运输、安装调试、验收检测和提供设备操作说明书、图纸等其他类似的义务。中标人应及时委派技术人员进行现场安装、调试，并提供货物安装调试的一切技术支持，最迟不超过1个月，如采购方场地或其他非自然因素影响可协商延长时间。安装调试的具体时间由采购人提前3天通知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0" w:type="dxa"/>
            <w:vMerge w:val="continue"/>
            <w:vAlign w:val="center"/>
          </w:tcPr>
          <w:p>
            <w:pPr>
              <w:jc w:val="center"/>
              <w:rPr>
                <w:b/>
              </w:rPr>
            </w:pPr>
          </w:p>
        </w:tc>
        <w:tc>
          <w:tcPr>
            <w:tcW w:w="1686" w:type="dxa"/>
            <w:vMerge w:val="continue"/>
            <w:vAlign w:val="center"/>
          </w:tcPr>
          <w:p>
            <w:pPr>
              <w:jc w:val="center"/>
            </w:pPr>
          </w:p>
        </w:tc>
        <w:tc>
          <w:tcPr>
            <w:tcW w:w="5884" w:type="dxa"/>
          </w:tcPr>
          <w:p>
            <w:pPr>
              <w:spacing w:line="340" w:lineRule="exact"/>
              <w:rPr>
                <w:bCs/>
                <w:szCs w:val="21"/>
              </w:rPr>
            </w:pPr>
            <w:r>
              <w:rPr>
                <w:rFonts w:hint="eastAsia"/>
                <w:bCs/>
                <w:szCs w:val="21"/>
              </w:rPr>
              <w:t>1.3 交货（具体）地点：深圳大学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0" w:type="dxa"/>
            <w:vMerge w:val="continue"/>
            <w:vAlign w:val="center"/>
          </w:tcPr>
          <w:p>
            <w:pPr>
              <w:jc w:val="center"/>
              <w:rPr>
                <w:b/>
              </w:rPr>
            </w:pPr>
          </w:p>
        </w:tc>
        <w:tc>
          <w:tcPr>
            <w:tcW w:w="1686" w:type="dxa"/>
            <w:vMerge w:val="continue"/>
            <w:vAlign w:val="center"/>
          </w:tcPr>
          <w:p>
            <w:pPr>
              <w:jc w:val="center"/>
            </w:pPr>
          </w:p>
        </w:tc>
        <w:tc>
          <w:tcPr>
            <w:tcW w:w="5884" w:type="dxa"/>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p>
          <w:p>
            <w:pPr>
              <w:spacing w:line="340" w:lineRule="exact"/>
              <w:rPr>
                <w:bCs/>
                <w:szCs w:val="21"/>
              </w:rPr>
            </w:pPr>
            <w:r>
              <w:rPr>
                <w:rFonts w:hint="eastAsia"/>
                <w:bCs/>
                <w:szCs w:val="21"/>
              </w:rPr>
              <w:t>从中华人民共和国海关境外提供的货物，技术资料应齐全，提供但不限于如下技术文件和资料：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（4）产品保修证明；</w:t>
            </w:r>
          </w:p>
          <w:p>
            <w:pPr>
              <w:spacing w:line="340" w:lineRule="exact"/>
              <w:rPr>
                <w:bCs/>
                <w:szCs w:val="21"/>
              </w:rPr>
            </w:pPr>
            <w:r>
              <w:rPr>
                <w:rFonts w:hint="eastAsia"/>
                <w:bCs/>
                <w:szCs w:val="21"/>
              </w:rPr>
              <w:t>（5）原产地证明书；</w:t>
            </w:r>
          </w:p>
          <w:p>
            <w:pPr>
              <w:spacing w:line="340" w:lineRule="exact"/>
              <w:rPr>
                <w:bCs/>
                <w:szCs w:val="21"/>
              </w:rPr>
            </w:pPr>
            <w:r>
              <w:rPr>
                <w:rFonts w:hint="eastAsia"/>
                <w:bCs/>
                <w:szCs w:val="21"/>
              </w:rPr>
              <w:t>（6）目的港商检部门要求提交的3C认证等文件和资料（如果需要）；</w:t>
            </w:r>
          </w:p>
          <w:p>
            <w:pPr>
              <w:spacing w:line="340" w:lineRule="exact"/>
              <w:rPr>
                <w:bCs/>
                <w:szCs w:val="21"/>
              </w:rPr>
            </w:pPr>
            <w:r>
              <w:rPr>
                <w:rFonts w:hint="eastAsia"/>
                <w:bCs/>
                <w:szCs w:val="21"/>
              </w:rPr>
              <w:t>（7）货物装箱单；</w:t>
            </w:r>
          </w:p>
          <w:p>
            <w:pPr>
              <w:spacing w:line="340" w:lineRule="exact"/>
              <w:rPr>
                <w:bCs/>
                <w:szCs w:val="21"/>
              </w:rPr>
            </w:pPr>
            <w:r>
              <w:rPr>
                <w:rFonts w:hint="eastAsia"/>
                <w:bCs/>
                <w:szCs w:val="21"/>
              </w:rPr>
              <w:t xml:space="preserve">（8）海运或空运提单（海运方式的货进港前需先行电放提单）； </w:t>
            </w:r>
          </w:p>
          <w:p>
            <w:pPr>
              <w:spacing w:line="340" w:lineRule="exact"/>
              <w:rPr>
                <w:bCs/>
                <w:szCs w:val="21"/>
              </w:rPr>
            </w:pPr>
            <w:r>
              <w:rPr>
                <w:rFonts w:hint="eastAsia"/>
                <w:bCs/>
                <w:szCs w:val="21"/>
              </w:rPr>
              <w:t>（9）目的港商检部门出具的商检合格证书；</w:t>
            </w:r>
          </w:p>
          <w:p>
            <w:pPr>
              <w:spacing w:line="340" w:lineRule="exact"/>
              <w:rPr>
                <w:bCs/>
                <w:szCs w:val="21"/>
              </w:rPr>
            </w:pPr>
            <w:r>
              <w:rPr>
                <w:rFonts w:hint="eastAsia"/>
                <w:bCs/>
                <w:szCs w:val="21"/>
              </w:rPr>
              <w:t>（10）保险单；</w:t>
            </w:r>
          </w:p>
          <w:p>
            <w:pPr>
              <w:spacing w:line="340" w:lineRule="exact"/>
              <w:rPr>
                <w:bCs/>
                <w:szCs w:val="21"/>
              </w:rPr>
            </w:pPr>
            <w:r>
              <w:rPr>
                <w:rFonts w:hint="eastAsia"/>
                <w:bCs/>
                <w:szCs w:val="21"/>
              </w:rPr>
              <w:t>（11）报关单；</w:t>
            </w:r>
          </w:p>
          <w:p>
            <w:pPr>
              <w:spacing w:line="340" w:lineRule="exact"/>
              <w:rPr>
                <w:bCs/>
                <w:szCs w:val="21"/>
              </w:rPr>
            </w:pPr>
            <w:r>
              <w:rPr>
                <w:rFonts w:hint="eastAsia"/>
                <w:bCs/>
                <w:szCs w:val="21"/>
              </w:rPr>
              <w:t>（12）木箱包装须提供由本合同货物出产国权威机构签发的木质包装熏蒸证书正本。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0" w:type="dxa"/>
            <w:vMerge w:val="restart"/>
            <w:vAlign w:val="center"/>
          </w:tcPr>
          <w:p>
            <w:pPr>
              <w:jc w:val="center"/>
              <w:rPr>
                <w:b/>
              </w:rPr>
            </w:pPr>
            <w:r>
              <w:rPr>
                <w:rFonts w:hint="eastAsia"/>
                <w:b/>
              </w:rPr>
              <w:t>2</w:t>
            </w:r>
          </w:p>
        </w:tc>
        <w:tc>
          <w:tcPr>
            <w:tcW w:w="1686" w:type="dxa"/>
            <w:vMerge w:val="restart"/>
            <w:vAlign w:val="center"/>
          </w:tcPr>
          <w:p>
            <w:pPr>
              <w:jc w:val="center"/>
            </w:pPr>
            <w:r>
              <w:rPr>
                <w:rFonts w:hint="eastAsia"/>
              </w:rPr>
              <w:t>关于验收</w:t>
            </w:r>
          </w:p>
        </w:tc>
        <w:tc>
          <w:tcPr>
            <w:tcW w:w="5884" w:type="dxa"/>
          </w:tcPr>
          <w:p>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0" w:type="dxa"/>
            <w:vMerge w:val="continue"/>
            <w:vAlign w:val="center"/>
          </w:tcPr>
          <w:p>
            <w:pPr>
              <w:jc w:val="center"/>
              <w:rPr>
                <w:b/>
              </w:rPr>
            </w:pPr>
          </w:p>
        </w:tc>
        <w:tc>
          <w:tcPr>
            <w:tcW w:w="1686" w:type="dxa"/>
            <w:vMerge w:val="continue"/>
          </w:tcPr>
          <w:p>
            <w:pPr>
              <w:rPr>
                <w:b/>
              </w:rPr>
            </w:pPr>
          </w:p>
        </w:tc>
        <w:tc>
          <w:tcPr>
            <w:tcW w:w="5884" w:type="dxa"/>
          </w:tcPr>
          <w:p>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0" w:type="dxa"/>
            <w:vAlign w:val="center"/>
          </w:tcPr>
          <w:p>
            <w:pPr>
              <w:jc w:val="center"/>
              <w:rPr>
                <w:b/>
              </w:rPr>
            </w:pPr>
            <w:r>
              <w:rPr>
                <w:rFonts w:hint="eastAsia"/>
                <w:b/>
              </w:rPr>
              <w:t>3</w:t>
            </w:r>
          </w:p>
        </w:tc>
        <w:tc>
          <w:tcPr>
            <w:tcW w:w="1686" w:type="dxa"/>
            <w:vAlign w:val="center"/>
          </w:tcPr>
          <w:p>
            <w:pPr>
              <w:jc w:val="center"/>
            </w:pPr>
            <w:r>
              <w:rPr>
                <w:rFonts w:hint="eastAsia"/>
              </w:rPr>
              <w:t>付款方式</w:t>
            </w:r>
          </w:p>
        </w:tc>
        <w:tc>
          <w:tcPr>
            <w:tcW w:w="5884" w:type="dxa"/>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szCs w:val="21"/>
              </w:rPr>
            </w:pPr>
            <w:r>
              <w:rPr>
                <w:rFonts w:hint="eastAsia" w:ascii="宋体" w:hAnsi="宋体"/>
                <w:szCs w:val="21"/>
              </w:rPr>
              <w:t>合同签订后，供方支付合同总金额的5%（不超过成交额的5%）质量保证金给需方，验收合格后，需方整理相关付款资料，经付款审批流程后支付货款。质保期满，无质量问题情况下由需方退还供方质量保证金（无息）。</w:t>
            </w:r>
          </w:p>
          <w:p>
            <w:pPr>
              <w:ind w:firstLine="422" w:firstLineChars="200"/>
              <w:rPr>
                <w:rFonts w:ascii="宋体" w:hAnsi="宋体"/>
                <w:b/>
                <w:bCs/>
                <w:color w:val="FF0000"/>
                <w:szCs w:val="21"/>
              </w:rPr>
            </w:pPr>
            <w:r>
              <w:rPr>
                <w:rFonts w:hint="eastAsia" w:ascii="宋体" w:hAnsi="宋体"/>
                <w:b/>
                <w:color w:val="FF0000"/>
                <w:szCs w:val="21"/>
              </w:rPr>
              <w:t>从中华人民共和国境外提供的</w:t>
            </w:r>
            <w:r>
              <w:rPr>
                <w:rFonts w:hint="eastAsia" w:ascii="宋体" w:hAnsi="宋体"/>
                <w:b/>
                <w:bCs/>
                <w:color w:val="FF0000"/>
                <w:szCs w:val="21"/>
              </w:rPr>
              <w:t>货物：</w:t>
            </w:r>
          </w:p>
          <w:p>
            <w:pPr>
              <w:ind w:firstLine="420" w:firstLineChars="200"/>
              <w:rPr>
                <w:rFonts w:ascii="宋体" w:hAnsi="宋体"/>
                <w:color w:val="0000FF"/>
                <w:szCs w:val="21"/>
              </w:rPr>
            </w:pPr>
            <w:r>
              <w:rPr>
                <w:rFonts w:hint="eastAsia" w:ascii="宋体" w:hAnsi="宋体"/>
                <w:szCs w:val="21"/>
              </w:rPr>
              <w:t>货款支付上限为：中标</w:t>
            </w:r>
            <w:r>
              <w:rPr>
                <w:rFonts w:ascii="宋体" w:hAnsi="宋体"/>
                <w:szCs w:val="21"/>
              </w:rPr>
              <w:t>人民币价格</w:t>
            </w:r>
            <w:r>
              <w:rPr>
                <w:rFonts w:hint="eastAsia" w:ascii="宋体" w:hAnsi="宋体"/>
                <w:szCs w:val="21"/>
              </w:rPr>
              <w:t>。</w:t>
            </w:r>
          </w:p>
          <w:p>
            <w:pPr>
              <w:rPr>
                <w:rFonts w:ascii="宋体" w:hAnsi="宋体"/>
                <w:color w:val="0000FF"/>
                <w:szCs w:val="21"/>
              </w:rPr>
            </w:pPr>
          </w:p>
          <w:p>
            <w:pPr>
              <w:ind w:firstLine="420" w:firstLineChars="200"/>
              <w:rPr>
                <w:rFonts w:ascii="宋体" w:hAnsi="宋体"/>
                <w:color w:val="0000FF"/>
                <w:szCs w:val="21"/>
              </w:rPr>
            </w:pPr>
            <w:r>
              <w:rPr>
                <w:rFonts w:hint="eastAsia" w:ascii="宋体" w:hAnsi="宋体"/>
                <w:bCs/>
                <w:szCs w:val="21"/>
              </w:rPr>
              <w:t>签定外贸合同后，需方通知外贸代理公司开立信用证并</w:t>
            </w:r>
            <w:r>
              <w:rPr>
                <w:rFonts w:hint="eastAsia" w:ascii="宋体" w:hAnsi="宋体"/>
                <w:szCs w:val="21"/>
              </w:rPr>
              <w:t>申请财政拨款。拨款到位，</w:t>
            </w:r>
            <w:r>
              <w:rPr>
                <w:rFonts w:hint="eastAsia" w:ascii="宋体" w:hAnsi="宋体"/>
                <w:bCs/>
                <w:szCs w:val="21"/>
              </w:rPr>
              <w:t>第一次付款为合同总金额的80％（L/C</w:t>
            </w:r>
            <w:r>
              <w:rPr>
                <w:rFonts w:hint="eastAsia" w:ascii="宋体" w:hAnsi="宋体"/>
                <w:b/>
                <w:bCs/>
                <w:szCs w:val="21"/>
              </w:rPr>
              <w:t>：</w:t>
            </w:r>
            <w:r>
              <w:rPr>
                <w:rFonts w:hint="eastAsia" w:ascii="宋体" w:hAnsi="宋体"/>
                <w:bCs/>
                <w:szCs w:val="21"/>
              </w:rPr>
              <w:t>收货后见单付款），尾款待验收合格并连续运行</w:t>
            </w:r>
            <w:r>
              <w:rPr>
                <w:rFonts w:hint="eastAsia" w:ascii="宋体" w:hAnsi="宋体"/>
                <w:bCs/>
                <w:szCs w:val="21"/>
                <w:u w:val="single"/>
              </w:rPr>
              <w:t xml:space="preserve"> 1 </w:t>
            </w:r>
            <w:r>
              <w:rPr>
                <w:rFonts w:hint="eastAsia" w:ascii="宋体" w:hAnsi="宋体"/>
                <w:bCs/>
                <w:szCs w:val="21"/>
              </w:rPr>
              <w:t>个月无故障后， TT支付</w:t>
            </w:r>
            <w:r>
              <w:rPr>
                <w:rFonts w:hint="eastAsia"/>
              </w:rPr>
              <w:t>（合同执行期间产生的外币汇率损失由卖方承担）</w:t>
            </w:r>
            <w:r>
              <w:rPr>
                <w:rFonts w:hint="eastAsia" w:ascii="宋体" w:hAnsi="宋体"/>
                <w:bCs/>
                <w:szCs w:val="21"/>
              </w:rPr>
              <w:t>。</w:t>
            </w:r>
          </w:p>
          <w:p>
            <w:pPr>
              <w:ind w:firstLine="420" w:firstLineChars="200"/>
              <w:rPr>
                <w:rFonts w:ascii="宋体" w:hAnsi="宋体"/>
                <w:szCs w:val="21"/>
              </w:rPr>
            </w:pPr>
          </w:p>
          <w:p>
            <w:pPr>
              <w:ind w:firstLine="420" w:firstLineChars="200"/>
              <w:rPr>
                <w:rFonts w:ascii="宋体" w:hAnsi="宋体"/>
                <w:bCs/>
                <w:szCs w:val="21"/>
              </w:rPr>
            </w:pPr>
            <w:r>
              <w:rPr>
                <w:rFonts w:hint="eastAsia" w:ascii="宋体" w:hAnsi="宋体"/>
                <w:bCs/>
                <w:szCs w:val="21"/>
              </w:rPr>
              <w:t>代理费由</w:t>
            </w:r>
            <w:r>
              <w:rPr>
                <w:rFonts w:ascii="宋体" w:hAnsi="宋体"/>
                <w:bCs/>
                <w:szCs w:val="21"/>
              </w:rPr>
              <w:t>中标</w:t>
            </w:r>
            <w:r>
              <w:rPr>
                <w:rFonts w:hint="eastAsia" w:ascii="宋体" w:hAnsi="宋体"/>
                <w:bCs/>
                <w:szCs w:val="21"/>
              </w:rPr>
              <w:t>供应商支付。</w:t>
            </w:r>
          </w:p>
          <w:p>
            <w:pPr>
              <w:ind w:firstLine="420" w:firstLineChars="200"/>
              <w:rPr>
                <w:rFonts w:ascii="宋体" w:hAnsi="宋体"/>
                <w:b/>
                <w:bCs/>
                <w:szCs w:val="21"/>
              </w:rPr>
            </w:pPr>
            <w:r>
              <w:rPr>
                <w:rFonts w:hint="eastAsia" w:ascii="宋体" w:hAnsi="宋体"/>
                <w:bCs/>
                <w:szCs w:val="21"/>
              </w:rPr>
              <w:t>代理费</w:t>
            </w:r>
            <w:r>
              <w:rPr>
                <w:rFonts w:ascii="宋体" w:hAnsi="宋体"/>
                <w:bCs/>
                <w:szCs w:val="21"/>
              </w:rPr>
              <w:t>标准：</w:t>
            </w:r>
            <w:r>
              <w:rPr>
                <w:rFonts w:hint="eastAsia" w:ascii="宋体" w:hAnsi="宋体"/>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0" w:type="dxa"/>
            <w:vAlign w:val="center"/>
          </w:tcPr>
          <w:p>
            <w:pPr>
              <w:jc w:val="center"/>
            </w:pPr>
            <w:r>
              <w:rPr>
                <w:rFonts w:hint="eastAsia"/>
                <w:b/>
              </w:rPr>
              <w:t>4</w:t>
            </w:r>
          </w:p>
        </w:tc>
        <w:tc>
          <w:tcPr>
            <w:tcW w:w="1686" w:type="dxa"/>
            <w:vAlign w:val="center"/>
          </w:tcPr>
          <w:p>
            <w:r>
              <w:rPr>
                <w:rFonts w:hint="eastAsia"/>
              </w:rPr>
              <w:t>关于</w:t>
            </w:r>
            <w:r>
              <w:t>知识产权</w:t>
            </w:r>
          </w:p>
        </w:tc>
        <w:tc>
          <w:tcPr>
            <w:tcW w:w="5884" w:type="dxa"/>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0" w:type="dxa"/>
            <w:vAlign w:val="center"/>
          </w:tcPr>
          <w:p>
            <w:pPr>
              <w:jc w:val="center"/>
              <w:rPr>
                <w:b/>
              </w:rPr>
            </w:pPr>
            <w:r>
              <w:rPr>
                <w:b/>
              </w:rPr>
              <w:t>5</w:t>
            </w:r>
          </w:p>
        </w:tc>
        <w:tc>
          <w:tcPr>
            <w:tcW w:w="1686" w:type="dxa"/>
            <w:vAlign w:val="center"/>
          </w:tcPr>
          <w:p>
            <w:r>
              <w:rPr>
                <w:rFonts w:hint="eastAsia"/>
              </w:rPr>
              <w:t>关于</w:t>
            </w:r>
            <w:r>
              <w:t>商检</w:t>
            </w:r>
          </w:p>
        </w:tc>
        <w:tc>
          <w:tcPr>
            <w:tcW w:w="5884" w:type="dxa"/>
          </w:tcPr>
          <w:p>
            <w:r>
              <w:rPr>
                <w:rFonts w:hint="eastAsia"/>
              </w:rPr>
              <w:t>依据相关法律法规要求，如</w:t>
            </w:r>
            <w:r>
              <w:t>所提供的货物需</w:t>
            </w:r>
            <w:r>
              <w:rPr>
                <w:rFonts w:hint="eastAsia"/>
              </w:rPr>
              <w:t>由国家商检部门进行商检的，商检、检疫费用由中标人承担。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0" w:type="dxa"/>
            <w:vMerge w:val="restart"/>
            <w:vAlign w:val="center"/>
          </w:tcPr>
          <w:p>
            <w:pPr>
              <w:jc w:val="center"/>
            </w:pPr>
            <w:r>
              <w:rPr>
                <w:rFonts w:hint="eastAsia"/>
              </w:rPr>
              <w:t>6</w:t>
            </w:r>
          </w:p>
        </w:tc>
        <w:tc>
          <w:tcPr>
            <w:tcW w:w="1686" w:type="dxa"/>
            <w:vMerge w:val="restart"/>
            <w:vAlign w:val="center"/>
          </w:tcPr>
          <w:p>
            <w:pPr>
              <w:jc w:val="center"/>
            </w:pPr>
            <w:r>
              <w:rPr>
                <w:rFonts w:hint="eastAsia"/>
              </w:rPr>
              <w:t>违约</w:t>
            </w:r>
            <w:r>
              <w:t>责任</w:t>
            </w:r>
          </w:p>
        </w:tc>
        <w:tc>
          <w:tcPr>
            <w:tcW w:w="5884" w:type="dxa"/>
          </w:tcPr>
          <w:p>
            <w:pPr>
              <w:spacing w:line="360" w:lineRule="auto"/>
              <w:ind w:firstLine="420" w:firstLineChars="200"/>
              <w:rPr>
                <w:rFonts w:ascii="宋体" w:hAnsi="宋体"/>
                <w:color w:val="000000"/>
                <w:szCs w:val="21"/>
              </w:rPr>
            </w:pPr>
            <w:r>
              <w:rPr>
                <w:rFonts w:hint="eastAsia" w:ascii="宋体" w:hAnsi="宋体"/>
                <w:color w:val="000000"/>
                <w:szCs w:val="21"/>
              </w:rPr>
              <w:t>1．供需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0" w:type="dxa"/>
            <w:vMerge w:val="continue"/>
            <w:vAlign w:val="center"/>
          </w:tcPr>
          <w:p>
            <w:pPr>
              <w:jc w:val="center"/>
            </w:pPr>
          </w:p>
        </w:tc>
        <w:tc>
          <w:tcPr>
            <w:tcW w:w="1686" w:type="dxa"/>
            <w:vMerge w:val="continue"/>
          </w:tcPr>
          <w:p/>
        </w:tc>
        <w:tc>
          <w:tcPr>
            <w:tcW w:w="5884" w:type="dxa"/>
          </w:tcPr>
          <w:p>
            <w:pPr>
              <w:spacing w:line="360" w:lineRule="auto"/>
              <w:ind w:firstLine="420" w:firstLineChars="200"/>
              <w:rPr>
                <w:rFonts w:ascii="宋体" w:hAnsi="宋体"/>
                <w:color w:val="000000"/>
                <w:szCs w:val="21"/>
              </w:rPr>
            </w:pPr>
            <w:r>
              <w:rPr>
                <w:rFonts w:hint="eastAsia" w:ascii="宋体" w:hAnsi="宋体"/>
                <w:color w:val="000000"/>
                <w:szCs w:val="21"/>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0" w:type="dxa"/>
            <w:vMerge w:val="continue"/>
            <w:vAlign w:val="center"/>
          </w:tcPr>
          <w:p>
            <w:pPr>
              <w:jc w:val="center"/>
            </w:pPr>
          </w:p>
        </w:tc>
        <w:tc>
          <w:tcPr>
            <w:tcW w:w="1686" w:type="dxa"/>
            <w:vMerge w:val="continue"/>
          </w:tcPr>
          <w:p/>
        </w:tc>
        <w:tc>
          <w:tcPr>
            <w:tcW w:w="5884" w:type="dxa"/>
          </w:tcPr>
          <w:p>
            <w:pPr>
              <w:spacing w:line="360" w:lineRule="auto"/>
              <w:ind w:firstLine="420" w:firstLineChars="200"/>
              <w:rPr>
                <w:rFonts w:ascii="宋体" w:hAnsi="宋体"/>
                <w:b/>
                <w:szCs w:val="21"/>
              </w:rPr>
            </w:pPr>
            <w:r>
              <w:rPr>
                <w:rFonts w:hint="eastAsia" w:ascii="宋体" w:hAnsi="宋体"/>
                <w:color w:val="000000"/>
                <w:szCs w:val="21"/>
              </w:rPr>
              <w:t>3．如果供方未按本合同的约定时间交货或提供现场安装、调试或保修等服务，需方可要求供方支付违约金。违约金按每周延迟交货或提供服务的本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r>
    </w:tbl>
    <w:p/>
    <w:p>
      <w:pPr>
        <w:pStyle w:val="5"/>
        <w:spacing w:before="120" w:beforeLines="50" w:after="120" w:afterLines="5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pPr>
        <w:rPr>
          <w:b/>
          <w:sz w:val="24"/>
        </w:rPr>
      </w:pPr>
    </w:p>
    <w:p>
      <w:pPr>
        <w:pStyle w:val="7"/>
        <w:spacing w:line="360" w:lineRule="auto"/>
        <w:rPr>
          <w:rFonts w:ascii="宋体" w:hAnsi="宋体"/>
          <w:szCs w:val="21"/>
        </w:rPr>
      </w:pPr>
      <w:r>
        <w:rPr>
          <w:rFonts w:hint="eastAsia" w:ascii="宋体" w:hAnsi="宋体"/>
          <w:szCs w:val="21"/>
        </w:rPr>
        <w:t>本项目</w:t>
      </w:r>
      <w:r>
        <w:rPr>
          <w:rFonts w:ascii="宋体" w:hAnsi="宋体"/>
          <w:szCs w:val="21"/>
        </w:rPr>
        <w:t>采购的</w:t>
      </w:r>
      <w:r>
        <w:rPr>
          <w:rFonts w:hint="eastAsia" w:ascii="宋体" w:hAnsi="宋体"/>
          <w:szCs w:val="21"/>
        </w:rPr>
        <w:t>是</w:t>
      </w:r>
      <w:r>
        <w:rPr>
          <w:rFonts w:ascii="宋体" w:hAnsi="宋体"/>
          <w:szCs w:val="21"/>
        </w:rPr>
        <w:t>用于教学、科研的仪器设备</w:t>
      </w:r>
      <w:r>
        <w:rPr>
          <w:rFonts w:hint="eastAsia" w:ascii="宋体" w:hAnsi="宋体"/>
          <w:szCs w:val="21"/>
        </w:rPr>
        <w:t>，对于“二、</w:t>
      </w:r>
      <w:r>
        <w:rPr>
          <w:rFonts w:ascii="宋体" w:hAnsi="宋体"/>
          <w:szCs w:val="21"/>
        </w:rPr>
        <w:t>货物清单</w:t>
      </w:r>
      <w:r>
        <w:rPr>
          <w:rFonts w:hint="eastAsia" w:ascii="宋体" w:hAnsi="宋体"/>
          <w:szCs w:val="21"/>
        </w:rPr>
        <w:t>”中“接受进口”的</w:t>
      </w:r>
      <w:r>
        <w:rPr>
          <w:rFonts w:ascii="宋体" w:hAnsi="宋体"/>
          <w:szCs w:val="21"/>
        </w:rPr>
        <w:t>货物，</w:t>
      </w:r>
      <w:r>
        <w:rPr>
          <w:rFonts w:hint="eastAsia" w:ascii="宋体" w:hAnsi="宋体"/>
          <w:szCs w:val="21"/>
        </w:rPr>
        <w:t>如果</w:t>
      </w:r>
      <w:r>
        <w:rPr>
          <w:rFonts w:ascii="宋体" w:hAnsi="宋体"/>
          <w:szCs w:val="21"/>
        </w:rPr>
        <w:t>投标人选用进口产品投标</w:t>
      </w:r>
      <w:r>
        <w:rPr>
          <w:rFonts w:hint="eastAsia" w:ascii="宋体" w:hAnsi="宋体"/>
          <w:szCs w:val="21"/>
        </w:rPr>
        <w:t>并且所选用产品</w:t>
      </w:r>
      <w:r>
        <w:rPr>
          <w:rFonts w:ascii="宋体" w:hAnsi="宋体"/>
          <w:szCs w:val="21"/>
        </w:rPr>
        <w:t>符合</w:t>
      </w:r>
      <w:r>
        <w:rPr>
          <w:rFonts w:hint="eastAsia" w:ascii="宋体" w:hAnsi="宋体"/>
          <w:szCs w:val="21"/>
        </w:rPr>
        <w:t>《科技开发用品免征进口税收暂行规定》 和 《科学研究和教学用品免征进口税收规定》中的免税政策</w:t>
      </w:r>
      <w:r>
        <w:rPr>
          <w:rFonts w:ascii="宋体" w:hAnsi="宋体"/>
          <w:szCs w:val="21"/>
        </w:rPr>
        <w:t>，</w:t>
      </w:r>
      <w:r>
        <w:rPr>
          <w:rFonts w:hint="eastAsia" w:ascii="宋体" w:hAnsi="宋体"/>
          <w:szCs w:val="21"/>
        </w:rPr>
        <w:t>投标人</w:t>
      </w:r>
      <w:r>
        <w:rPr>
          <w:rFonts w:ascii="宋体" w:hAnsi="宋体"/>
          <w:szCs w:val="21"/>
        </w:rPr>
        <w:t>应报</w:t>
      </w:r>
      <w:r>
        <w:rPr>
          <w:rFonts w:hint="eastAsia" w:ascii="宋体" w:hAnsi="宋体"/>
          <w:szCs w:val="21"/>
        </w:rPr>
        <w:t>CIP深圳大学的免税人民币价(不包括进口关税和增值税)，报价中</w:t>
      </w:r>
      <w:r>
        <w:rPr>
          <w:rFonts w:ascii="宋体" w:hAnsi="宋体"/>
          <w:szCs w:val="21"/>
        </w:rPr>
        <w:t>须包含代理服务费。</w:t>
      </w:r>
      <w:r>
        <w:rPr>
          <w:rFonts w:hint="eastAsia" w:ascii="宋体" w:hAnsi="宋体"/>
          <w:color w:val="FF0000"/>
          <w:szCs w:val="21"/>
        </w:rPr>
        <w:t>若供应商所投产品的原产地为美国，且在中国针对美国惩罚性关税清单内，供应商的投标报价应包含惩罚性关税，但不包含原进口关税和增值税，惩罚性关税由中标人支付。</w:t>
      </w:r>
    </w:p>
    <w:p>
      <w:pPr>
        <w:pStyle w:val="7"/>
        <w:spacing w:line="360" w:lineRule="auto"/>
        <w:rPr>
          <w:rFonts w:ascii="宋体" w:hAnsi="宋体"/>
          <w:szCs w:val="21"/>
        </w:rPr>
      </w:pPr>
    </w:p>
    <w:p>
      <w:pPr>
        <w:pStyle w:val="5"/>
        <w:spacing w:before="120" w:beforeLines="50" w:after="120" w:afterLines="50"/>
        <w:rPr>
          <w:sz w:val="28"/>
          <w:szCs w:val="28"/>
        </w:rPr>
      </w:pPr>
      <w:r>
        <w:rPr>
          <w:rFonts w:hint="eastAsia"/>
          <w:sz w:val="28"/>
          <w:szCs w:val="28"/>
        </w:rPr>
        <w:t>六、注意</w:t>
      </w:r>
      <w:r>
        <w:rPr>
          <w:sz w:val="28"/>
          <w:szCs w:val="28"/>
        </w:rPr>
        <w:t>事项</w:t>
      </w:r>
    </w:p>
    <w:p>
      <w:pPr>
        <w:rPr>
          <w:b/>
          <w:sz w:val="24"/>
        </w:rPr>
      </w:pPr>
    </w:p>
    <w:p>
      <w:pPr>
        <w:pStyle w:val="7"/>
        <w:spacing w:line="360" w:lineRule="auto"/>
        <w:ind w:firstLineChars="200"/>
        <w:rPr>
          <w:rFonts w:ascii="宋体" w:hAnsi="宋体"/>
          <w:szCs w:val="21"/>
        </w:rPr>
      </w:pPr>
      <w:r>
        <w:rPr>
          <w:rFonts w:ascii="宋体" w:hAnsi="宋体"/>
          <w:szCs w:val="21"/>
        </w:rPr>
        <w:t>1、</w:t>
      </w:r>
      <w:r>
        <w:rPr>
          <w:rFonts w:hint="eastAsia" w:ascii="宋体" w:hAnsi="宋体"/>
          <w:szCs w:val="21"/>
        </w:rPr>
        <w:t>提供相同品牌产品的不同投标人参加本项目投标的按</w:t>
      </w:r>
      <w:r>
        <w:rPr>
          <w:rFonts w:ascii="宋体" w:hAnsi="宋体"/>
          <w:szCs w:val="21"/>
        </w:rPr>
        <w:t>一家投标人计算</w:t>
      </w:r>
      <w:r>
        <w:rPr>
          <w:rFonts w:hint="eastAsia" w:ascii="宋体" w:hAnsi="宋体"/>
          <w:szCs w:val="21"/>
        </w:rPr>
        <w:t>。非单一产品采购项目，根据采购项目技术构成、产品价格比重等合理确定核心产品，并在招标文件中载明。如</w:t>
      </w:r>
      <w:r>
        <w:rPr>
          <w:rFonts w:ascii="宋体" w:hAnsi="宋体"/>
          <w:szCs w:val="21"/>
        </w:rPr>
        <w:t>不同</w:t>
      </w:r>
      <w:r>
        <w:rPr>
          <w:rFonts w:hint="eastAsia" w:ascii="宋体" w:hAnsi="宋体"/>
          <w:szCs w:val="21"/>
        </w:rPr>
        <w:t>投标人提供的核心产品品牌相同，</w:t>
      </w:r>
      <w:r>
        <w:rPr>
          <w:rFonts w:ascii="宋体" w:hAnsi="宋体"/>
          <w:szCs w:val="21"/>
        </w:rPr>
        <w:t>即认为</w:t>
      </w:r>
      <w:r>
        <w:rPr>
          <w:rFonts w:hint="eastAsia" w:ascii="宋体" w:hAnsi="宋体"/>
          <w:szCs w:val="21"/>
        </w:rPr>
        <w:t>是</w:t>
      </w:r>
      <w:r>
        <w:rPr>
          <w:rFonts w:ascii="宋体" w:hAnsi="宋体"/>
          <w:szCs w:val="21"/>
        </w:rPr>
        <w:t>提供相同</w:t>
      </w:r>
      <w:r>
        <w:rPr>
          <w:rFonts w:hint="eastAsia" w:ascii="宋体" w:hAnsi="宋体"/>
          <w:szCs w:val="21"/>
        </w:rPr>
        <w:t>品牌</w:t>
      </w:r>
      <w:r>
        <w:rPr>
          <w:rFonts w:ascii="宋体" w:hAnsi="宋体"/>
          <w:szCs w:val="21"/>
        </w:rPr>
        <w:t>产品。</w:t>
      </w:r>
    </w:p>
    <w:p>
      <w:pPr>
        <w:pStyle w:val="7"/>
        <w:spacing w:line="360" w:lineRule="auto"/>
        <w:ind w:firstLineChars="200"/>
        <w:rPr>
          <w:rFonts w:ascii="宋体" w:hAnsi="宋体"/>
          <w:szCs w:val="21"/>
        </w:rPr>
      </w:pPr>
      <w:r>
        <w:rPr>
          <w:rFonts w:hint="eastAsia" w:ascii="宋体" w:hAnsi="宋体"/>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7"/>
        <w:spacing w:line="360" w:lineRule="auto"/>
        <w:ind w:firstLineChars="200"/>
        <w:rPr>
          <w:rFonts w:ascii="宋体" w:hAnsi="宋体"/>
          <w:szCs w:val="21"/>
        </w:rPr>
      </w:pPr>
      <w:r>
        <w:rPr>
          <w:rFonts w:hint="eastAsia" w:ascii="宋体" w:hAnsi="宋体"/>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
        <w:spacing w:line="360" w:lineRule="auto"/>
        <w:ind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中标人不得将项目非法分包或转包给任何单位和个人。否则，采购单位有权即刻终止合同，并要求中标人赔偿相应损失。</w:t>
      </w:r>
    </w:p>
    <w:p>
      <w:pPr>
        <w:pStyle w:val="7"/>
        <w:spacing w:line="360" w:lineRule="auto"/>
        <w:ind w:firstLineChars="200"/>
        <w:rPr>
          <w:rFonts w:ascii="宋体" w:hAnsi="宋体"/>
          <w:szCs w:val="21"/>
        </w:rPr>
      </w:pPr>
      <w:r>
        <w:rPr>
          <w:rFonts w:ascii="宋体" w:hAnsi="宋体"/>
          <w:szCs w:val="21"/>
        </w:rPr>
        <w:t>3</w:t>
      </w:r>
      <w:r>
        <w:rPr>
          <w:rFonts w:hint="eastAsia" w:ascii="宋体" w:hAnsi="宋体"/>
          <w:szCs w:val="21"/>
        </w:rPr>
        <w:t>、投标人若认为招标文件的技术要求或其他要求有倾向性或不公正性，可在招标答疑阶段提出，以维护招标行为的公平、公正。</w:t>
      </w:r>
    </w:p>
    <w:p>
      <w:pPr>
        <w:pStyle w:val="7"/>
        <w:spacing w:line="360" w:lineRule="auto"/>
        <w:ind w:firstLineChars="200"/>
        <w:rPr>
          <w:rFonts w:ascii="宋体" w:hAnsi="宋体"/>
          <w:szCs w:val="21"/>
        </w:rPr>
      </w:pPr>
      <w:r>
        <w:rPr>
          <w:rFonts w:ascii="宋体" w:hAnsi="宋体"/>
          <w:szCs w:val="21"/>
        </w:rPr>
        <w:t>4</w:t>
      </w:r>
      <w:r>
        <w:rPr>
          <w:rFonts w:hint="eastAsia" w:ascii="宋体" w:hAnsi="宋体"/>
          <w:szCs w:val="21"/>
        </w:rPr>
        <w:t>、投标人使用的标准必须是国际公认或国家、或地方政府颁布的同等或更高的标准，如投标人使用的标准低于上述标准,评标委员会将有权不予接受，投标人必须列表将明显的差异详细说明。</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、投标人所提交的投标文件对技术参数和各项要求的响应必须列出具体内容。如果投标人只注明“符合”或“满足”，将被视为“不符合”，并可能严重影响评标结果。</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、“综合实力部分”评分中出现无证明资料或专家无法凭所提供资料判断是否得分的情况，一律作不得分处理。</w:t>
      </w:r>
    </w:p>
    <w:p>
      <w:pPr>
        <w:widowControl/>
        <w:jc w:val="left"/>
        <w:rPr>
          <w:b/>
          <w:sz w:val="24"/>
        </w:rPr>
      </w:pPr>
      <w:r>
        <w:rPr>
          <w:b/>
          <w:sz w:val="24"/>
        </w:rPr>
        <w:br w:type="page"/>
      </w:r>
    </w:p>
    <w:p>
      <w:pPr>
        <w:pStyle w:val="5"/>
        <w:rPr>
          <w:kern w:val="2"/>
          <w:sz w:val="32"/>
          <w:szCs w:val="32"/>
        </w:rPr>
      </w:pPr>
      <w:bookmarkStart w:id="30" w:name="bt投标书"/>
      <w:bookmarkEnd w:id="30"/>
      <w:bookmarkStart w:id="31" w:name="bt附件"/>
      <w:bookmarkEnd w:id="31"/>
      <w:r>
        <w:rPr>
          <w:rFonts w:hint="eastAsia"/>
          <w:kern w:val="2"/>
          <w:sz w:val="32"/>
          <w:szCs w:val="32"/>
        </w:rPr>
        <w:t>第三章  投标文件格式</w:t>
      </w:r>
    </w:p>
    <w:p>
      <w:pPr>
        <w:rPr>
          <w:rStyle w:val="71"/>
          <w:color w:val="FF0000"/>
          <w:sz w:val="24"/>
        </w:rPr>
      </w:pPr>
      <w:r>
        <w:rPr>
          <w:rStyle w:val="71"/>
          <w:rFonts w:hint="eastAsia"/>
          <w:color w:val="FF0000"/>
          <w:sz w:val="24"/>
        </w:rPr>
        <w:t>特别提醒：</w:t>
      </w:r>
    </w:p>
    <w:p>
      <w:pPr>
        <w:ind w:firstLine="480" w:firstLineChars="200"/>
        <w:rPr>
          <w:rFonts w:ascii="仿宋_GB2312" w:eastAsia="仿宋_GB2312"/>
          <w:color w:val="000000"/>
          <w:sz w:val="24"/>
        </w:rPr>
      </w:pPr>
      <w:r>
        <w:rPr>
          <w:rFonts w:hint="eastAsia" w:ascii="仿宋_GB2312" w:eastAsia="仿宋_GB2312"/>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pPr>
        <w:ind w:firstLine="480" w:firstLineChars="200"/>
        <w:rPr>
          <w:rFonts w:ascii="仿宋_GB2312" w:eastAsia="仿宋_GB2312"/>
          <w:color w:val="000000"/>
          <w:sz w:val="24"/>
        </w:rPr>
      </w:pPr>
      <w:r>
        <w:rPr>
          <w:rFonts w:hint="eastAsia" w:ascii="仿宋_GB2312" w:eastAsia="仿宋_GB2312"/>
          <w:color w:val="000000"/>
          <w:sz w:val="24"/>
        </w:rPr>
        <w:t>下文中的</w:t>
      </w:r>
      <w:r>
        <w:rPr>
          <w:rFonts w:ascii="仿宋_GB2312" w:eastAsia="仿宋_GB2312"/>
          <w:color w:val="000000"/>
          <w:sz w:val="24"/>
        </w:rPr>
        <w:t>“</w:t>
      </w:r>
      <w:r>
        <w:rPr>
          <w:rFonts w:hint="eastAsia" w:ascii="仿宋_GB2312" w:eastAsia="仿宋_GB2312"/>
          <w:color w:val="000000"/>
          <w:sz w:val="24"/>
        </w:rPr>
        <w:t>投标人</w:t>
      </w:r>
      <w:r>
        <w:rPr>
          <w:rFonts w:ascii="仿宋_GB2312" w:eastAsia="仿宋_GB2312"/>
          <w:color w:val="000000"/>
          <w:sz w:val="24"/>
        </w:rPr>
        <w:t>”</w:t>
      </w:r>
      <w:r>
        <w:rPr>
          <w:rFonts w:hint="eastAsia" w:ascii="仿宋_GB2312" w:eastAsia="仿宋_GB2312"/>
          <w:color w:val="000000"/>
          <w:sz w:val="24"/>
        </w:rPr>
        <w:t>是</w:t>
      </w:r>
      <w:r>
        <w:rPr>
          <w:rFonts w:ascii="仿宋_GB2312" w:eastAsia="仿宋_GB2312"/>
          <w:color w:val="000000"/>
          <w:sz w:val="24"/>
        </w:rPr>
        <w:t>参与投标的公司</w:t>
      </w:r>
      <w:r>
        <w:rPr>
          <w:rFonts w:hint="eastAsia" w:ascii="仿宋_GB2312" w:eastAsia="仿宋_GB2312"/>
          <w:color w:val="000000"/>
          <w:sz w:val="24"/>
        </w:rPr>
        <w:t>。</w:t>
      </w:r>
    </w:p>
    <w:p>
      <w:pPr>
        <w:ind w:firstLine="480" w:firstLineChars="200"/>
        <w:rPr>
          <w:rFonts w:ascii="仿宋_GB2312" w:eastAsia="仿宋_GB2312"/>
          <w:color w:val="000000"/>
          <w:sz w:val="24"/>
        </w:rPr>
      </w:pPr>
      <w:r>
        <w:rPr>
          <w:rFonts w:hint="eastAsia" w:ascii="仿宋_GB2312" w:eastAsia="仿宋_GB2312"/>
          <w:color w:val="000000"/>
          <w:sz w:val="24"/>
        </w:rPr>
        <w:t>在投标</w:t>
      </w:r>
      <w:r>
        <w:rPr>
          <w:rFonts w:ascii="仿宋_GB2312" w:eastAsia="仿宋_GB2312"/>
          <w:color w:val="000000"/>
          <w:sz w:val="24"/>
        </w:rPr>
        <w:t>文件格式中提示（</w:t>
      </w:r>
      <w:r>
        <w:rPr>
          <w:rFonts w:hint="eastAsia" w:ascii="仿宋_GB2312" w:eastAsia="仿宋_GB2312"/>
          <w:color w:val="000000"/>
          <w:sz w:val="24"/>
        </w:rPr>
        <w:t>盖章</w:t>
      </w:r>
      <w:r>
        <w:rPr>
          <w:rFonts w:ascii="仿宋_GB2312" w:eastAsia="仿宋_GB2312"/>
          <w:color w:val="000000"/>
          <w:sz w:val="24"/>
        </w:rPr>
        <w:t>）</w:t>
      </w:r>
      <w:r>
        <w:rPr>
          <w:rFonts w:hint="eastAsia" w:ascii="仿宋_GB2312" w:eastAsia="仿宋_GB2312"/>
          <w:color w:val="000000"/>
          <w:sz w:val="24"/>
        </w:rPr>
        <w:t>或</w:t>
      </w:r>
      <w:r>
        <w:rPr>
          <w:rFonts w:ascii="仿宋_GB2312" w:eastAsia="仿宋_GB2312"/>
          <w:color w:val="000000"/>
          <w:sz w:val="24"/>
        </w:rPr>
        <w:t>（</w:t>
      </w:r>
      <w:r>
        <w:rPr>
          <w:rFonts w:hint="eastAsia" w:ascii="仿宋_GB2312" w:eastAsia="仿宋_GB2312"/>
          <w:color w:val="000000"/>
          <w:sz w:val="24"/>
        </w:rPr>
        <w:t>公章</w:t>
      </w:r>
      <w:r>
        <w:rPr>
          <w:rFonts w:ascii="仿宋_GB2312" w:eastAsia="仿宋_GB2312"/>
          <w:color w:val="000000"/>
          <w:sz w:val="24"/>
        </w:rPr>
        <w:t>）</w:t>
      </w:r>
      <w:r>
        <w:rPr>
          <w:rFonts w:hint="eastAsia" w:ascii="仿宋_GB2312" w:eastAsia="仿宋_GB2312"/>
          <w:color w:val="000000"/>
          <w:sz w:val="24"/>
        </w:rPr>
        <w:t>的</w:t>
      </w:r>
      <w:r>
        <w:rPr>
          <w:rFonts w:ascii="仿宋_GB2312" w:eastAsia="仿宋_GB2312"/>
          <w:color w:val="000000"/>
          <w:sz w:val="24"/>
        </w:rPr>
        <w:t>位置必须盖投标人公章，提示（</w:t>
      </w:r>
      <w:r>
        <w:rPr>
          <w:rFonts w:hint="eastAsia" w:ascii="仿宋_GB2312" w:eastAsia="仿宋_GB2312"/>
          <w:color w:val="000000"/>
          <w:sz w:val="24"/>
        </w:rPr>
        <w:t>签字</w:t>
      </w:r>
      <w:r>
        <w:rPr>
          <w:rFonts w:ascii="仿宋_GB2312" w:eastAsia="仿宋_GB2312"/>
          <w:color w:val="000000"/>
          <w:sz w:val="24"/>
        </w:rPr>
        <w:t>或签章）</w:t>
      </w:r>
      <w:r>
        <w:rPr>
          <w:rFonts w:hint="eastAsia" w:ascii="仿宋_GB2312" w:eastAsia="仿宋_GB2312"/>
          <w:color w:val="000000"/>
          <w:sz w:val="24"/>
        </w:rPr>
        <w:t>的</w:t>
      </w:r>
      <w:r>
        <w:rPr>
          <w:rFonts w:ascii="仿宋_GB2312" w:eastAsia="仿宋_GB2312"/>
          <w:color w:val="000000"/>
          <w:sz w:val="24"/>
        </w:rPr>
        <w:t>地方必须由相关人员亲笔签名或加盖其名章，否则将导致投标无效，</w:t>
      </w:r>
      <w:r>
        <w:rPr>
          <w:rFonts w:hint="eastAsia" w:ascii="仿宋_GB2312" w:eastAsia="仿宋_GB2312"/>
          <w:color w:val="000000"/>
          <w:sz w:val="24"/>
        </w:rPr>
        <w:t>一切后果由供应商自行承担。</w:t>
      </w:r>
    </w:p>
    <w:p>
      <w:pPr>
        <w:rPr>
          <w:sz w:val="32"/>
          <w:szCs w:val="32"/>
        </w:rPr>
      </w:pPr>
    </w:p>
    <w:p>
      <w:pPr>
        <w:ind w:firstLine="480" w:firstLineChars="200"/>
        <w:rPr>
          <w:rFonts w:ascii="宋体" w:hAnsi="宋体"/>
          <w:sz w:val="24"/>
        </w:rPr>
      </w:pPr>
      <w:r>
        <w:rPr>
          <w:rFonts w:hint="eastAsia" w:ascii="宋体" w:hAnsi="宋体"/>
          <w:sz w:val="24"/>
        </w:rPr>
        <w:t>投标文件组成：</w:t>
      </w:r>
    </w:p>
    <w:p>
      <w:pPr>
        <w:pStyle w:val="7"/>
        <w:ind w:firstLine="1575" w:firstLineChars="750"/>
        <w:rPr>
          <w:rFonts w:ascii="宋体" w:hAnsi="宋体"/>
          <w:color w:val="000000"/>
          <w:szCs w:val="21"/>
        </w:rPr>
      </w:pPr>
      <w:r>
        <w:rPr>
          <w:rFonts w:hint="eastAsia" w:ascii="宋体" w:hAnsi="宋体"/>
          <w:color w:val="000000"/>
          <w:szCs w:val="21"/>
        </w:rPr>
        <w:t>1、投标文件封面</w:t>
      </w:r>
    </w:p>
    <w:p>
      <w:pPr>
        <w:pStyle w:val="7"/>
        <w:ind w:firstLine="1575" w:firstLineChars="750"/>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目录</w:t>
      </w:r>
    </w:p>
    <w:p>
      <w:pPr>
        <w:ind w:firstLine="1575" w:firstLineChars="750"/>
        <w:rPr>
          <w:sz w:val="32"/>
          <w:szCs w:val="32"/>
        </w:rPr>
      </w:pPr>
      <w:r>
        <w:rPr>
          <w:rFonts w:ascii="宋体" w:hAnsi="宋体"/>
          <w:color w:val="000000"/>
          <w:szCs w:val="21"/>
        </w:rPr>
        <w:t>3</w:t>
      </w:r>
      <w:r>
        <w:rPr>
          <w:rFonts w:hint="eastAsia" w:ascii="宋体" w:hAnsi="宋体"/>
          <w:color w:val="000000"/>
          <w:szCs w:val="21"/>
        </w:rPr>
        <w:t>、投标文件第一部分</w:t>
      </w:r>
    </w:p>
    <w:p>
      <w:pPr>
        <w:ind w:left="718" w:leftChars="342" w:firstLine="1417" w:firstLineChars="675"/>
        <w:rPr>
          <w:szCs w:val="21"/>
        </w:rPr>
      </w:pPr>
      <w:r>
        <w:rPr>
          <w:rFonts w:hint="eastAsia"/>
          <w:szCs w:val="21"/>
        </w:rPr>
        <w:t>（1）投标函</w:t>
      </w:r>
    </w:p>
    <w:p>
      <w:pPr>
        <w:ind w:left="718" w:leftChars="342" w:firstLine="1417" w:firstLineChars="675"/>
        <w:rPr>
          <w:szCs w:val="21"/>
        </w:rPr>
      </w:pPr>
      <w:r>
        <w:rPr>
          <w:rFonts w:hint="eastAsia"/>
          <w:szCs w:val="21"/>
        </w:rPr>
        <w:t>（2）投标</w:t>
      </w:r>
      <w:r>
        <w:rPr>
          <w:szCs w:val="21"/>
        </w:rPr>
        <w:t>及履约承诺</w:t>
      </w:r>
      <w:r>
        <w:rPr>
          <w:rFonts w:hint="eastAsia"/>
          <w:szCs w:val="21"/>
        </w:rPr>
        <w:t>函</w:t>
      </w:r>
    </w:p>
    <w:p>
      <w:pPr>
        <w:ind w:left="718" w:leftChars="342" w:firstLine="1417" w:firstLineChars="675"/>
        <w:rPr>
          <w:szCs w:val="21"/>
        </w:rPr>
      </w:pPr>
      <w:r>
        <w:rPr>
          <w:szCs w:val="21"/>
        </w:rPr>
        <w:t>（3）</w:t>
      </w:r>
      <w:r>
        <w:rPr>
          <w:rFonts w:hint="eastAsia"/>
          <w:szCs w:val="21"/>
        </w:rPr>
        <w:t>投标</w:t>
      </w:r>
      <w:r>
        <w:rPr>
          <w:szCs w:val="21"/>
        </w:rPr>
        <w:t>一览表</w:t>
      </w:r>
    </w:p>
    <w:p>
      <w:pPr>
        <w:ind w:left="718" w:leftChars="342" w:firstLine="1417" w:firstLineChars="675"/>
        <w:rPr>
          <w:szCs w:val="21"/>
        </w:rPr>
      </w:pPr>
      <w:r>
        <w:rPr>
          <w:rFonts w:hint="eastAsia"/>
          <w:szCs w:val="21"/>
        </w:rPr>
        <w:t>（4）分项报价清单表</w:t>
      </w:r>
    </w:p>
    <w:p>
      <w:pPr>
        <w:ind w:left="2692" w:leftChars="1017" w:hanging="556" w:hangingChars="265"/>
        <w:rPr>
          <w:szCs w:val="21"/>
        </w:rPr>
      </w:pPr>
      <w:r>
        <w:rPr>
          <w:rFonts w:hint="eastAsia"/>
          <w:szCs w:val="21"/>
        </w:rPr>
        <w:t>（5）投标人资格</w:t>
      </w:r>
      <w:r>
        <w:rPr>
          <w:szCs w:val="21"/>
        </w:rPr>
        <w:t>证明</w:t>
      </w:r>
      <w:r>
        <w:rPr>
          <w:rFonts w:hint="eastAsia"/>
          <w:szCs w:val="21"/>
        </w:rPr>
        <w:t>文件</w:t>
      </w:r>
    </w:p>
    <w:p>
      <w:pPr>
        <w:ind w:left="718" w:leftChars="342" w:firstLine="1417" w:firstLineChars="675"/>
        <w:rPr>
          <w:szCs w:val="21"/>
        </w:rPr>
      </w:pPr>
      <w:r>
        <w:rPr>
          <w:rFonts w:hint="eastAsia"/>
          <w:szCs w:val="21"/>
        </w:rPr>
        <w:t>（6）保障措施</w:t>
      </w:r>
      <w:r>
        <w:rPr>
          <w:szCs w:val="21"/>
        </w:rPr>
        <w:t>及环保</w:t>
      </w:r>
    </w:p>
    <w:p>
      <w:pPr>
        <w:ind w:left="718" w:leftChars="342" w:firstLine="1417" w:firstLineChars="675"/>
        <w:rPr>
          <w:szCs w:val="21"/>
        </w:rPr>
      </w:pPr>
      <w:r>
        <w:rPr>
          <w:rFonts w:hint="eastAsia"/>
          <w:szCs w:val="21"/>
        </w:rPr>
        <w:t>（7）近</w:t>
      </w:r>
      <w:r>
        <w:rPr>
          <w:szCs w:val="21"/>
        </w:rPr>
        <w:t>三年同类业绩</w:t>
      </w:r>
    </w:p>
    <w:p>
      <w:pPr>
        <w:ind w:left="718" w:leftChars="342" w:firstLine="1417" w:firstLineChars="675"/>
        <w:rPr>
          <w:szCs w:val="21"/>
        </w:rPr>
      </w:pPr>
      <w:r>
        <w:rPr>
          <w:rFonts w:hint="eastAsia"/>
          <w:szCs w:val="21"/>
        </w:rPr>
        <w:t>（8）投标人</w:t>
      </w:r>
      <w:r>
        <w:rPr>
          <w:szCs w:val="21"/>
        </w:rPr>
        <w:t>认为需要提供的其他证明材料</w:t>
      </w:r>
    </w:p>
    <w:p>
      <w:pPr>
        <w:ind w:left="718" w:leftChars="342" w:firstLine="1417" w:firstLineChars="675"/>
        <w:rPr>
          <w:szCs w:val="21"/>
        </w:rPr>
      </w:pPr>
      <w:r>
        <w:rPr>
          <w:rFonts w:hint="eastAsia"/>
          <w:szCs w:val="21"/>
        </w:rPr>
        <w:t>（9）技术规格</w:t>
      </w:r>
      <w:r>
        <w:rPr>
          <w:szCs w:val="21"/>
        </w:rPr>
        <w:t>证明文件</w:t>
      </w:r>
    </w:p>
    <w:p>
      <w:pPr>
        <w:ind w:left="718" w:leftChars="342" w:firstLine="1417" w:firstLineChars="675"/>
        <w:rPr>
          <w:szCs w:val="21"/>
        </w:rPr>
      </w:pPr>
      <w:r>
        <w:rPr>
          <w:rFonts w:hint="eastAsia"/>
          <w:szCs w:val="21"/>
        </w:rPr>
        <w:t>（10）技术规格偏离表</w:t>
      </w:r>
    </w:p>
    <w:p>
      <w:pPr>
        <w:ind w:left="718" w:leftChars="342" w:firstLine="1417" w:firstLineChars="675"/>
        <w:rPr>
          <w:szCs w:val="21"/>
        </w:rPr>
      </w:pPr>
      <w:r>
        <w:rPr>
          <w:rFonts w:hint="eastAsia"/>
          <w:szCs w:val="21"/>
        </w:rPr>
        <w:t>（11）商务需求偏离表</w:t>
      </w:r>
    </w:p>
    <w:p>
      <w:pPr>
        <w:ind w:left="718" w:leftChars="342" w:firstLine="1417" w:firstLineChars="675"/>
        <w:rPr>
          <w:szCs w:val="21"/>
        </w:rPr>
      </w:pPr>
      <w:r>
        <w:rPr>
          <w:rFonts w:hint="eastAsia"/>
          <w:szCs w:val="21"/>
        </w:rPr>
        <w:t>（12）投标人认为需要加以说明的其他内容</w:t>
      </w:r>
    </w:p>
    <w:p>
      <w:pPr>
        <w:ind w:left="718" w:leftChars="342" w:firstLine="1417" w:firstLineChars="675"/>
        <w:rPr>
          <w:szCs w:val="21"/>
        </w:rPr>
      </w:pPr>
    </w:p>
    <w:p>
      <w:pPr>
        <w:ind w:firstLine="1200" w:firstLineChars="500"/>
        <w:rPr>
          <w:rFonts w:ascii="宋体" w:hAnsi="宋体"/>
          <w:sz w:val="24"/>
        </w:rPr>
      </w:pPr>
      <w:r>
        <w:rPr>
          <w:rFonts w:hint="eastAsia" w:ascii="宋体" w:hAnsi="宋体"/>
          <w:sz w:val="24"/>
        </w:rPr>
        <w:t>2.投标文件第二</w:t>
      </w:r>
      <w:r>
        <w:rPr>
          <w:rFonts w:ascii="宋体" w:hAnsi="宋体"/>
          <w:sz w:val="24"/>
        </w:rPr>
        <w:t>部分</w:t>
      </w:r>
      <w:r>
        <w:rPr>
          <w:rFonts w:hint="eastAsia" w:ascii="宋体" w:hAnsi="宋体"/>
          <w:sz w:val="24"/>
        </w:rPr>
        <w:t>：主要包括以下内容：</w:t>
      </w:r>
    </w:p>
    <w:p>
      <w:pPr>
        <w:ind w:firstLine="2100" w:firstLineChars="1000"/>
        <w:rPr>
          <w:szCs w:val="21"/>
        </w:rPr>
      </w:pPr>
      <w:r>
        <w:rPr>
          <w:rFonts w:hint="eastAsia"/>
          <w:szCs w:val="21"/>
        </w:rPr>
        <w:t>（1）法定代表人证明书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（3）项目实施方案</w:t>
      </w:r>
    </w:p>
    <w:p>
      <w:pPr>
        <w:ind w:left="718" w:leftChars="342" w:firstLine="1417" w:firstLineChars="675"/>
        <w:rPr>
          <w:szCs w:val="21"/>
        </w:rPr>
      </w:pPr>
      <w:r>
        <w:rPr>
          <w:rFonts w:hint="eastAsia"/>
          <w:szCs w:val="21"/>
        </w:rPr>
        <w:t>（4）售后服务方案</w:t>
      </w:r>
    </w:p>
    <w:p>
      <w:pPr>
        <w:widowControl/>
        <w:jc w:val="left"/>
        <w:rPr>
          <w:szCs w:val="21"/>
        </w:rPr>
      </w:pPr>
      <w:r>
        <w:rPr>
          <w:szCs w:val="21"/>
        </w:rPr>
        <w:br w:type="page"/>
      </w:r>
    </w:p>
    <w:p>
      <w:pPr>
        <w:pStyle w:val="3"/>
        <w:rPr>
          <w:color w:val="FF0000"/>
        </w:rPr>
      </w:pPr>
      <w:r>
        <w:rPr>
          <w:rFonts w:hint="eastAsia"/>
          <w:color w:val="FF0000"/>
        </w:rPr>
        <w:t>封面</w:t>
      </w:r>
    </w:p>
    <w:p>
      <w:pPr>
        <w:rPr>
          <w:rFonts w:asciiTheme="minorEastAsia" w:hAnsiTheme="minorEastAsia" w:eastAsiaTheme="minorEastAsia"/>
          <w:b/>
          <w:color w:val="FF0000"/>
          <w:sz w:val="30"/>
          <w:szCs w:val="30"/>
        </w:rPr>
      </w:pPr>
    </w:p>
    <w:p>
      <w:pPr>
        <w:jc w:val="right"/>
        <w:rPr>
          <w:rFonts w:asciiTheme="minorEastAsia" w:hAnsiTheme="minorEastAsia" w:eastAsiaTheme="minorEastAsia"/>
          <w:b/>
          <w:sz w:val="36"/>
          <w:szCs w:val="36"/>
        </w:rPr>
      </w:pPr>
      <w:r>
        <w:rPr>
          <w:rFonts w:hint="eastAsia" w:asciiTheme="minorEastAsia" w:hAnsiTheme="minorEastAsia" w:eastAsiaTheme="minorEastAsia"/>
          <w:b/>
          <w:sz w:val="36"/>
          <w:szCs w:val="36"/>
          <w:highlight w:val="yellow"/>
        </w:rPr>
        <w:t>正本</w:t>
      </w:r>
      <w:r>
        <w:rPr>
          <w:rFonts w:asciiTheme="minorEastAsia" w:hAnsiTheme="minorEastAsia" w:eastAsiaTheme="minorEastAsia"/>
          <w:b/>
          <w:sz w:val="36"/>
          <w:szCs w:val="36"/>
          <w:highlight w:val="yellow"/>
        </w:rPr>
        <w:t>/副本</w:t>
      </w: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投 标 文 件</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项目编号：</w:t>
      </w: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w:t>
      </w:r>
      <w:r>
        <w:rPr>
          <w:rFonts w:asciiTheme="minorEastAsia" w:hAnsiTheme="minorEastAsia" w:eastAsiaTheme="minorEastAsia"/>
          <w:b/>
          <w:sz w:val="32"/>
          <w:szCs w:val="32"/>
        </w:rPr>
        <w:t>名称：</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w:t>
      </w:r>
      <w:r>
        <w:rPr>
          <w:rFonts w:asciiTheme="minorEastAsia" w:hAnsiTheme="minorEastAsia" w:eastAsiaTheme="minorEastAsia"/>
          <w:b/>
          <w:sz w:val="32"/>
          <w:szCs w:val="32"/>
        </w:rPr>
        <w:t>（供应商</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w:t>
      </w:r>
    </w:p>
    <w:p>
      <w:pPr>
        <w:rPr>
          <w:rFonts w:asciiTheme="minorEastAsia" w:hAnsiTheme="minorEastAsia" w:eastAsiaTheme="minorEastAsia"/>
          <w:b/>
          <w:color w:val="FF0000"/>
          <w:sz w:val="30"/>
          <w:szCs w:val="30"/>
        </w:rPr>
      </w:pPr>
    </w:p>
    <w:p>
      <w:pPr>
        <w:rPr>
          <w:rFonts w:asciiTheme="minorEastAsia" w:hAnsiTheme="minorEastAsia" w:eastAsiaTheme="minorEastAsia"/>
          <w:b/>
          <w:color w:val="FF0000"/>
          <w:sz w:val="30"/>
          <w:szCs w:val="30"/>
        </w:rPr>
      </w:pPr>
    </w:p>
    <w:p>
      <w:pPr>
        <w:widowControl/>
        <w:jc w:val="left"/>
        <w:rPr>
          <w:rFonts w:asciiTheme="minorEastAsia" w:hAnsiTheme="minorEastAsia" w:eastAsiaTheme="minorEastAsia"/>
          <w:b/>
          <w:color w:val="FF0000"/>
          <w:sz w:val="30"/>
          <w:szCs w:val="30"/>
        </w:rPr>
      </w:pPr>
      <w:r>
        <w:rPr>
          <w:rFonts w:asciiTheme="minorEastAsia" w:hAnsiTheme="minorEastAsia" w:eastAsiaTheme="minorEastAsia"/>
          <w:b/>
          <w:color w:val="FF0000"/>
          <w:sz w:val="30"/>
          <w:szCs w:val="30"/>
        </w:rPr>
        <w:br w:type="page"/>
      </w:r>
    </w:p>
    <w:p>
      <w:pPr>
        <w:pStyle w:val="3"/>
        <w:jc w:val="center"/>
        <w:rPr>
          <w:sz w:val="36"/>
          <w:szCs w:val="36"/>
        </w:rPr>
      </w:pPr>
      <w:r>
        <w:rPr>
          <w:rFonts w:hint="eastAsia"/>
          <w:sz w:val="36"/>
          <w:szCs w:val="36"/>
        </w:rPr>
        <w:t>目录</w:t>
      </w:r>
    </w:p>
    <w:p>
      <w:pPr>
        <w:rPr>
          <w:rFonts w:ascii="仿宋_GB2312" w:eastAsia="仿宋_GB2312"/>
          <w:sz w:val="30"/>
          <w:szCs w:val="30"/>
        </w:rPr>
      </w:pPr>
      <w:r>
        <w:rPr>
          <w:rFonts w:hint="eastAsia" w:ascii="仿宋_GB2312" w:eastAsia="仿宋_GB2312"/>
          <w:sz w:val="30"/>
          <w:szCs w:val="30"/>
        </w:rPr>
        <w:t>投标文件第一部分</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一、投标函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投标及履约承诺函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投标一览表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w:t>
      </w:r>
      <w:r>
        <w:rPr>
          <w:rFonts w:hint="eastAsia" w:asciiTheme="minorEastAsia" w:hAnsiTheme="minorEastAsia" w:eastAsiaTheme="minorEastAsia"/>
          <w:sz w:val="28"/>
          <w:szCs w:val="28"/>
        </w:rPr>
        <w:t>分项报价清单表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五</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六</w:t>
      </w:r>
      <w:r>
        <w:rPr>
          <w:rFonts w:asciiTheme="minorEastAsia" w:hAnsiTheme="minorEastAsia" w:eastAsiaTheme="minorEastAsia"/>
          <w:sz w:val="28"/>
          <w:szCs w:val="28"/>
        </w:rPr>
        <w:t>、</w:t>
      </w:r>
      <w:r>
        <w:rPr>
          <w:rFonts w:hint="eastAsia" w:asciiTheme="minorEastAsia" w:hAnsiTheme="minorEastAsia" w:eastAsiaTheme="minorEastAsia"/>
          <w:sz w:val="28"/>
          <w:szCs w:val="28"/>
        </w:rPr>
        <w:t>保障措施及环保</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七</w:t>
      </w:r>
      <w:r>
        <w:rPr>
          <w:rFonts w:asciiTheme="minorEastAsia" w:hAnsiTheme="minorEastAsia" w:eastAsiaTheme="minorEastAsia"/>
          <w:sz w:val="28"/>
          <w:szCs w:val="28"/>
        </w:rPr>
        <w:t>、</w:t>
      </w:r>
      <w:r>
        <w:rPr>
          <w:rFonts w:hint="eastAsia" w:asciiTheme="minorEastAsia" w:hAnsiTheme="minorEastAsia" w:eastAsiaTheme="minorEastAsia"/>
          <w:sz w:val="28"/>
          <w:szCs w:val="28"/>
        </w:rPr>
        <w:t>近三年同类业绩</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八</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投标人认为需要提供的其他证明材料</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九</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十一</w:t>
      </w:r>
      <w:r>
        <w:rPr>
          <w:rFonts w:asciiTheme="minorEastAsia" w:hAnsiTheme="minorEastAsia" w:eastAsiaTheme="minorEastAsia"/>
          <w:sz w:val="28"/>
          <w:szCs w:val="28"/>
        </w:rPr>
        <w:t>、</w:t>
      </w:r>
      <w:r>
        <w:rPr>
          <w:rFonts w:hint="eastAsia" w:asciiTheme="minorEastAsia" w:hAnsiTheme="minorEastAsia" w:eastAsiaTheme="minorEastAsia"/>
          <w:sz w:val="28"/>
          <w:szCs w:val="28"/>
        </w:rPr>
        <w:t>商务需求偏离表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十二</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投标人认为需要加以说明的其他内容</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投标文件第二部分</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一、法定</w:t>
      </w:r>
      <w:r>
        <w:rPr>
          <w:rFonts w:asciiTheme="minorEastAsia" w:hAnsiTheme="minorEastAsia" w:eastAsiaTheme="minorEastAsia"/>
          <w:sz w:val="28"/>
          <w:szCs w:val="28"/>
        </w:rPr>
        <w:t>代表人证明书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投标文件签署授权委托书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、项目实施方案</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、售后服务方案</w:t>
      </w:r>
    </w:p>
    <w:p/>
    <w:p/>
    <w:p>
      <w:pPr>
        <w:rPr>
          <w:color w:val="FF0000"/>
        </w:rPr>
      </w:pPr>
      <w:r>
        <w:rPr>
          <w:rFonts w:hint="eastAsia"/>
          <w:color w:val="FF0000"/>
        </w:rPr>
        <w:t>注意</w:t>
      </w:r>
      <w:r>
        <w:rPr>
          <w:color w:val="FF0000"/>
        </w:rPr>
        <w:t>：</w:t>
      </w:r>
      <w:r>
        <w:rPr>
          <w:rFonts w:hint="eastAsia"/>
          <w:color w:val="FF0000"/>
        </w:rPr>
        <w:t>目录</w:t>
      </w:r>
      <w:r>
        <w:rPr>
          <w:color w:val="FF0000"/>
        </w:rPr>
        <w:t>须标注</w:t>
      </w:r>
      <w:r>
        <w:rPr>
          <w:rFonts w:hint="eastAsia"/>
          <w:color w:val="FF0000"/>
        </w:rPr>
        <w:t>对应</w:t>
      </w:r>
      <w:r>
        <w:rPr>
          <w:color w:val="FF0000"/>
        </w:rPr>
        <w:t>的页码</w:t>
      </w: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pStyle w:val="3"/>
      </w:pPr>
      <w:r>
        <w:rPr>
          <w:rFonts w:hint="eastAsia"/>
          <w:color w:val="FF0000"/>
        </w:rPr>
        <w:t>投标文件第一部分</w:t>
      </w:r>
    </w:p>
    <w:p>
      <w:pPr>
        <w:rPr>
          <w:kern w:val="0"/>
        </w:rPr>
      </w:pPr>
    </w:p>
    <w:p>
      <w:pPr>
        <w:pStyle w:val="3"/>
        <w:jc w:val="center"/>
        <w:rPr>
          <w:rFonts w:ascii="黑体" w:eastAsia="黑体"/>
          <w:b w:val="0"/>
          <w:kern w:val="0"/>
          <w:sz w:val="32"/>
        </w:rPr>
      </w:pPr>
      <w:r>
        <w:rPr>
          <w:rFonts w:hint="eastAsia" w:ascii="黑体" w:eastAsia="黑体"/>
          <w:b w:val="0"/>
          <w:kern w:val="0"/>
          <w:sz w:val="32"/>
        </w:rPr>
        <w:t>一、投标函</w:t>
      </w:r>
    </w:p>
    <w:p>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  深圳大学</w:t>
      </w:r>
    </w:p>
    <w:p>
      <w:pPr>
        <w:spacing w:after="120" w:afterLines="50"/>
        <w:ind w:firstLine="560" w:firstLineChars="200"/>
        <w:rPr>
          <w:sz w:val="28"/>
          <w:szCs w:val="28"/>
        </w:rPr>
      </w:pPr>
      <w:r>
        <w:rPr>
          <w:rFonts w:hint="eastAsia"/>
          <w:sz w:val="28"/>
          <w:szCs w:val="28"/>
        </w:rPr>
        <w:t>1、根据已收到贵方的项目编号为</w:t>
      </w:r>
      <w:r>
        <w:rPr>
          <w:sz w:val="28"/>
          <w:szCs w:val="28"/>
          <w:u w:val="single"/>
        </w:rPr>
        <w:t>SZUCG</w:t>
      </w:r>
      <w:r>
        <w:rPr>
          <w:rFonts w:hint="eastAsia"/>
          <w:sz w:val="28"/>
          <w:szCs w:val="28"/>
        </w:rPr>
        <w:t>的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pPr>
        <w:spacing w:after="120" w:afterLines="50"/>
        <w:ind w:firstLine="560" w:firstLineChars="200"/>
        <w:rPr>
          <w:sz w:val="28"/>
          <w:szCs w:val="28"/>
        </w:rPr>
      </w:pPr>
      <w:r>
        <w:rPr>
          <w:sz w:val="28"/>
          <w:szCs w:val="28"/>
        </w:rPr>
        <w:t>2</w:t>
      </w:r>
      <w:r>
        <w:rPr>
          <w:rFonts w:hint="eastAsia"/>
          <w:sz w:val="28"/>
          <w:szCs w:val="28"/>
        </w:rPr>
        <w:t>、如果我方中标，我方将按照规定提交上述总价％作为履约担保（可提供保函或现金）。</w:t>
      </w:r>
    </w:p>
    <w:p>
      <w:pPr>
        <w:spacing w:after="120" w:afterLines="50"/>
        <w:ind w:firstLine="548" w:firstLineChars="196"/>
        <w:rPr>
          <w:rFonts w:ascii="宋体" w:hAnsi="宋体"/>
          <w:sz w:val="28"/>
          <w:szCs w:val="28"/>
        </w:rPr>
      </w:pPr>
      <w:r>
        <w:rPr>
          <w:rFonts w:hint="eastAsia" w:ascii="宋体" w:hAnsi="宋体"/>
          <w:sz w:val="28"/>
          <w:szCs w:val="28"/>
        </w:rPr>
        <w:t>3、我方同意所递交的投标文件在“对通用条款的补充内容”中的投标有效期内有效，在此期间内我方的投标有可能中标，我方将受此约束。</w:t>
      </w:r>
    </w:p>
    <w:p>
      <w:pPr>
        <w:spacing w:after="120" w:afterLines="50"/>
        <w:ind w:firstLine="548" w:firstLineChars="196"/>
        <w:rPr>
          <w:rFonts w:ascii="宋体" w:hAnsi="宋体"/>
          <w:sz w:val="28"/>
          <w:szCs w:val="28"/>
        </w:rPr>
      </w:pPr>
      <w:r>
        <w:rPr>
          <w:rFonts w:hint="eastAsia" w:ascii="宋体" w:hAnsi="宋体"/>
          <w:sz w:val="28"/>
          <w:szCs w:val="28"/>
        </w:rPr>
        <w:t>4、除非另外达成协议并生效，贵方的中标通知书和本投标文件将构成约束我们双方的合同。</w:t>
      </w:r>
    </w:p>
    <w:p>
      <w:pPr>
        <w:spacing w:after="120" w:afterLines="50"/>
        <w:ind w:firstLine="548" w:firstLineChars="196"/>
        <w:rPr>
          <w:rFonts w:ascii="宋体" w:hAnsi="宋体"/>
          <w:sz w:val="28"/>
          <w:szCs w:val="28"/>
        </w:rPr>
      </w:pPr>
      <w:r>
        <w:rPr>
          <w:rFonts w:hint="eastAsia" w:ascii="宋体" w:hAnsi="宋体"/>
          <w:sz w:val="28"/>
          <w:szCs w:val="28"/>
        </w:rPr>
        <w:t>5、我方理解贵方将不受必须接受你们所收到的最低标价或其它任何投标文件的约束。</w:t>
      </w:r>
    </w:p>
    <w:p>
      <w:pPr>
        <w:ind w:left="540" w:leftChars="257"/>
        <w:rPr>
          <w:sz w:val="28"/>
          <w:szCs w:val="28"/>
        </w:rPr>
      </w:pPr>
    </w:p>
    <w:p>
      <w:pPr>
        <w:ind w:left="540" w:leftChars="257"/>
        <w:rPr>
          <w:sz w:val="28"/>
          <w:szCs w:val="28"/>
        </w:rPr>
      </w:pPr>
    </w:p>
    <w:p>
      <w:pPr>
        <w:ind w:left="540" w:leftChars="257"/>
        <w:rPr>
          <w:sz w:val="28"/>
          <w:szCs w:val="28"/>
        </w:rPr>
      </w:pPr>
      <w:r>
        <w:rPr>
          <w:rFonts w:hint="eastAsia"/>
          <w:sz w:val="28"/>
          <w:szCs w:val="28"/>
        </w:rPr>
        <w:t>投标人：(盖章)</w:t>
      </w:r>
    </w:p>
    <w:p>
      <w:pPr>
        <w:ind w:left="540" w:leftChars="257"/>
        <w:rPr>
          <w:sz w:val="28"/>
          <w:szCs w:val="28"/>
          <w:u w:val="single"/>
        </w:rPr>
      </w:pPr>
      <w:r>
        <w:rPr>
          <w:rFonts w:hint="eastAsia"/>
          <w:sz w:val="28"/>
          <w:szCs w:val="28"/>
        </w:rPr>
        <w:t>单位地址：</w:t>
      </w:r>
    </w:p>
    <w:p>
      <w:pPr>
        <w:ind w:left="540" w:leftChars="257"/>
        <w:rPr>
          <w:sz w:val="28"/>
          <w:szCs w:val="28"/>
          <w:u w:val="single"/>
        </w:rPr>
      </w:pPr>
      <w:r>
        <w:rPr>
          <w:rFonts w:hint="eastAsia"/>
          <w:sz w:val="28"/>
          <w:szCs w:val="28"/>
        </w:rPr>
        <w:t>法定代表人或其委托代理人：</w:t>
      </w:r>
      <w:r>
        <w:rPr>
          <w:rFonts w:hint="eastAsia"/>
          <w:sz w:val="28"/>
          <w:szCs w:val="28"/>
          <w:u w:val="single"/>
        </w:rPr>
        <w:t>（签字</w:t>
      </w:r>
      <w:r>
        <w:rPr>
          <w:sz w:val="28"/>
          <w:szCs w:val="28"/>
          <w:u w:val="single"/>
        </w:rPr>
        <w:t>或签章</w:t>
      </w:r>
      <w:r>
        <w:rPr>
          <w:rFonts w:hint="eastAsia"/>
          <w:sz w:val="28"/>
          <w:szCs w:val="28"/>
          <w:u w:val="single"/>
        </w:rPr>
        <w:t>）</w:t>
      </w:r>
    </w:p>
    <w:p>
      <w:pPr>
        <w:ind w:left="540" w:leftChars="257"/>
        <w:rPr>
          <w:sz w:val="28"/>
          <w:szCs w:val="28"/>
          <w:u w:val="single"/>
        </w:rPr>
      </w:pPr>
      <w:r>
        <w:rPr>
          <w:rFonts w:hint="eastAsia"/>
          <w:sz w:val="28"/>
          <w:szCs w:val="28"/>
        </w:rPr>
        <w:t>电话：传真：</w:t>
      </w:r>
    </w:p>
    <w:p>
      <w:pPr>
        <w:ind w:left="540" w:leftChars="257"/>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left="540" w:leftChars="257"/>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firstLine="560" w:firstLineChars="200"/>
        <w:rPr>
          <w:sz w:val="24"/>
        </w:rPr>
      </w:pPr>
      <w:r>
        <w:rPr>
          <w:rFonts w:hint="eastAsia" w:ascii="宋体" w:hAnsi="宋体"/>
          <w:sz w:val="28"/>
          <w:szCs w:val="28"/>
        </w:rPr>
        <w:t>日期：年月日</w:t>
      </w:r>
    </w:p>
    <w:p>
      <w:pPr>
        <w:rPr>
          <w:rFonts w:ascii="黑体" w:hAnsi="宋体" w:eastAsia="黑体"/>
        </w:rPr>
      </w:pPr>
      <w:r>
        <w:rPr>
          <w:rFonts w:ascii="黑体" w:hAnsi="宋体" w:eastAsia="黑体"/>
        </w:rPr>
        <w:br w:type="page"/>
      </w:r>
    </w:p>
    <w:p>
      <w:pPr>
        <w:pStyle w:val="3"/>
        <w:jc w:val="center"/>
        <w:rPr>
          <w:rFonts w:ascii="黑体" w:eastAsia="黑体"/>
          <w:b w:val="0"/>
          <w:kern w:val="0"/>
          <w:sz w:val="32"/>
        </w:rPr>
      </w:pPr>
      <w:r>
        <w:rPr>
          <w:rFonts w:hint="eastAsia" w:ascii="黑体" w:eastAsia="黑体"/>
          <w:b w:val="0"/>
          <w:kern w:val="0"/>
          <w:sz w:val="32"/>
        </w:rPr>
        <w:t>二、投标及履约承诺函</w:t>
      </w:r>
    </w:p>
    <w:p>
      <w:pPr>
        <w:rPr>
          <w:rFonts w:ascii="宋体" w:hAnsi="宋体"/>
          <w:sz w:val="24"/>
        </w:rPr>
      </w:pPr>
    </w:p>
    <w:p>
      <w:pPr>
        <w:rPr>
          <w:rFonts w:ascii="宋体" w:hAnsi="宋体"/>
          <w:sz w:val="28"/>
          <w:szCs w:val="28"/>
        </w:rPr>
      </w:pPr>
      <w:r>
        <w:rPr>
          <w:rFonts w:hint="eastAsia" w:ascii="宋体" w:hAnsi="宋体"/>
          <w:sz w:val="28"/>
          <w:szCs w:val="28"/>
        </w:rPr>
        <w:t>致：</w:t>
      </w:r>
      <w:r>
        <w:rPr>
          <w:rFonts w:hint="eastAsia" w:ascii="宋体" w:hAnsi="宋体"/>
          <w:sz w:val="28"/>
          <w:szCs w:val="28"/>
          <w:u w:val="single"/>
        </w:rPr>
        <w:t>深圳大学</w:t>
      </w:r>
    </w:p>
    <w:p>
      <w:pPr>
        <w:rPr>
          <w:rFonts w:ascii="宋体" w:hAnsi="宋体"/>
          <w:sz w:val="28"/>
          <w:szCs w:val="28"/>
        </w:rPr>
      </w:pPr>
    </w:p>
    <w:p>
      <w:pPr>
        <w:ind w:right="-815" w:firstLine="560" w:firstLineChars="200"/>
        <w:rPr>
          <w:rFonts w:ascii="宋体" w:hAnsi="宋体"/>
          <w:sz w:val="28"/>
          <w:szCs w:val="28"/>
        </w:rPr>
      </w:pPr>
      <w:r>
        <w:rPr>
          <w:rFonts w:hint="eastAsia" w:ascii="宋体" w:hAnsi="宋体"/>
          <w:sz w:val="28"/>
          <w:szCs w:val="28"/>
        </w:rPr>
        <w:t>我公司承诺：</w:t>
      </w:r>
    </w:p>
    <w:p>
      <w:pPr>
        <w:ind w:firstLine="560" w:firstLineChars="200"/>
        <w:rPr>
          <w:rFonts w:ascii="宋体" w:hAnsi="宋体"/>
          <w:sz w:val="28"/>
          <w:szCs w:val="28"/>
        </w:rPr>
      </w:pPr>
      <w:r>
        <w:rPr>
          <w:rFonts w:hint="eastAsia" w:ascii="宋体" w:hAnsi="宋体"/>
          <w:sz w:val="28"/>
          <w:szCs w:val="28"/>
        </w:rPr>
        <w:t>1.我公司依法缴纳税收和社会保障资金。</w:t>
      </w:r>
    </w:p>
    <w:p>
      <w:pPr>
        <w:ind w:firstLine="560" w:firstLineChars="200"/>
        <w:rPr>
          <w:rFonts w:ascii="宋体" w:hAnsi="宋体"/>
          <w:sz w:val="28"/>
          <w:szCs w:val="28"/>
        </w:rPr>
      </w:pPr>
      <w:r>
        <w:rPr>
          <w:rFonts w:hint="eastAsia" w:ascii="宋体" w:hAnsi="宋体"/>
          <w:sz w:val="28"/>
          <w:szCs w:val="28"/>
        </w:rPr>
        <w:t>2.我公司具备合同所必需的社保和专业技术能力。</w:t>
      </w:r>
    </w:p>
    <w:p>
      <w:pPr>
        <w:ind w:firstLine="560" w:firstLineChars="200"/>
        <w:rPr>
          <w:rFonts w:ascii="宋体" w:hAnsi="宋体"/>
          <w:sz w:val="28"/>
          <w:szCs w:val="28"/>
        </w:rPr>
      </w:pPr>
      <w:r>
        <w:rPr>
          <w:rFonts w:hint="eastAsia" w:ascii="宋体" w:hAnsi="宋体"/>
          <w:sz w:val="28"/>
          <w:szCs w:val="28"/>
        </w:rPr>
        <w:t>3.我公司参与本项目投标前三年内在经营活动中没有重大违法记录。</w:t>
      </w:r>
    </w:p>
    <w:p>
      <w:pPr>
        <w:ind w:firstLine="560" w:firstLineChars="200"/>
        <w:rPr>
          <w:rFonts w:ascii="宋体" w:hAnsi="宋体"/>
          <w:sz w:val="28"/>
          <w:szCs w:val="28"/>
        </w:rPr>
      </w:pPr>
      <w:r>
        <w:rPr>
          <w:rFonts w:hint="eastAsia" w:ascii="宋体" w:hAnsi="宋体"/>
          <w:sz w:val="28"/>
          <w:szCs w:val="28"/>
        </w:rPr>
        <w:t>4.</w:t>
      </w:r>
      <w:r>
        <w:rPr>
          <w:rFonts w:hint="eastAsia"/>
          <w:sz w:val="28"/>
          <w:szCs w:val="28"/>
        </w:rPr>
        <w:t>我公司参与本项目采购活动时不存在被有关部门禁止参与政府采购活动且在有效期内的情况。</w:t>
      </w:r>
    </w:p>
    <w:p>
      <w:pPr>
        <w:ind w:firstLine="560" w:firstLineChars="200"/>
        <w:rPr>
          <w:rFonts w:ascii="宋体" w:hAnsi="宋体"/>
          <w:sz w:val="28"/>
          <w:szCs w:val="28"/>
        </w:rPr>
      </w:pPr>
      <w:r>
        <w:rPr>
          <w:rFonts w:hint="eastAsia" w:ascii="宋体" w:hAnsi="宋体"/>
          <w:sz w:val="28"/>
          <w:szCs w:val="28"/>
        </w:rPr>
        <w:t>5.我公司对本招标项目所提供的货物或服务未侵犯知识产权。</w:t>
      </w:r>
    </w:p>
    <w:p>
      <w:pPr>
        <w:ind w:firstLine="560" w:firstLineChars="200"/>
        <w:rPr>
          <w:rFonts w:ascii="宋体" w:hAnsi="宋体"/>
          <w:sz w:val="28"/>
          <w:szCs w:val="28"/>
        </w:rPr>
      </w:pPr>
      <w:r>
        <w:rPr>
          <w:rFonts w:hint="eastAsia" w:ascii="宋体" w:hAnsi="宋体"/>
          <w:sz w:val="28"/>
          <w:szCs w:val="28"/>
        </w:rPr>
        <w:t>6.我公司保证采购人拥有所投产品完整的所有权，不以保护知识产权或技术保密的名义对所有权和使用权进行任何限制。</w:t>
      </w:r>
    </w:p>
    <w:p>
      <w:pPr>
        <w:ind w:firstLine="560" w:firstLineChars="200"/>
        <w:rPr>
          <w:rFonts w:ascii="宋体" w:hAnsi="宋体"/>
          <w:sz w:val="28"/>
          <w:szCs w:val="28"/>
        </w:rPr>
      </w:pPr>
      <w:r>
        <w:rPr>
          <w:rFonts w:hint="eastAsia" w:ascii="宋体" w:hAnsi="宋体"/>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pPr>
        <w:ind w:firstLine="560" w:firstLineChars="200"/>
        <w:rPr>
          <w:rFonts w:ascii="宋体" w:hAnsi="宋体"/>
          <w:sz w:val="28"/>
          <w:szCs w:val="28"/>
        </w:rPr>
      </w:pPr>
      <w:r>
        <w:rPr>
          <w:rFonts w:hint="eastAsia" w:ascii="宋体" w:hAnsi="宋体"/>
          <w:sz w:val="28"/>
          <w:szCs w:val="28"/>
        </w:rPr>
        <w:t>8.如果中标，做到守信，不偷工减料，依照本项目招标文件需求内容、签署的采购合同及本公司在投标中所作的一切承诺履约。项目验收达到全部指标合格，力争优良。</w:t>
      </w:r>
    </w:p>
    <w:p>
      <w:pPr>
        <w:ind w:firstLine="560" w:firstLineChars="200"/>
        <w:rPr>
          <w:rFonts w:ascii="宋体" w:hAnsi="宋体"/>
          <w:sz w:val="28"/>
          <w:szCs w:val="28"/>
        </w:rPr>
      </w:pPr>
      <w:r>
        <w:rPr>
          <w:rFonts w:hint="eastAsia" w:ascii="宋体" w:hAnsi="宋体"/>
          <w:sz w:val="28"/>
          <w:szCs w:val="28"/>
        </w:rPr>
        <w:t>9. 我公司保证不违法分包转包。</w:t>
      </w:r>
    </w:p>
    <w:p>
      <w:pPr>
        <w:ind w:firstLine="560" w:firstLineChars="200"/>
        <w:rPr>
          <w:rFonts w:ascii="宋体" w:hAnsi="宋体"/>
          <w:sz w:val="28"/>
          <w:szCs w:val="28"/>
        </w:rPr>
      </w:pPr>
      <w:r>
        <w:rPr>
          <w:rFonts w:ascii="宋体" w:hAnsi="宋体"/>
          <w:sz w:val="28"/>
          <w:szCs w:val="28"/>
        </w:rPr>
        <w:t>10</w:t>
      </w:r>
      <w:r>
        <w:rPr>
          <w:rFonts w:hint="eastAsia" w:ascii="宋体" w:hAnsi="宋体"/>
          <w:sz w:val="28"/>
          <w:szCs w:val="28"/>
        </w:rPr>
        <w:t>.在本项目招标过程中，评标委员会若对投标人进行现场勘察或实地考察或检验有关证明材料的原件，我公司将随时做好接受检查的准备。</w:t>
      </w:r>
    </w:p>
    <w:p>
      <w:pPr>
        <w:ind w:firstLine="560" w:firstLineChars="200"/>
        <w:rPr>
          <w:rFonts w:ascii="宋体" w:hAnsi="宋体"/>
          <w:sz w:val="28"/>
          <w:szCs w:val="28"/>
        </w:rPr>
      </w:pPr>
      <w:r>
        <w:rPr>
          <w:rFonts w:hint="eastAsia" w:ascii="宋体" w:hAnsi="宋体"/>
          <w:sz w:val="28"/>
          <w:szCs w:val="28"/>
        </w:rPr>
        <w:t>以上承诺，如有违反，愿依照国家相关法律处理，并承担由此给采购人带来的损失。</w:t>
      </w:r>
    </w:p>
    <w:p>
      <w:pPr>
        <w:wordWrap w:val="0"/>
        <w:ind w:firstLine="645"/>
        <w:jc w:val="right"/>
        <w:rPr>
          <w:rFonts w:ascii="宋体" w:hAnsi="宋体"/>
          <w:sz w:val="28"/>
          <w:szCs w:val="28"/>
        </w:rPr>
      </w:pPr>
    </w:p>
    <w:p>
      <w:pPr>
        <w:ind w:firstLine="645"/>
        <w:jc w:val="right"/>
        <w:rPr>
          <w:rFonts w:ascii="宋体" w:hAnsi="宋体"/>
          <w:sz w:val="28"/>
          <w:szCs w:val="28"/>
        </w:rPr>
      </w:pPr>
    </w:p>
    <w:p>
      <w:pPr>
        <w:ind w:firstLine="645"/>
        <w:jc w:val="right"/>
        <w:rPr>
          <w:rFonts w:ascii="宋体" w:hAnsi="宋体"/>
          <w:sz w:val="28"/>
          <w:szCs w:val="28"/>
        </w:rPr>
      </w:pPr>
      <w:r>
        <w:rPr>
          <w:rFonts w:hint="eastAsia" w:ascii="宋体" w:hAnsi="宋体"/>
          <w:sz w:val="28"/>
          <w:szCs w:val="28"/>
        </w:rPr>
        <w:t>法定代表人或其委托代理人：（签字或签章）</w:t>
      </w:r>
    </w:p>
    <w:p>
      <w:pPr>
        <w:ind w:firstLine="645"/>
        <w:jc w:val="right"/>
        <w:rPr>
          <w:rFonts w:ascii="宋体" w:hAnsi="宋体"/>
          <w:sz w:val="28"/>
          <w:szCs w:val="28"/>
        </w:rPr>
      </w:pPr>
    </w:p>
    <w:p>
      <w:pPr>
        <w:wordWrap w:val="0"/>
        <w:ind w:firstLine="645"/>
        <w:jc w:val="right"/>
        <w:rPr>
          <w:rFonts w:ascii="宋体" w:hAnsi="宋体"/>
          <w:sz w:val="28"/>
          <w:szCs w:val="28"/>
        </w:rPr>
      </w:pPr>
      <w:r>
        <w:rPr>
          <w:rFonts w:hint="eastAsia" w:ascii="宋体" w:hAnsi="宋体"/>
          <w:sz w:val="28"/>
          <w:szCs w:val="28"/>
        </w:rPr>
        <w:t xml:space="preserve">公司名称：           （盖章）   </w:t>
      </w:r>
    </w:p>
    <w:p>
      <w:pPr>
        <w:pStyle w:val="22"/>
        <w:ind w:firstLine="560" w:firstLineChars="200"/>
        <w:rPr>
          <w:rFonts w:ascii="宋体"/>
          <w:b w:val="0"/>
          <w:sz w:val="28"/>
          <w:szCs w:val="28"/>
        </w:rPr>
      </w:pPr>
      <w:r>
        <w:rPr>
          <w:rFonts w:hint="eastAsia" w:ascii="宋体"/>
          <w:b w:val="0"/>
          <w:sz w:val="28"/>
          <w:szCs w:val="28"/>
        </w:rPr>
        <w:t>年   月   日</w:t>
      </w:r>
    </w:p>
    <w:p>
      <w:pPr>
        <w:pStyle w:val="22"/>
        <w:ind w:firstLine="420" w:firstLineChars="200"/>
        <w:rPr>
          <w:rFonts w:ascii="宋体" w:hAnsi="宋体"/>
        </w:rPr>
      </w:pPr>
      <w:r>
        <w:rPr>
          <w:rFonts w:ascii="宋体"/>
          <w:b w:val="0"/>
          <w:sz w:val="21"/>
          <w:szCs w:val="21"/>
        </w:rPr>
        <w:br w:type="page"/>
      </w:r>
    </w:p>
    <w:p>
      <w:pPr>
        <w:pStyle w:val="3"/>
        <w:jc w:val="center"/>
        <w:rPr>
          <w:rFonts w:ascii="黑体" w:hAnsi="黑体" w:eastAsia="黑体"/>
          <w:b w:val="0"/>
          <w:sz w:val="24"/>
          <w:szCs w:val="24"/>
        </w:rPr>
      </w:pPr>
      <w:r>
        <w:rPr>
          <w:rFonts w:ascii="黑体" w:hAnsi="黑体" w:eastAsia="黑体"/>
          <w:b w:val="0"/>
          <w:sz w:val="24"/>
          <w:szCs w:val="24"/>
        </w:rPr>
        <w:t>三、投标一览表</w:t>
      </w:r>
    </w:p>
    <w:p>
      <w:pPr>
        <w:spacing w:line="360" w:lineRule="auto"/>
        <w:ind w:left="151" w:leftChars="72"/>
        <w:rPr>
          <w:rFonts w:ascii="宋体" w:hAnsi="宋体"/>
          <w:sz w:val="24"/>
          <w:szCs w:val="22"/>
        </w:rPr>
      </w:pPr>
      <w:r>
        <w:rPr>
          <w:rFonts w:hint="eastAsia" w:ascii="宋体" w:hAnsi="宋体"/>
          <w:sz w:val="24"/>
        </w:rPr>
        <w:t>投标人名称：_________________ （盖章）</w:t>
      </w:r>
    </w:p>
    <w:p>
      <w:pPr>
        <w:spacing w:line="360" w:lineRule="auto"/>
        <w:ind w:left="151" w:leftChars="72"/>
        <w:rPr>
          <w:rFonts w:ascii="宋体" w:hAnsi="宋体"/>
          <w:color w:val="FF0000"/>
          <w:sz w:val="24"/>
          <w:u w:val="single"/>
        </w:rPr>
      </w:pPr>
      <w:r>
        <w:rPr>
          <w:rFonts w:hint="eastAsia" w:ascii="宋体" w:hAnsi="宋体"/>
          <w:color w:val="FF0000"/>
          <w:sz w:val="24"/>
        </w:rPr>
        <w:t xml:space="preserve">项目编号/包号：_______________ </w:t>
      </w:r>
    </w:p>
    <w:p>
      <w:pPr>
        <w:spacing w:line="360" w:lineRule="auto"/>
        <w:jc w:val="right"/>
        <w:rPr>
          <w:rFonts w:ascii="宋体" w:hAnsi="宋体"/>
          <w:sz w:val="24"/>
        </w:rPr>
      </w:pPr>
    </w:p>
    <w:p>
      <w:pPr>
        <w:spacing w:line="360" w:lineRule="auto"/>
        <w:jc w:val="right"/>
        <w:rPr>
          <w:rFonts w:ascii="宋体" w:hAnsi="宋体"/>
          <w:b/>
          <w:sz w:val="24"/>
        </w:rPr>
      </w:pPr>
    </w:p>
    <w:tbl>
      <w:tblPr>
        <w:tblStyle w:val="54"/>
        <w:tblW w:w="8003" w:type="dxa"/>
        <w:tblInd w:w="288" w:type="dxa"/>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553"/>
        <w:gridCol w:w="3153"/>
        <w:gridCol w:w="2534"/>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763" w:type="dxa"/>
            <w:vAlign w:val="center"/>
          </w:tcPr>
          <w:p>
            <w:pPr>
              <w:spacing w:line="360" w:lineRule="auto"/>
              <w:jc w:val="center"/>
              <w:rPr>
                <w:rFonts w:ascii="宋体" w:hAnsi="宋体"/>
                <w:sz w:val="24"/>
                <w:szCs w:val="22"/>
              </w:rPr>
            </w:pPr>
            <w:r>
              <w:rPr>
                <w:rFonts w:hint="eastAsia" w:ascii="宋体" w:hAnsi="宋体"/>
                <w:sz w:val="24"/>
              </w:rPr>
              <w:t>包号</w:t>
            </w:r>
          </w:p>
        </w:tc>
        <w:tc>
          <w:tcPr>
            <w:tcW w:w="1553" w:type="dxa"/>
            <w:vAlign w:val="center"/>
          </w:tcPr>
          <w:p>
            <w:pPr>
              <w:spacing w:line="360" w:lineRule="auto"/>
              <w:jc w:val="center"/>
              <w:rPr>
                <w:rFonts w:ascii="宋体" w:hAnsi="宋体"/>
                <w:sz w:val="24"/>
                <w:szCs w:val="22"/>
              </w:rPr>
            </w:pPr>
            <w:r>
              <w:rPr>
                <w:rFonts w:hint="eastAsia" w:ascii="宋体" w:hAnsi="宋体"/>
                <w:sz w:val="24"/>
              </w:rPr>
              <w:t>货物/或服务名称</w:t>
            </w:r>
          </w:p>
        </w:tc>
        <w:tc>
          <w:tcPr>
            <w:tcW w:w="3153" w:type="dxa"/>
            <w:vAlign w:val="center"/>
          </w:tcPr>
          <w:p>
            <w:pPr>
              <w:spacing w:line="360" w:lineRule="auto"/>
              <w:jc w:val="center"/>
              <w:rPr>
                <w:rFonts w:ascii="宋体" w:hAnsi="宋体"/>
                <w:sz w:val="24"/>
                <w:szCs w:val="22"/>
              </w:rPr>
            </w:pPr>
            <w:r>
              <w:rPr>
                <w:rFonts w:hint="eastAsia" w:ascii="宋体" w:hAnsi="宋体"/>
                <w:sz w:val="24"/>
              </w:rPr>
              <w:t>投标总价（元/人民币）</w:t>
            </w:r>
          </w:p>
        </w:tc>
        <w:tc>
          <w:tcPr>
            <w:tcW w:w="2534" w:type="dxa"/>
            <w:vAlign w:val="center"/>
          </w:tcPr>
          <w:p>
            <w:pPr>
              <w:spacing w:line="360" w:lineRule="auto"/>
              <w:jc w:val="center"/>
              <w:rPr>
                <w:rFonts w:ascii="宋体" w:hAnsi="宋体"/>
                <w:sz w:val="24"/>
              </w:rPr>
            </w:pPr>
            <w:r>
              <w:rPr>
                <w:rFonts w:hint="eastAsia" w:ascii="宋体" w:hAnsi="宋体"/>
                <w:sz w:val="24"/>
              </w:rPr>
              <w:t>交货期（天/日历日）</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1" w:hRule="atLeast"/>
        </w:trPr>
        <w:tc>
          <w:tcPr>
            <w:tcW w:w="763" w:type="dxa"/>
            <w:vAlign w:val="center"/>
          </w:tcPr>
          <w:p>
            <w:pPr>
              <w:spacing w:line="360" w:lineRule="auto"/>
              <w:jc w:val="center"/>
              <w:rPr>
                <w:rFonts w:ascii="宋体" w:hAnsi="宋体"/>
                <w:sz w:val="24"/>
                <w:szCs w:val="22"/>
              </w:rPr>
            </w:pPr>
          </w:p>
        </w:tc>
        <w:tc>
          <w:tcPr>
            <w:tcW w:w="1553" w:type="dxa"/>
            <w:vAlign w:val="center"/>
          </w:tcPr>
          <w:p>
            <w:pPr>
              <w:spacing w:line="360" w:lineRule="auto"/>
              <w:jc w:val="center"/>
              <w:rPr>
                <w:rFonts w:ascii="宋体" w:hAnsi="宋体"/>
                <w:color w:val="FF0000"/>
                <w:sz w:val="24"/>
                <w:szCs w:val="22"/>
              </w:rPr>
            </w:pPr>
          </w:p>
        </w:tc>
        <w:tc>
          <w:tcPr>
            <w:tcW w:w="3153" w:type="dxa"/>
            <w:vAlign w:val="center"/>
          </w:tcPr>
          <w:p>
            <w:pPr>
              <w:spacing w:line="360" w:lineRule="auto"/>
              <w:rPr>
                <w:rFonts w:ascii="宋体" w:hAnsi="宋体"/>
                <w:sz w:val="24"/>
              </w:rPr>
            </w:pPr>
            <w:r>
              <w:rPr>
                <w:rFonts w:hint="eastAsia" w:ascii="宋体" w:hAnsi="宋体"/>
                <w:sz w:val="24"/>
              </w:rPr>
              <w:t>小写金额：</w:t>
            </w:r>
          </w:p>
          <w:p>
            <w:pPr>
              <w:spacing w:line="360" w:lineRule="auto"/>
              <w:rPr>
                <w:rFonts w:ascii="宋体" w:hAnsi="宋体"/>
                <w:sz w:val="24"/>
                <w:szCs w:val="22"/>
              </w:rPr>
            </w:pPr>
            <w:r>
              <w:rPr>
                <w:rFonts w:hint="eastAsia" w:ascii="宋体" w:hAnsi="宋体"/>
                <w:sz w:val="24"/>
              </w:rPr>
              <w:t>大写金额：</w:t>
            </w:r>
          </w:p>
        </w:tc>
        <w:tc>
          <w:tcPr>
            <w:tcW w:w="2534"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8003" w:type="dxa"/>
            <w:gridSpan w:val="4"/>
            <w:vAlign w:val="center"/>
          </w:tcPr>
          <w:p>
            <w:pPr>
              <w:spacing w:line="360" w:lineRule="auto"/>
              <w:rPr>
                <w:rFonts w:ascii="宋体" w:hAnsi="宋体"/>
                <w:sz w:val="24"/>
              </w:rPr>
            </w:pPr>
            <w:r>
              <w:rPr>
                <w:rFonts w:hint="eastAsia" w:ascii="宋体" w:hAnsi="宋体"/>
                <w:sz w:val="24"/>
              </w:rPr>
              <w:t>注：上述投标一览表经我方投标代表确认无误，我方无其他投标声明</w:t>
            </w:r>
          </w:p>
        </w:tc>
      </w:tr>
    </w:tbl>
    <w:p>
      <w:pPr>
        <w:spacing w:line="360" w:lineRule="auto"/>
        <w:ind w:left="153" w:hanging="153"/>
        <w:rPr>
          <w:rFonts w:ascii="宋体" w:hAnsi="宋体"/>
          <w:sz w:val="24"/>
          <w:szCs w:val="22"/>
        </w:rPr>
      </w:pPr>
    </w:p>
    <w:p>
      <w:pPr>
        <w:spacing w:line="360" w:lineRule="auto"/>
        <w:ind w:left="-840" w:leftChars="-400" w:firstLine="840" w:firstLineChars="350"/>
        <w:rPr>
          <w:rFonts w:ascii="宋体" w:hAnsi="宋体"/>
          <w:sz w:val="24"/>
        </w:rPr>
      </w:pPr>
      <w:r>
        <w:rPr>
          <w:rFonts w:hint="eastAsia" w:ascii="宋体" w:hAnsi="宋体"/>
          <w:sz w:val="24"/>
        </w:rPr>
        <w:t>注：</w:t>
      </w:r>
    </w:p>
    <w:p>
      <w:pPr>
        <w:numPr>
          <w:ilvl w:val="3"/>
          <w:numId w:val="4"/>
        </w:numPr>
        <w:tabs>
          <w:tab w:val="left" w:pos="360"/>
        </w:tabs>
        <w:spacing w:line="360" w:lineRule="auto"/>
        <w:ind w:left="480" w:hanging="480"/>
        <w:rPr>
          <w:rFonts w:ascii="宋体" w:hAnsi="宋体"/>
          <w:sz w:val="24"/>
        </w:rPr>
      </w:pPr>
      <w:r>
        <w:rPr>
          <w:rFonts w:hint="eastAsia" w:ascii="宋体" w:hAnsi="宋体"/>
          <w:sz w:val="24"/>
        </w:rPr>
        <w:t>投标人应按要求填写投标总价的大写金额，如未填写，所产生的不利后果由投标人自行承担。</w:t>
      </w:r>
    </w:p>
    <w:p>
      <w:pPr>
        <w:numPr>
          <w:ilvl w:val="3"/>
          <w:numId w:val="4"/>
        </w:numPr>
        <w:tabs>
          <w:tab w:val="left" w:pos="360"/>
        </w:tabs>
        <w:spacing w:line="360" w:lineRule="auto"/>
        <w:ind w:left="480" w:hanging="480"/>
        <w:rPr>
          <w:rFonts w:ascii="宋体" w:hAnsi="宋体"/>
          <w:sz w:val="24"/>
        </w:rPr>
      </w:pPr>
      <w:r>
        <w:rPr>
          <w:rFonts w:hint="eastAsia" w:ascii="宋体" w:hAnsi="宋体"/>
          <w:sz w:val="24"/>
        </w:rPr>
        <w:t>投标人应以包为单位（如分包招标的话），单独填写投标一览表。</w:t>
      </w:r>
    </w:p>
    <w:p>
      <w:pPr>
        <w:tabs>
          <w:tab w:val="left" w:pos="360"/>
        </w:tabs>
        <w:spacing w:line="360" w:lineRule="auto"/>
        <w:ind w:left="360"/>
        <w:rPr>
          <w:rFonts w:ascii="宋体" w:hAnsi="宋体"/>
          <w:sz w:val="24"/>
        </w:rPr>
      </w:pPr>
    </w:p>
    <w:p>
      <w:pPr>
        <w:spacing w:line="360" w:lineRule="auto"/>
        <w:ind w:left="153" w:hanging="153"/>
        <w:rPr>
          <w:rFonts w:ascii="宋体" w:hAnsi="宋体"/>
          <w:sz w:val="24"/>
        </w:rPr>
      </w:pPr>
    </w:p>
    <w:p>
      <w:pPr>
        <w:spacing w:line="360" w:lineRule="auto"/>
        <w:ind w:left="153" w:hanging="153"/>
        <w:rPr>
          <w:rFonts w:ascii="宋体" w:hAnsi="宋体"/>
          <w:sz w:val="24"/>
        </w:rPr>
      </w:pPr>
    </w:p>
    <w:p>
      <w:pPr>
        <w:spacing w:line="360" w:lineRule="auto"/>
        <w:ind w:left="-1079" w:leftChars="-514" w:firstLine="1077" w:firstLineChars="449"/>
        <w:rPr>
          <w:rFonts w:ascii="宋体" w:hAnsi="宋体"/>
          <w:sz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w:t>
      </w:r>
    </w:p>
    <w:p>
      <w:pPr>
        <w:spacing w:line="360" w:lineRule="auto"/>
        <w:ind w:left="-1079" w:leftChars="-514" w:firstLine="1077" w:firstLineChars="449"/>
        <w:rPr>
          <w:rFonts w:ascii="宋体" w:hAnsi="宋体"/>
          <w:sz w:val="24"/>
        </w:rPr>
      </w:pPr>
      <w:r>
        <w:rPr>
          <w:rFonts w:hint="eastAsia" w:ascii="宋体" w:hAnsi="宋体"/>
          <w:sz w:val="24"/>
        </w:rPr>
        <w:t>日期：   年   月   日</w:t>
      </w:r>
    </w:p>
    <w:p>
      <w:r>
        <w:rPr>
          <w:rFonts w:ascii="宋体" w:hAnsi="宋体"/>
          <w:szCs w:val="20"/>
        </w:rPr>
        <w:br w:type="page"/>
      </w:r>
    </w:p>
    <w:p>
      <w:pPr>
        <w:pStyle w:val="3"/>
        <w:jc w:val="center"/>
        <w:rPr>
          <w:rFonts w:ascii="黑体" w:eastAsia="黑体"/>
          <w:b w:val="0"/>
          <w:sz w:val="24"/>
          <w:szCs w:val="24"/>
        </w:rPr>
      </w:pPr>
      <w:r>
        <w:rPr>
          <w:rFonts w:hint="eastAsia" w:ascii="黑体" w:eastAsia="黑体"/>
          <w:b w:val="0"/>
          <w:sz w:val="24"/>
          <w:szCs w:val="24"/>
        </w:rPr>
        <w:t>四、分项报价清单</w:t>
      </w:r>
    </w:p>
    <w:p>
      <w:pPr>
        <w:numPr>
          <w:ilvl w:val="0"/>
          <w:numId w:val="5"/>
        </w:numPr>
        <w:jc w:val="center"/>
        <w:rPr>
          <w:b/>
          <w:sz w:val="24"/>
        </w:rPr>
      </w:pPr>
      <w:r>
        <w:rPr>
          <w:rFonts w:hint="eastAsia"/>
          <w:b/>
          <w:sz w:val="24"/>
        </w:rPr>
        <w:t>项目报价表</w:t>
      </w:r>
    </w:p>
    <w:p>
      <w:pPr>
        <w:rPr>
          <w:b/>
          <w:sz w:val="24"/>
        </w:rPr>
      </w:pPr>
    </w:p>
    <w:tbl>
      <w:tblPr>
        <w:tblStyle w:val="5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1438"/>
        <w:gridCol w:w="900"/>
        <w:gridCol w:w="720"/>
        <w:gridCol w:w="720"/>
        <w:gridCol w:w="900"/>
        <w:gridCol w:w="90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jc w:val="center"/>
              <w:rPr>
                <w:szCs w:val="21"/>
              </w:rPr>
            </w:pPr>
            <w:r>
              <w:rPr>
                <w:rFonts w:hint="eastAsia"/>
                <w:szCs w:val="21"/>
              </w:rPr>
              <w:t>序号</w:t>
            </w:r>
          </w:p>
        </w:tc>
        <w:tc>
          <w:tcPr>
            <w:tcW w:w="1079" w:type="dxa"/>
            <w:vAlign w:val="center"/>
          </w:tcPr>
          <w:p>
            <w:pPr>
              <w:jc w:val="center"/>
              <w:rPr>
                <w:szCs w:val="21"/>
              </w:rPr>
            </w:pPr>
            <w:r>
              <w:rPr>
                <w:rFonts w:hint="eastAsia"/>
                <w:szCs w:val="21"/>
              </w:rPr>
              <w:t>货物名称</w:t>
            </w:r>
          </w:p>
        </w:tc>
        <w:tc>
          <w:tcPr>
            <w:tcW w:w="1438" w:type="dxa"/>
            <w:vAlign w:val="center"/>
          </w:tcPr>
          <w:p>
            <w:pPr>
              <w:jc w:val="center"/>
              <w:rPr>
                <w:szCs w:val="21"/>
              </w:rPr>
            </w:pPr>
            <w:r>
              <w:rPr>
                <w:rFonts w:hint="eastAsia"/>
                <w:szCs w:val="21"/>
              </w:rPr>
              <w:t>规格及型号</w:t>
            </w:r>
          </w:p>
        </w:tc>
        <w:tc>
          <w:tcPr>
            <w:tcW w:w="900" w:type="dxa"/>
            <w:vAlign w:val="center"/>
          </w:tcPr>
          <w:p>
            <w:pPr>
              <w:jc w:val="center"/>
              <w:rPr>
                <w:b/>
                <w:color w:val="FF0000"/>
                <w:szCs w:val="21"/>
              </w:rPr>
            </w:pPr>
            <w:r>
              <w:rPr>
                <w:rFonts w:hint="eastAsia"/>
                <w:b/>
                <w:color w:val="FF0000"/>
                <w:szCs w:val="21"/>
              </w:rPr>
              <w:t>原产地</w:t>
            </w:r>
          </w:p>
        </w:tc>
        <w:tc>
          <w:tcPr>
            <w:tcW w:w="720" w:type="dxa"/>
            <w:vAlign w:val="center"/>
          </w:tcPr>
          <w:p>
            <w:pPr>
              <w:jc w:val="center"/>
              <w:rPr>
                <w:szCs w:val="21"/>
              </w:rPr>
            </w:pPr>
            <w:r>
              <w:rPr>
                <w:rFonts w:hint="eastAsia"/>
                <w:szCs w:val="21"/>
              </w:rPr>
              <w:t>品牌</w:t>
            </w:r>
          </w:p>
        </w:tc>
        <w:tc>
          <w:tcPr>
            <w:tcW w:w="720" w:type="dxa"/>
            <w:vAlign w:val="center"/>
          </w:tcPr>
          <w:p>
            <w:pPr>
              <w:jc w:val="center"/>
              <w:rPr>
                <w:szCs w:val="21"/>
              </w:rPr>
            </w:pPr>
            <w:r>
              <w:rPr>
                <w:rFonts w:hint="eastAsia"/>
                <w:szCs w:val="21"/>
              </w:rPr>
              <w:t>数量</w:t>
            </w:r>
          </w:p>
        </w:tc>
        <w:tc>
          <w:tcPr>
            <w:tcW w:w="900" w:type="dxa"/>
            <w:vAlign w:val="center"/>
          </w:tcPr>
          <w:p>
            <w:pPr>
              <w:jc w:val="center"/>
              <w:rPr>
                <w:szCs w:val="21"/>
              </w:rPr>
            </w:pPr>
            <w:r>
              <w:rPr>
                <w:rFonts w:hint="eastAsia"/>
                <w:szCs w:val="21"/>
              </w:rPr>
              <w:t>单价(元)</w:t>
            </w:r>
          </w:p>
        </w:tc>
        <w:tc>
          <w:tcPr>
            <w:tcW w:w="900" w:type="dxa"/>
            <w:vAlign w:val="center"/>
          </w:tcPr>
          <w:p>
            <w:pPr>
              <w:jc w:val="center"/>
              <w:rPr>
                <w:szCs w:val="21"/>
              </w:rPr>
            </w:pPr>
            <w:r>
              <w:rPr>
                <w:rFonts w:hint="eastAsia"/>
                <w:szCs w:val="21"/>
              </w:rPr>
              <w:t>合价(元)</w:t>
            </w:r>
          </w:p>
        </w:tc>
        <w:tc>
          <w:tcPr>
            <w:tcW w:w="1446" w:type="dxa"/>
            <w:vAlign w:val="center"/>
          </w:tcPr>
          <w:p>
            <w:pPr>
              <w:jc w:val="center"/>
              <w:rPr>
                <w:szCs w:val="21"/>
              </w:rPr>
            </w:pPr>
            <w:r>
              <w:rPr>
                <w:rFonts w:hint="eastAsia"/>
                <w:szCs w:val="21"/>
              </w:rPr>
              <w:t>备注（免税</w:t>
            </w:r>
            <w:r>
              <w:rPr>
                <w:szCs w:val="21"/>
              </w:rPr>
              <w:t>或含税</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1</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2</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9"/>
          </w:tcPr>
          <w:p>
            <w:pPr>
              <w:rPr>
                <w:sz w:val="24"/>
              </w:rPr>
            </w:pPr>
            <w:r>
              <w:rPr>
                <w:rFonts w:hint="eastAsia"/>
                <w:sz w:val="24"/>
              </w:rPr>
              <w:t>合计（即：投标总价；币种：人民币；单位：元）：大写：</w:t>
            </w:r>
          </w:p>
        </w:tc>
      </w:tr>
    </w:tbl>
    <w:p>
      <w:pPr>
        <w:rPr>
          <w:rFonts w:ascii="宋体" w:hAnsi="宋体"/>
          <w:szCs w:val="21"/>
        </w:rPr>
      </w:pPr>
    </w:p>
    <w:p>
      <w:pPr>
        <w:rPr>
          <w:rFonts w:ascii="宋体" w:hAnsi="宋体"/>
          <w:szCs w:val="21"/>
        </w:rPr>
      </w:pPr>
      <w:r>
        <w:rPr>
          <w:rFonts w:hint="eastAsia" w:ascii="宋体" w:hAnsi="宋体"/>
          <w:szCs w:val="21"/>
        </w:rPr>
        <w:t>投标</w:t>
      </w:r>
      <w:r>
        <w:rPr>
          <w:rFonts w:ascii="宋体" w:hAnsi="宋体"/>
          <w:szCs w:val="21"/>
        </w:rPr>
        <w:t>人</w:t>
      </w:r>
      <w:r>
        <w:rPr>
          <w:rFonts w:hint="eastAsia" w:ascii="宋体" w:hAnsi="宋体"/>
          <w:szCs w:val="21"/>
        </w:rPr>
        <w:t>名称：（公章）</w:t>
      </w:r>
    </w:p>
    <w:p>
      <w:pPr>
        <w:rPr>
          <w:rFonts w:ascii="宋体" w:hAnsi="宋体"/>
          <w:szCs w:val="21"/>
        </w:rPr>
      </w:pPr>
    </w:p>
    <w:p>
      <w:pPr>
        <w:rPr>
          <w:rFonts w:ascii="宋体" w:hAnsi="宋体"/>
          <w:szCs w:val="21"/>
        </w:rPr>
      </w:pPr>
      <w:r>
        <w:rPr>
          <w:rFonts w:hint="eastAsia" w:ascii="宋体" w:hAnsi="宋体"/>
          <w:szCs w:val="21"/>
        </w:rPr>
        <w:t>关</w:t>
      </w:r>
      <w:r>
        <w:rPr>
          <w:rFonts w:ascii="宋体" w:hAnsi="宋体"/>
          <w:szCs w:val="21"/>
        </w:rPr>
        <w:t>境外供货商</w:t>
      </w:r>
      <w:r>
        <w:rPr>
          <w:rFonts w:hint="eastAsia" w:ascii="宋体" w:hAnsi="宋体"/>
          <w:szCs w:val="21"/>
        </w:rPr>
        <w:t>全称</w:t>
      </w:r>
      <w:r>
        <w:rPr>
          <w:rFonts w:ascii="宋体" w:hAnsi="宋体"/>
          <w:szCs w:val="21"/>
        </w:rPr>
        <w:t>：</w:t>
      </w:r>
      <w:r>
        <w:rPr>
          <w:rFonts w:hint="eastAsia" w:ascii="宋体" w:hAnsi="宋体"/>
          <w:szCs w:val="21"/>
        </w:rPr>
        <w:t>（报免税价时是</w:t>
      </w:r>
      <w:r>
        <w:rPr>
          <w:rFonts w:ascii="宋体" w:hAnsi="宋体"/>
          <w:szCs w:val="21"/>
        </w:rPr>
        <w:t>必须填</w:t>
      </w:r>
      <w:r>
        <w:rPr>
          <w:rFonts w:hint="eastAsia" w:ascii="宋体" w:hAnsi="宋体"/>
          <w:szCs w:val="21"/>
        </w:rPr>
        <w:t>此项）</w:t>
      </w:r>
    </w:p>
    <w:p>
      <w:pPr>
        <w:rPr>
          <w:rFonts w:ascii="宋体" w:hAnsi="宋体"/>
          <w:szCs w:val="21"/>
        </w:rPr>
      </w:pPr>
    </w:p>
    <w:p>
      <w:pPr>
        <w:rPr>
          <w:rFonts w:ascii="宋体" w:hAnsi="宋体"/>
          <w:szCs w:val="21"/>
          <w:u w:val="single"/>
        </w:rPr>
      </w:pPr>
      <w:r>
        <w:rPr>
          <w:rFonts w:hint="eastAsia" w:ascii="宋体" w:hAnsi="宋体"/>
          <w:szCs w:val="21"/>
        </w:rPr>
        <w:t>投标人代表：（签名</w:t>
      </w:r>
      <w:r>
        <w:rPr>
          <w:rFonts w:ascii="宋体" w:hAnsi="宋体"/>
          <w:szCs w:val="21"/>
        </w:rPr>
        <w:t>或签章</w:t>
      </w:r>
      <w:r>
        <w:rPr>
          <w:rFonts w:hint="eastAsia" w:ascii="宋体" w:hAnsi="宋体"/>
          <w:szCs w:val="21"/>
        </w:rPr>
        <w:t>）</w:t>
      </w:r>
    </w:p>
    <w:p>
      <w:pPr>
        <w:rPr>
          <w:rFonts w:ascii="宋体" w:hAnsi="宋体"/>
          <w:szCs w:val="21"/>
          <w:u w:val="single"/>
        </w:rPr>
      </w:pPr>
    </w:p>
    <w:p>
      <w:pPr>
        <w:rPr>
          <w:rFonts w:ascii="宋体" w:hAnsi="宋体"/>
          <w:b/>
          <w:color w:val="FF0000"/>
          <w:sz w:val="24"/>
        </w:rPr>
      </w:pPr>
      <w:r>
        <w:rPr>
          <w:rFonts w:hint="eastAsia" w:ascii="宋体" w:hAnsi="宋体"/>
          <w:b/>
          <w:color w:val="FF0000"/>
          <w:sz w:val="24"/>
        </w:rPr>
        <w:t>注：1.所有价格应按“招标文件”中规定的货币单位填写；</w:t>
      </w:r>
    </w:p>
    <w:p>
      <w:pPr>
        <w:rPr>
          <w:rFonts w:ascii="宋体" w:hAnsi="宋体"/>
          <w:b/>
          <w:color w:val="FF0000"/>
          <w:sz w:val="24"/>
        </w:rPr>
      </w:pPr>
      <w:r>
        <w:rPr>
          <w:rFonts w:hint="eastAsia" w:ascii="宋体" w:hAnsi="宋体"/>
          <w:b/>
          <w:color w:val="FF0000"/>
          <w:sz w:val="24"/>
        </w:rPr>
        <w:t>2.投标人应按货物明细清单要求的货物逐项报价，如有缺漏项，可视为没有实质性响应招标文件。分项价格可为零；</w:t>
      </w:r>
    </w:p>
    <w:p>
      <w:pPr>
        <w:rPr>
          <w:rFonts w:ascii="宋体" w:hAnsi="宋体"/>
          <w:b/>
          <w:color w:val="FF0000"/>
          <w:sz w:val="24"/>
        </w:rPr>
      </w:pPr>
      <w:r>
        <w:rPr>
          <w:rFonts w:hint="eastAsia" w:ascii="宋体" w:hAnsi="宋体"/>
          <w:b/>
          <w:color w:val="FF0000"/>
          <w:sz w:val="24"/>
        </w:rPr>
        <w:t xml:space="preserve">    3.投标总价应为以上各分项价格之和；</w:t>
      </w:r>
    </w:p>
    <w:p>
      <w:pPr>
        <w:rPr>
          <w:rFonts w:ascii="宋体" w:hAnsi="宋体"/>
          <w:b/>
          <w:color w:val="FF0000"/>
          <w:sz w:val="24"/>
        </w:rPr>
      </w:pPr>
      <w:r>
        <w:rPr>
          <w:rFonts w:hint="eastAsia" w:ascii="宋体" w:hAnsi="宋体"/>
          <w:b/>
          <w:color w:val="FF0000"/>
          <w:sz w:val="24"/>
        </w:rPr>
        <w:t>4.本表格式不得修改；</w:t>
      </w:r>
    </w:p>
    <w:p>
      <w:pPr>
        <w:rPr>
          <w:rFonts w:ascii="宋体" w:hAnsi="宋体"/>
          <w:b/>
          <w:color w:val="FF0000"/>
          <w:sz w:val="24"/>
        </w:rPr>
      </w:pPr>
      <w:r>
        <w:rPr>
          <w:rFonts w:hint="eastAsia" w:ascii="宋体" w:hAnsi="宋体"/>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pPr>
        <w:rPr>
          <w:rFonts w:ascii="宋体" w:hAnsi="宋体"/>
          <w:b/>
          <w:color w:val="FF0000"/>
          <w:sz w:val="24"/>
        </w:rPr>
      </w:pPr>
      <w:r>
        <w:rPr>
          <w:rFonts w:hint="eastAsia" w:ascii="宋体" w:hAnsi="宋体"/>
          <w:b/>
          <w:color w:val="FF0000"/>
          <w:sz w:val="24"/>
        </w:rPr>
        <w:t>6.投标总价和项目报价表中单个采购预算条目报价均不得超过对应的财政预算限额，否则将导致投标无效。</w:t>
      </w:r>
    </w:p>
    <w:p>
      <w:pPr>
        <w:rPr>
          <w:rFonts w:ascii="宋体" w:hAnsi="宋体"/>
          <w:b/>
          <w:color w:val="FF0000"/>
          <w:sz w:val="24"/>
        </w:rPr>
      </w:pPr>
      <w:r>
        <w:rPr>
          <w:rFonts w:hint="eastAsia" w:ascii="宋体" w:hAnsi="宋体"/>
          <w:b/>
          <w:color w:val="FF0000"/>
          <w:sz w:val="24"/>
        </w:rPr>
        <w:t>7.开标一览表的投标总价必须与项目报价表的投标总价一致。</w:t>
      </w:r>
    </w:p>
    <w:p>
      <w:pPr>
        <w:rPr>
          <w:rFonts w:ascii="宋体" w:hAnsi="宋体"/>
          <w:b/>
          <w:color w:val="FF0000"/>
          <w:sz w:val="24"/>
        </w:rPr>
      </w:pPr>
      <w:r>
        <w:rPr>
          <w:rFonts w:hint="eastAsia" w:ascii="宋体" w:hAnsi="宋体"/>
          <w:b/>
          <w:color w:val="FF0000"/>
          <w:sz w:val="24"/>
        </w:rPr>
        <w:t>8.“原产地”是指该产品的实际生产加工地，而非品牌总公司所在地。</w:t>
      </w:r>
    </w:p>
    <w:p>
      <w:pPr>
        <w:rPr>
          <w:rFonts w:ascii="宋体" w:hAnsi="宋体"/>
          <w:b/>
          <w:color w:val="FF0000"/>
          <w:sz w:val="24"/>
        </w:rPr>
      </w:pPr>
      <w:r>
        <w:rPr>
          <w:rFonts w:hint="eastAsia" w:ascii="宋体" w:hAnsi="宋体"/>
          <w:b/>
          <w:color w:val="FF0000"/>
          <w:sz w:val="24"/>
        </w:rPr>
        <w:t>9. 从中华人民共和国海关境外提供的货物，设备类型符合科教仪器免税政策的须报CIP深圳大学免税人民币价(不包括进口关税和增值税)，并在备注栏中标注“免税价”。</w:t>
      </w:r>
    </w:p>
    <w:p>
      <w:pPr>
        <w:rPr>
          <w:rFonts w:hAnsi="宋体"/>
          <w:b/>
          <w:bCs/>
          <w:sz w:val="24"/>
        </w:rPr>
      </w:pPr>
      <w:r>
        <w:rPr>
          <w:rFonts w:hint="eastAsia" w:ascii="宋体" w:hAnsi="宋体"/>
          <w:b/>
          <w:color w:val="FF0000"/>
          <w:sz w:val="24"/>
        </w:rPr>
        <w:t>10. 报免税价的货物须与关境外供货商签订四方合同，投标人必须填写关境外供货商的全称。</w:t>
      </w:r>
    </w:p>
    <w:p>
      <w:pPr>
        <w:ind w:firstLine="482" w:firstLineChars="200"/>
        <w:jc w:val="center"/>
        <w:rPr>
          <w:rFonts w:hAnsi="宋体"/>
          <w:b/>
          <w:bCs/>
          <w:sz w:val="24"/>
        </w:rPr>
      </w:pPr>
    </w:p>
    <w:p>
      <w:pPr>
        <w:ind w:firstLine="482" w:firstLineChars="200"/>
        <w:jc w:val="center"/>
        <w:rPr>
          <w:rFonts w:hAnsi="宋体"/>
          <w:b/>
          <w:bCs/>
          <w:sz w:val="24"/>
        </w:rPr>
      </w:pPr>
      <w:r>
        <w:rPr>
          <w:rFonts w:hint="eastAsia" w:hAnsi="宋体"/>
          <w:b/>
          <w:bCs/>
          <w:sz w:val="24"/>
        </w:rPr>
        <w:t>（二）可选配件报价清单（不包括在总报价内）</w:t>
      </w:r>
    </w:p>
    <w:p>
      <w:pPr>
        <w:ind w:firstLine="422" w:firstLineChars="200"/>
        <w:rPr>
          <w:rFonts w:hAnsi="宋体"/>
          <w:b/>
          <w:bCs/>
          <w:szCs w:val="21"/>
        </w:rPr>
      </w:pPr>
      <w:r>
        <w:rPr>
          <w:rFonts w:hint="eastAsia" w:hAnsi="宋体"/>
          <w:b/>
          <w:bCs/>
          <w:szCs w:val="21"/>
        </w:rPr>
        <w:t>注：格式参照《（一）项目报价表》表格，但须提供相应的品牌、规格型号、原产地、单价等详细信息</w:t>
      </w:r>
    </w:p>
    <w:p>
      <w:pPr>
        <w:ind w:firstLine="482" w:firstLineChars="200"/>
        <w:rPr>
          <w:rFonts w:hAnsi="宋体"/>
          <w:b/>
          <w:bCs/>
          <w:sz w:val="24"/>
        </w:rPr>
      </w:pPr>
    </w:p>
    <w:p>
      <w:pPr>
        <w:ind w:firstLine="482" w:firstLineChars="200"/>
        <w:jc w:val="center"/>
        <w:rPr>
          <w:rFonts w:hAnsi="宋体"/>
          <w:b/>
          <w:bCs/>
          <w:sz w:val="24"/>
        </w:rPr>
      </w:pPr>
      <w:r>
        <w:rPr>
          <w:rFonts w:hAnsi="宋体"/>
          <w:b/>
          <w:bCs/>
          <w:sz w:val="24"/>
        </w:rPr>
        <w:br w:type="page"/>
      </w:r>
    </w:p>
    <w:p>
      <w:pPr>
        <w:pStyle w:val="3"/>
        <w:jc w:val="center"/>
        <w:rPr>
          <w:rFonts w:ascii="黑体" w:eastAsia="黑体"/>
          <w:b w:val="0"/>
          <w:sz w:val="24"/>
          <w:szCs w:val="24"/>
        </w:rPr>
      </w:pPr>
      <w:r>
        <w:rPr>
          <w:rFonts w:hint="eastAsia" w:ascii="黑体" w:eastAsia="黑体"/>
          <w:b w:val="0"/>
          <w:sz w:val="24"/>
          <w:szCs w:val="24"/>
        </w:rPr>
        <w:t>五、投标人资格证明文件</w:t>
      </w:r>
    </w:p>
    <w:p>
      <w:pPr>
        <w:spacing w:before="120" w:beforeLines="5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pPr>
        <w:rPr>
          <w:b/>
          <w:bCs/>
          <w:sz w:val="24"/>
        </w:rPr>
      </w:pPr>
    </w:p>
    <w:p>
      <w:pPr>
        <w:pStyle w:val="3"/>
        <w:jc w:val="center"/>
        <w:rPr>
          <w:rFonts w:ascii="黑体" w:eastAsia="黑体"/>
          <w:b w:val="0"/>
          <w:sz w:val="24"/>
          <w:szCs w:val="24"/>
        </w:rPr>
      </w:pPr>
      <w:r>
        <w:rPr>
          <w:rFonts w:hint="eastAsia" w:ascii="黑体" w:eastAsia="黑体"/>
          <w:b w:val="0"/>
          <w:sz w:val="24"/>
          <w:szCs w:val="24"/>
        </w:rPr>
        <w:t>六、保障措施及</w:t>
      </w:r>
      <w:r>
        <w:rPr>
          <w:rFonts w:ascii="黑体" w:eastAsia="黑体"/>
          <w:b w:val="0"/>
          <w:sz w:val="24"/>
          <w:szCs w:val="24"/>
        </w:rPr>
        <w:t>环保</w:t>
      </w:r>
    </w:p>
    <w:p>
      <w:pPr>
        <w:outlineLvl w:val="3"/>
        <w:rPr>
          <w:b/>
          <w:sz w:val="24"/>
        </w:rPr>
      </w:pPr>
      <w:r>
        <w:rPr>
          <w:rFonts w:hint="eastAsia"/>
          <w:b/>
          <w:bCs/>
          <w:sz w:val="24"/>
        </w:rPr>
        <w:t>（一）技术保障措施及</w:t>
      </w:r>
      <w:r>
        <w:rPr>
          <w:rFonts w:hint="eastAsia"/>
          <w:b/>
          <w:sz w:val="24"/>
        </w:rPr>
        <w:t>实施本项目的主要技术人员情况表（格式自定）</w:t>
      </w:r>
    </w:p>
    <w:p>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pPr>
        <w:rPr>
          <w:b/>
          <w:bCs/>
          <w:sz w:val="24"/>
        </w:rPr>
      </w:pPr>
    </w:p>
    <w:p>
      <w:pPr>
        <w:outlineLvl w:val="3"/>
        <w:rPr>
          <w:b/>
          <w:bCs/>
          <w:sz w:val="24"/>
        </w:rPr>
      </w:pPr>
      <w:r>
        <w:rPr>
          <w:rFonts w:hint="eastAsia"/>
          <w:b/>
          <w:bCs/>
          <w:sz w:val="24"/>
        </w:rPr>
        <w:t>（二）施工安全保障措施（可选）</w:t>
      </w:r>
    </w:p>
    <w:p>
      <w:pPr>
        <w:outlineLvl w:val="3"/>
        <w:rPr>
          <w:b/>
          <w:color w:val="FF0000"/>
          <w:sz w:val="24"/>
        </w:rPr>
      </w:pPr>
      <w:r>
        <w:rPr>
          <w:rFonts w:hint="eastAsia"/>
          <w:b/>
          <w:color w:val="FF0000"/>
          <w:sz w:val="24"/>
        </w:rPr>
        <w:t>提供详细的施工安全保障方案</w:t>
      </w:r>
    </w:p>
    <w:p/>
    <w:p>
      <w:pPr>
        <w:outlineLvl w:val="3"/>
        <w:rPr>
          <w:b/>
          <w:color w:val="000000"/>
          <w:sz w:val="24"/>
        </w:rPr>
      </w:pPr>
      <w:r>
        <w:rPr>
          <w:rFonts w:hint="eastAsia"/>
          <w:b/>
          <w:sz w:val="24"/>
        </w:rPr>
        <w:t>（三）节能环保（可选）</w:t>
      </w:r>
    </w:p>
    <w:p>
      <w:pPr>
        <w:rPr>
          <w:b/>
          <w:bCs/>
          <w:sz w:val="24"/>
        </w:rPr>
      </w:pPr>
    </w:p>
    <w:p>
      <w:pPr>
        <w:pStyle w:val="3"/>
        <w:jc w:val="center"/>
        <w:rPr>
          <w:rFonts w:ascii="黑体" w:eastAsia="黑体"/>
          <w:b w:val="0"/>
          <w:sz w:val="24"/>
          <w:szCs w:val="24"/>
        </w:rPr>
      </w:pPr>
      <w:r>
        <w:rPr>
          <w:rFonts w:hint="eastAsia" w:ascii="黑体" w:eastAsia="黑体"/>
          <w:b w:val="0"/>
          <w:sz w:val="24"/>
          <w:szCs w:val="24"/>
        </w:rPr>
        <w:t>七、近三年</w:t>
      </w:r>
      <w:r>
        <w:rPr>
          <w:rFonts w:ascii="黑体" w:eastAsia="黑体"/>
          <w:b w:val="0"/>
          <w:sz w:val="24"/>
          <w:szCs w:val="24"/>
        </w:rPr>
        <w:t>同类业绩</w:t>
      </w:r>
    </w:p>
    <w:p>
      <w:pPr>
        <w:rPr>
          <w:b/>
          <w:bCs/>
          <w:sz w:val="24"/>
        </w:rPr>
      </w:pPr>
    </w:p>
    <w:p>
      <w:pPr>
        <w:outlineLvl w:val="3"/>
        <w:rPr>
          <w:b/>
          <w:bCs/>
          <w:sz w:val="24"/>
        </w:rPr>
      </w:pPr>
      <w:r>
        <w:rPr>
          <w:rFonts w:hint="eastAsia"/>
          <w:b/>
          <w:bCs/>
          <w:sz w:val="24"/>
        </w:rPr>
        <w:t>（一）近三年同类业绩清单</w:t>
      </w:r>
    </w:p>
    <w:tbl>
      <w:tblPr>
        <w:tblStyle w:val="54"/>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726"/>
        <w:gridCol w:w="1548"/>
        <w:gridCol w:w="1464"/>
        <w:gridCol w:w="1465"/>
        <w:gridCol w:w="14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r>
              <w:rPr>
                <w:rFonts w:hint="eastAsia" w:ascii="宋体" w:hAnsi="宋体"/>
                <w:szCs w:val="21"/>
              </w:rPr>
              <w:t>采购人</w:t>
            </w:r>
          </w:p>
        </w:tc>
        <w:tc>
          <w:tcPr>
            <w:tcW w:w="1726" w:type="dxa"/>
            <w:vAlign w:val="center"/>
          </w:tcPr>
          <w:p>
            <w:pPr>
              <w:rPr>
                <w:rFonts w:ascii="宋体" w:hAnsi="宋体"/>
                <w:szCs w:val="21"/>
              </w:rPr>
            </w:pPr>
            <w:r>
              <w:rPr>
                <w:rFonts w:hint="eastAsia" w:ascii="宋体" w:hAnsi="宋体"/>
                <w:szCs w:val="21"/>
              </w:rPr>
              <w:t>项目名称</w:t>
            </w:r>
          </w:p>
        </w:tc>
        <w:tc>
          <w:tcPr>
            <w:tcW w:w="1548" w:type="dxa"/>
            <w:vAlign w:val="center"/>
          </w:tcPr>
          <w:p>
            <w:pPr>
              <w:rPr>
                <w:rFonts w:ascii="宋体" w:hAnsi="宋体"/>
                <w:szCs w:val="21"/>
              </w:rPr>
            </w:pPr>
            <w:r>
              <w:rPr>
                <w:rFonts w:hint="eastAsia" w:ascii="宋体" w:hAnsi="宋体"/>
                <w:szCs w:val="21"/>
              </w:rPr>
              <w:t>项目规模（金额）</w:t>
            </w:r>
          </w:p>
        </w:tc>
        <w:tc>
          <w:tcPr>
            <w:tcW w:w="1464" w:type="dxa"/>
            <w:vAlign w:val="center"/>
          </w:tcPr>
          <w:p>
            <w:pPr>
              <w:rPr>
                <w:rFonts w:ascii="宋体" w:hAnsi="宋体"/>
                <w:szCs w:val="21"/>
              </w:rPr>
            </w:pPr>
            <w:r>
              <w:rPr>
                <w:rFonts w:hint="eastAsia" w:ascii="宋体" w:hAnsi="宋体"/>
                <w:szCs w:val="21"/>
              </w:rPr>
              <w:t>合同签订日期</w:t>
            </w:r>
          </w:p>
        </w:tc>
        <w:tc>
          <w:tcPr>
            <w:tcW w:w="1465" w:type="dxa"/>
            <w:vAlign w:val="center"/>
          </w:tcPr>
          <w:p>
            <w:pPr>
              <w:rPr>
                <w:rFonts w:ascii="宋体" w:hAnsi="宋体"/>
                <w:szCs w:val="21"/>
              </w:rPr>
            </w:pPr>
            <w:r>
              <w:rPr>
                <w:rFonts w:hint="eastAsia" w:ascii="宋体" w:hAnsi="宋体"/>
                <w:szCs w:val="21"/>
              </w:rPr>
              <w:t>履约验收时间</w:t>
            </w:r>
          </w:p>
        </w:tc>
        <w:tc>
          <w:tcPr>
            <w:tcW w:w="1465" w:type="dxa"/>
            <w:vAlign w:val="center"/>
          </w:tcPr>
          <w:p>
            <w:pPr>
              <w:rPr>
                <w:rFonts w:ascii="宋体" w:hAnsi="宋体"/>
                <w:szCs w:val="21"/>
              </w:rPr>
            </w:pPr>
            <w:r>
              <w:rPr>
                <w:rFonts w:hint="eastAsia" w:ascii="宋体" w:hAnsi="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bl>
    <w:p>
      <w:pPr>
        <w:rPr>
          <w:b/>
          <w:bCs/>
          <w:color w:val="FF0000"/>
          <w:sz w:val="24"/>
        </w:rPr>
      </w:pPr>
    </w:p>
    <w:p>
      <w:pPr>
        <w:rPr>
          <w:b/>
          <w:bCs/>
          <w:color w:val="FF0000"/>
          <w:sz w:val="24"/>
        </w:rPr>
      </w:pPr>
    </w:p>
    <w:p>
      <w:pPr>
        <w:rPr>
          <w:b/>
          <w:bCs/>
          <w:sz w:val="24"/>
        </w:rPr>
      </w:pPr>
    </w:p>
    <w:p>
      <w:pPr>
        <w:outlineLvl w:val="3"/>
        <w:rPr>
          <w:b/>
          <w:bCs/>
          <w:sz w:val="24"/>
        </w:rPr>
      </w:pPr>
      <w:r>
        <w:rPr>
          <w:rFonts w:hint="eastAsia"/>
          <w:b/>
          <w:bCs/>
          <w:sz w:val="24"/>
        </w:rPr>
        <w:t>（二）近三年同类业绩证明</w:t>
      </w:r>
      <w:r>
        <w:rPr>
          <w:b/>
          <w:bCs/>
          <w:sz w:val="24"/>
        </w:rPr>
        <w:t>材料</w:t>
      </w:r>
    </w:p>
    <w:p>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pPr>
        <w:rPr>
          <w:b/>
          <w:bCs/>
          <w:sz w:val="24"/>
        </w:rPr>
      </w:pPr>
    </w:p>
    <w:p>
      <w:pPr>
        <w:rPr>
          <w:b/>
          <w:bCs/>
          <w:sz w:val="24"/>
        </w:rPr>
      </w:pPr>
    </w:p>
    <w:p>
      <w:pPr>
        <w:rPr>
          <w:b/>
          <w:bCs/>
          <w:sz w:val="24"/>
        </w:rPr>
      </w:pPr>
    </w:p>
    <w:p>
      <w:pPr>
        <w:pStyle w:val="3"/>
        <w:jc w:val="center"/>
        <w:rPr>
          <w:rFonts w:ascii="黑体" w:eastAsia="黑体"/>
          <w:b w:val="0"/>
          <w:sz w:val="24"/>
          <w:szCs w:val="24"/>
        </w:rPr>
      </w:pPr>
      <w:r>
        <w:rPr>
          <w:rFonts w:hint="eastAsia" w:ascii="黑体" w:eastAsia="黑体"/>
          <w:b w:val="0"/>
          <w:sz w:val="24"/>
          <w:szCs w:val="24"/>
        </w:rPr>
        <w:t>八、</w:t>
      </w:r>
      <w:r>
        <w:rPr>
          <w:rFonts w:ascii="黑体" w:eastAsia="黑体"/>
          <w:b w:val="0"/>
          <w:sz w:val="24"/>
          <w:szCs w:val="24"/>
        </w:rPr>
        <w:t>投标人认为需要提供的其他证明材料</w:t>
      </w:r>
    </w:p>
    <w:p>
      <w:pPr>
        <w:rPr>
          <w:b/>
          <w:bCs/>
          <w:sz w:val="24"/>
        </w:rPr>
      </w:pPr>
    </w:p>
    <w:p>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pPr>
        <w:rPr>
          <w:b/>
          <w:bCs/>
        </w:rPr>
      </w:pPr>
    </w:p>
    <w:p>
      <w:pPr>
        <w:pStyle w:val="3"/>
        <w:jc w:val="center"/>
        <w:rPr>
          <w:b w:val="0"/>
          <w:sz w:val="24"/>
          <w:szCs w:val="24"/>
        </w:rPr>
      </w:pPr>
      <w:r>
        <w:rPr>
          <w:rFonts w:hint="eastAsia" w:ascii="黑体" w:eastAsia="黑体"/>
          <w:b w:val="0"/>
          <w:sz w:val="24"/>
          <w:szCs w:val="24"/>
        </w:rPr>
        <w:t>九、技术</w:t>
      </w:r>
      <w:r>
        <w:rPr>
          <w:rFonts w:ascii="黑体" w:eastAsia="黑体"/>
          <w:b w:val="0"/>
          <w:sz w:val="24"/>
          <w:szCs w:val="24"/>
        </w:rPr>
        <w:t>规格证明文件</w:t>
      </w:r>
    </w:p>
    <w:p>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pPr>
        <w:outlineLvl w:val="3"/>
        <w:rPr>
          <w:b/>
          <w:bCs/>
          <w:sz w:val="24"/>
        </w:rPr>
      </w:pPr>
      <w:r>
        <w:rPr>
          <w:rFonts w:hint="eastAsia"/>
          <w:b/>
          <w:bCs/>
          <w:sz w:val="24"/>
        </w:rPr>
        <w:t>（一）技术规格证明文件清单</w:t>
      </w:r>
    </w:p>
    <w:tbl>
      <w:tblPr>
        <w:tblStyle w:val="5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10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序号</w:t>
            </w:r>
          </w:p>
        </w:tc>
        <w:tc>
          <w:tcPr>
            <w:tcW w:w="5103" w:type="dxa"/>
          </w:tcPr>
          <w:p>
            <w:pPr>
              <w:jc w:val="center"/>
              <w:rPr>
                <w:sz w:val="24"/>
              </w:rPr>
            </w:pPr>
            <w:r>
              <w:rPr>
                <w:rFonts w:hint="eastAsia"/>
                <w:sz w:val="24"/>
              </w:rPr>
              <w:t>技术规格证明</w:t>
            </w:r>
            <w:r>
              <w:rPr>
                <w:sz w:val="24"/>
              </w:rPr>
              <w:t>文件名称</w:t>
            </w:r>
          </w:p>
        </w:tc>
        <w:tc>
          <w:tcPr>
            <w:tcW w:w="2126"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1</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2</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3</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p>
        </w:tc>
        <w:tc>
          <w:tcPr>
            <w:tcW w:w="5103" w:type="dxa"/>
          </w:tcPr>
          <w:p>
            <w:pPr>
              <w:jc w:val="center"/>
              <w:rPr>
                <w:sz w:val="24"/>
              </w:rPr>
            </w:pPr>
          </w:p>
        </w:tc>
        <w:tc>
          <w:tcPr>
            <w:tcW w:w="2126" w:type="dxa"/>
          </w:tcPr>
          <w:p>
            <w:pPr>
              <w:jc w:val="center"/>
              <w:rPr>
                <w:sz w:val="24"/>
              </w:rPr>
            </w:pPr>
          </w:p>
        </w:tc>
      </w:tr>
    </w:tbl>
    <w:p>
      <w:pPr>
        <w:rPr>
          <w:sz w:val="24"/>
        </w:rPr>
      </w:pPr>
    </w:p>
    <w:p>
      <w:pPr>
        <w:outlineLvl w:val="3"/>
        <w:rPr>
          <w:b/>
          <w:bCs/>
          <w:sz w:val="24"/>
        </w:rPr>
      </w:pPr>
      <w:r>
        <w:rPr>
          <w:rFonts w:hint="eastAsia"/>
          <w:b/>
          <w:bCs/>
          <w:sz w:val="24"/>
        </w:rPr>
        <w:t>（二）技术规格证明文件</w:t>
      </w:r>
    </w:p>
    <w:p>
      <w:pPr>
        <w:rPr>
          <w:sz w:val="24"/>
        </w:rPr>
      </w:pPr>
    </w:p>
    <w:p>
      <w:pPr>
        <w:rPr>
          <w:sz w:val="24"/>
        </w:rPr>
      </w:pPr>
    </w:p>
    <w:p>
      <w:pPr>
        <w:pStyle w:val="3"/>
        <w:jc w:val="center"/>
        <w:rPr>
          <w:rFonts w:ascii="黑体" w:eastAsia="黑体"/>
          <w:b w:val="0"/>
          <w:sz w:val="24"/>
          <w:szCs w:val="24"/>
        </w:rPr>
      </w:pPr>
      <w:r>
        <w:rPr>
          <w:rFonts w:hint="eastAsia" w:ascii="黑体" w:eastAsia="黑体"/>
          <w:b w:val="0"/>
          <w:sz w:val="24"/>
          <w:szCs w:val="24"/>
        </w:rPr>
        <w:t>十、技术规格偏离表</w:t>
      </w:r>
    </w:p>
    <w:p>
      <w:pPr>
        <w:rPr>
          <w:sz w:val="24"/>
        </w:rPr>
      </w:pPr>
    </w:p>
    <w:p>
      <w:pPr>
        <w:rPr>
          <w:rFonts w:hint="eastAsia"/>
          <w:sz w:val="24"/>
        </w:rPr>
      </w:pPr>
      <w:r>
        <w:rPr>
          <w:rFonts w:hint="eastAsia"/>
          <w:sz w:val="24"/>
        </w:rPr>
        <w:t>投标人名称项目编号/包号</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43"/>
        <w:gridCol w:w="1864"/>
        <w:gridCol w:w="1864"/>
        <w:gridCol w:w="186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4" w:type="pct"/>
            <w:vAlign w:val="center"/>
          </w:tcPr>
          <w:p>
            <w:pPr>
              <w:jc w:val="center"/>
              <w:rPr>
                <w:szCs w:val="21"/>
              </w:rPr>
            </w:pPr>
            <w:r>
              <w:rPr>
                <w:rFonts w:hint="eastAsia"/>
                <w:szCs w:val="21"/>
              </w:rPr>
              <w:t>序号</w:t>
            </w:r>
          </w:p>
        </w:tc>
        <w:tc>
          <w:tcPr>
            <w:tcW w:w="388" w:type="pct"/>
            <w:vAlign w:val="center"/>
          </w:tcPr>
          <w:p>
            <w:pPr>
              <w:widowControl/>
              <w:jc w:val="center"/>
              <w:rPr>
                <w:szCs w:val="21"/>
              </w:rPr>
            </w:pPr>
            <w:r>
              <w:rPr>
                <w:rFonts w:hint="eastAsia"/>
                <w:szCs w:val="21"/>
              </w:rPr>
              <w:t>货物名称</w:t>
            </w:r>
          </w:p>
        </w:tc>
        <w:tc>
          <w:tcPr>
            <w:tcW w:w="1104" w:type="pct"/>
            <w:vAlign w:val="center"/>
          </w:tcPr>
          <w:p>
            <w:pPr>
              <w:jc w:val="center"/>
              <w:rPr>
                <w:szCs w:val="21"/>
              </w:rPr>
            </w:pPr>
            <w:r>
              <w:rPr>
                <w:rFonts w:hint="eastAsia"/>
                <w:szCs w:val="21"/>
              </w:rPr>
              <w:t>招标技术要求</w:t>
            </w:r>
          </w:p>
        </w:tc>
        <w:tc>
          <w:tcPr>
            <w:tcW w:w="1864" w:type="dxa"/>
            <w:vAlign w:val="center"/>
          </w:tcPr>
          <w:p>
            <w:pPr>
              <w:jc w:val="center"/>
              <w:rPr>
                <w:rFonts w:hint="eastAsia"/>
                <w:szCs w:val="21"/>
              </w:rPr>
            </w:pPr>
            <w:r>
              <w:rPr>
                <w:rFonts w:hint="eastAsia"/>
                <w:szCs w:val="21"/>
              </w:rPr>
              <w:t>投标技术响应</w:t>
            </w:r>
          </w:p>
        </w:tc>
        <w:tc>
          <w:tcPr>
            <w:tcW w:w="1864" w:type="dxa"/>
            <w:vAlign w:val="center"/>
          </w:tcPr>
          <w:p>
            <w:pPr>
              <w:jc w:val="center"/>
              <w:rPr>
                <w:rFonts w:hint="eastAsia"/>
                <w:szCs w:val="21"/>
              </w:rPr>
            </w:pPr>
            <w:r>
              <w:rPr>
                <w:rFonts w:hint="eastAsia"/>
                <w:szCs w:val="21"/>
              </w:rPr>
              <w:t>偏离情况</w:t>
            </w:r>
          </w:p>
        </w:tc>
        <w:tc>
          <w:tcPr>
            <w:tcW w:w="1865" w:type="dxa"/>
            <w:vAlign w:val="center"/>
          </w:tcPr>
          <w:p>
            <w:pPr>
              <w:jc w:val="center"/>
              <w:rPr>
                <w:rFonts w:hint="eastAsia"/>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restart"/>
            <w:vAlign w:val="center"/>
          </w:tcPr>
          <w:p>
            <w:pPr>
              <w:jc w:val="center"/>
              <w:rPr>
                <w:b/>
                <w:szCs w:val="21"/>
              </w:rPr>
            </w:pPr>
            <w:r>
              <w:rPr>
                <w:b/>
                <w:szCs w:val="21"/>
              </w:rPr>
              <w:t>1</w:t>
            </w:r>
          </w:p>
        </w:tc>
        <w:tc>
          <w:tcPr>
            <w:tcW w:w="388" w:type="pct"/>
            <w:vMerge w:val="restart"/>
            <w:vAlign w:val="center"/>
          </w:tcPr>
          <w:p>
            <w:pPr>
              <w:jc w:val="center"/>
              <w:rPr>
                <w:b/>
                <w:szCs w:val="21"/>
              </w:rPr>
            </w:pPr>
            <w:r>
              <w:rPr>
                <w:rFonts w:hint="eastAsia" w:asciiTheme="minorEastAsia" w:hAnsiTheme="minorEastAsia" w:eastAsiaTheme="minorEastAsia"/>
                <w:b/>
                <w:bCs/>
                <w:szCs w:val="21"/>
              </w:rPr>
              <w:t>双束型聚焦离子束系统</w:t>
            </w:r>
          </w:p>
        </w:tc>
        <w:tc>
          <w:tcPr>
            <w:tcW w:w="1104" w:type="pct"/>
            <w:vAlign w:val="center"/>
          </w:tcPr>
          <w:p>
            <w:pPr>
              <w:rPr>
                <w:b/>
                <w:bCs/>
              </w:rPr>
            </w:pPr>
            <w:r>
              <w:rPr>
                <w:rFonts w:hint="eastAsia"/>
                <w:b/>
                <w:bCs/>
              </w:rPr>
              <w:t>1.1双束型聚焦离子束系统功能要求：</w:t>
            </w:r>
          </w:p>
        </w:tc>
        <w:tc>
          <w:tcPr>
            <w:tcW w:w="1104" w:type="pct"/>
            <w:vAlign w:val="center"/>
          </w:tcPr>
          <w:p>
            <w:pPr>
              <w:rPr>
                <w:rFonts w:hint="eastAsia"/>
                <w:b/>
                <w:bCs/>
              </w:rPr>
            </w:pPr>
          </w:p>
        </w:tc>
        <w:tc>
          <w:tcPr>
            <w:tcW w:w="1104" w:type="pct"/>
            <w:vAlign w:val="center"/>
          </w:tcPr>
          <w:p>
            <w:pPr>
              <w:rPr>
                <w:rFonts w:hint="eastAsia"/>
                <w:b/>
                <w:bCs/>
              </w:rPr>
            </w:pPr>
          </w:p>
        </w:tc>
        <w:tc>
          <w:tcPr>
            <w:tcW w:w="1104" w:type="pct"/>
            <w:vAlign w:val="center"/>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b/>
                <w:szCs w:val="21"/>
              </w:rPr>
              <w:t>★</w:t>
            </w:r>
            <w:r>
              <w:rPr>
                <w:rFonts w:hint="eastAsia"/>
                <w:szCs w:val="21"/>
              </w:rPr>
              <w:t>1.1.1可</w:t>
            </w:r>
            <w:r>
              <w:rPr>
                <w:szCs w:val="21"/>
              </w:rPr>
              <w:t>用于金属、半导体、电介质、多层膜结构等固体样品上制备微纳结构</w:t>
            </w:r>
            <w:r>
              <w:rPr>
                <w:rFonts w:hint="eastAsia"/>
                <w:szCs w:val="21"/>
              </w:rPr>
              <w:t>；</w:t>
            </w:r>
          </w:p>
        </w:tc>
        <w:tc>
          <w:tcPr>
            <w:tcW w:w="1104" w:type="pct"/>
            <w:vAlign w:val="center"/>
          </w:tcPr>
          <w:p>
            <w:pPr>
              <w:rPr>
                <w:rFonts w:hint="eastAsia"/>
                <w:b/>
                <w:szCs w:val="21"/>
              </w:rPr>
            </w:pPr>
          </w:p>
        </w:tc>
        <w:tc>
          <w:tcPr>
            <w:tcW w:w="1104" w:type="pct"/>
            <w:vAlign w:val="center"/>
          </w:tcPr>
          <w:p>
            <w:pPr>
              <w:rPr>
                <w:rFonts w:hint="eastAsia"/>
                <w:b/>
                <w:szCs w:val="21"/>
              </w:rPr>
            </w:pPr>
          </w:p>
        </w:tc>
        <w:tc>
          <w:tcPr>
            <w:tcW w:w="1104" w:type="pct"/>
            <w:vAlign w:val="center"/>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1.1.2具有</w:t>
            </w:r>
            <w:r>
              <w:rPr>
                <w:szCs w:val="21"/>
              </w:rPr>
              <w:t>高质量定点TEM样品制备</w:t>
            </w:r>
            <w:r>
              <w:rPr>
                <w:rFonts w:hint="eastAsia"/>
                <w:color w:val="000000" w:themeColor="text1"/>
                <w:szCs w:val="21"/>
                <w14:textFill>
                  <w14:solidFill>
                    <w14:schemeClr w14:val="tx1"/>
                  </w14:solidFill>
                </w14:textFill>
              </w:rPr>
              <w:t>、自动TEM样品制备功能；</w:t>
            </w:r>
            <w:r>
              <w:rPr>
                <w:rFonts w:hint="eastAsia"/>
                <w:szCs w:val="21"/>
              </w:rPr>
              <w:t>具有</w:t>
            </w:r>
            <w:r>
              <w:rPr>
                <w:szCs w:val="21"/>
              </w:rPr>
              <w:t>离子束刻蚀、离子束沉积、电子束沉积</w:t>
            </w:r>
            <w:r>
              <w:rPr>
                <w:rFonts w:hint="eastAsia"/>
                <w:szCs w:val="21"/>
              </w:rPr>
              <w:t>功能；</w:t>
            </w:r>
            <w:r>
              <w:rPr>
                <w:szCs w:val="21"/>
              </w:rPr>
              <w:t>高分辨扫描电镜功能可对离子束加工试样进行实时观测</w:t>
            </w:r>
            <w:r>
              <w:rPr>
                <w:rFonts w:hint="eastAsia"/>
                <w:szCs w:val="21"/>
              </w:rPr>
              <w:t>。</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b/>
                <w:bCs/>
                <w:szCs w:val="21"/>
              </w:rPr>
            </w:pPr>
            <w:r>
              <w:rPr>
                <w:rFonts w:hint="eastAsia"/>
                <w:b/>
                <w:bCs/>
                <w:szCs w:val="21"/>
              </w:rPr>
              <w:t>1.2离子束系统参数要求：</w:t>
            </w:r>
          </w:p>
        </w:tc>
        <w:tc>
          <w:tcPr>
            <w:tcW w:w="1104" w:type="pct"/>
            <w:vAlign w:val="center"/>
          </w:tcPr>
          <w:p>
            <w:pPr>
              <w:rPr>
                <w:rFonts w:hint="eastAsia"/>
                <w:b/>
                <w:bCs/>
                <w:szCs w:val="21"/>
              </w:rPr>
            </w:pPr>
          </w:p>
        </w:tc>
        <w:tc>
          <w:tcPr>
            <w:tcW w:w="1104" w:type="pct"/>
            <w:vAlign w:val="center"/>
          </w:tcPr>
          <w:p>
            <w:pPr>
              <w:rPr>
                <w:rFonts w:hint="eastAsia"/>
                <w:b/>
                <w:bCs/>
                <w:szCs w:val="21"/>
              </w:rPr>
            </w:pPr>
          </w:p>
        </w:tc>
        <w:tc>
          <w:tcPr>
            <w:tcW w:w="1104" w:type="pct"/>
            <w:vAlign w:val="center"/>
          </w:tcPr>
          <w:p>
            <w:pPr>
              <w:rPr>
                <w:rFonts w:hint="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b/>
                <w:szCs w:val="21"/>
              </w:rPr>
              <w:t>★</w:t>
            </w:r>
            <w:r>
              <w:rPr>
                <w:rFonts w:hint="eastAsia"/>
                <w:szCs w:val="21"/>
              </w:rPr>
              <w:t>1.2.1离子源种类：液态Ga离子源；离子源寿命：≥1000小时；</w:t>
            </w:r>
          </w:p>
        </w:tc>
        <w:tc>
          <w:tcPr>
            <w:tcW w:w="1104" w:type="pct"/>
            <w:vAlign w:val="center"/>
          </w:tcPr>
          <w:p>
            <w:pPr>
              <w:rPr>
                <w:rFonts w:hint="eastAsia"/>
                <w:b/>
                <w:szCs w:val="21"/>
              </w:rPr>
            </w:pPr>
          </w:p>
        </w:tc>
        <w:tc>
          <w:tcPr>
            <w:tcW w:w="1104" w:type="pct"/>
            <w:vAlign w:val="center"/>
          </w:tcPr>
          <w:p>
            <w:pPr>
              <w:rPr>
                <w:rFonts w:hint="eastAsia"/>
                <w:b/>
                <w:szCs w:val="21"/>
              </w:rPr>
            </w:pPr>
          </w:p>
        </w:tc>
        <w:tc>
          <w:tcPr>
            <w:tcW w:w="1104" w:type="pct"/>
            <w:vAlign w:val="center"/>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1.2.2 交叉点分辨率：</w:t>
            </w:r>
          </w:p>
          <w:p>
            <w:pPr>
              <w:rPr>
                <w:szCs w:val="21"/>
              </w:rPr>
            </w:pPr>
            <w:r>
              <w:rPr>
                <w:rFonts w:hint="eastAsia"/>
                <w:szCs w:val="21"/>
              </w:rPr>
              <w:t>≤4.0nm @ 30kV (采用Multi-edge平均值法测量方式)</w:t>
            </w:r>
          </w:p>
          <w:p>
            <w:pPr>
              <w:rPr>
                <w:szCs w:val="21"/>
              </w:rPr>
            </w:pPr>
            <w:r>
              <w:rPr>
                <w:rFonts w:hint="eastAsia"/>
                <w:szCs w:val="21"/>
              </w:rPr>
              <w:t>≤2.5nm @ 30kV (采用Selective-edge平均值法测量方式)</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1.2.3加速电压范围：0.5kV - 30 kV；束流强度范围：1pA - 100nA；</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1.2.</w:t>
            </w:r>
            <w:r>
              <w:rPr>
                <w:szCs w:val="21"/>
              </w:rPr>
              <w:t>6辅助气体注入系统</w:t>
            </w:r>
            <w:r>
              <w:rPr>
                <w:rFonts w:hint="eastAsia"/>
                <w:szCs w:val="21"/>
              </w:rPr>
              <w:t>，</w:t>
            </w:r>
            <w:r>
              <w:rPr>
                <w:szCs w:val="21"/>
              </w:rPr>
              <w:t>拥有独立的分离式气体注入系统，可重新配置；具备金属沉积系统，可在离子束、电子束诱导下进行</w:t>
            </w:r>
            <w:r>
              <w:rPr>
                <w:rFonts w:hint="eastAsia"/>
                <w:szCs w:val="21"/>
              </w:rPr>
              <w:t>W</w:t>
            </w:r>
            <w:r>
              <w:rPr>
                <w:szCs w:val="21"/>
              </w:rPr>
              <w:t>等金属的沉积</w:t>
            </w:r>
            <w:r>
              <w:rPr>
                <w:vanish/>
                <w:szCs w:val="21"/>
              </w:rPr>
              <w:t>end ess is less than</w:t>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vanish/>
                <w:szCs w:val="21"/>
              </w:rPr>
              <w:pgNum/>
            </w:r>
            <w:r>
              <w:rPr>
                <w:szCs w:val="21"/>
              </w:rPr>
              <w:t>；</w:t>
            </w:r>
            <w:r>
              <w:rPr>
                <w:rFonts w:hint="eastAsia"/>
                <w:szCs w:val="21"/>
              </w:rPr>
              <w:t>不少于</w:t>
            </w:r>
            <w:r>
              <w:rPr>
                <w:szCs w:val="21"/>
              </w:rPr>
              <w:t>5种气体注入系统</w:t>
            </w:r>
            <w:r>
              <w:rPr>
                <w:rFonts w:hint="eastAsia"/>
                <w:szCs w:val="21"/>
              </w:rPr>
              <w:t>可选</w:t>
            </w:r>
            <w:r>
              <w:rPr>
                <w:szCs w:val="21"/>
              </w:rPr>
              <w:t>，拥有10种以上备选过程方案；</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1.2.</w:t>
            </w:r>
            <w:r>
              <w:rPr>
                <w:rFonts w:hint="eastAsia"/>
                <w:szCs w:val="21"/>
                <w:lang w:val="en-US" w:eastAsia="zh-CN"/>
              </w:rPr>
              <w:t>7</w:t>
            </w:r>
            <w:r>
              <w:rPr>
                <w:rFonts w:hint="eastAsia"/>
                <w:szCs w:val="21"/>
              </w:rPr>
              <w:t>具备束流测量装置；具备实时观察离子束加工的监控功能。</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b/>
                <w:bCs/>
                <w:szCs w:val="21"/>
              </w:rPr>
            </w:pPr>
            <w:r>
              <w:rPr>
                <w:rFonts w:hint="eastAsia"/>
                <w:b/>
                <w:bCs/>
                <w:szCs w:val="21"/>
              </w:rPr>
              <w:t>1.3电子束系统参数要求：</w:t>
            </w:r>
          </w:p>
        </w:tc>
        <w:tc>
          <w:tcPr>
            <w:tcW w:w="1104" w:type="pct"/>
            <w:vAlign w:val="center"/>
          </w:tcPr>
          <w:p>
            <w:pPr>
              <w:rPr>
                <w:rFonts w:hint="eastAsia"/>
                <w:b/>
                <w:bCs/>
                <w:szCs w:val="21"/>
              </w:rPr>
            </w:pPr>
          </w:p>
        </w:tc>
        <w:tc>
          <w:tcPr>
            <w:tcW w:w="1104" w:type="pct"/>
            <w:vAlign w:val="center"/>
          </w:tcPr>
          <w:p>
            <w:pPr>
              <w:rPr>
                <w:rFonts w:hint="eastAsia"/>
                <w:b/>
                <w:bCs/>
                <w:szCs w:val="21"/>
              </w:rPr>
            </w:pPr>
          </w:p>
        </w:tc>
        <w:tc>
          <w:tcPr>
            <w:tcW w:w="1104" w:type="pct"/>
            <w:vAlign w:val="center"/>
          </w:tcPr>
          <w:p>
            <w:pPr>
              <w:rPr>
                <w:rFonts w:hint="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▲1.3.1</w:t>
            </w:r>
            <w:r>
              <w:rPr>
                <w:szCs w:val="21"/>
              </w:rPr>
              <w:t>电子枪类型：肖特基（ZrO/W）场发射灯丝</w:t>
            </w:r>
            <w:r>
              <w:rPr>
                <w:rFonts w:hint="eastAsia"/>
                <w:szCs w:val="21"/>
              </w:rPr>
              <w:t>，配有UC技术 (单色器)；</w:t>
            </w:r>
            <w:r>
              <w:rPr>
                <w:szCs w:val="21"/>
              </w:rPr>
              <w:t>样品加工后，能快速切换到电子束检查与成像</w:t>
            </w:r>
            <w:r>
              <w:rPr>
                <w:rFonts w:hint="eastAsia"/>
                <w:szCs w:val="21"/>
              </w:rPr>
              <w:t>；</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▲1.3.2</w:t>
            </w:r>
            <w:r>
              <w:rPr>
                <w:szCs w:val="21"/>
              </w:rPr>
              <w:t>分辨率：</w:t>
            </w:r>
          </w:p>
          <w:p>
            <w:pPr>
              <w:rPr>
                <w:szCs w:val="21"/>
              </w:rPr>
            </w:pPr>
            <w:r>
              <w:rPr>
                <w:szCs w:val="21"/>
              </w:rPr>
              <w:t>在最佳工作距离：</w:t>
            </w:r>
            <w:r>
              <w:rPr>
                <w:rFonts w:hint="eastAsia"/>
                <w:szCs w:val="21"/>
              </w:rPr>
              <w:t>≤</w:t>
            </w:r>
            <w:r>
              <w:rPr>
                <w:szCs w:val="21"/>
              </w:rPr>
              <w:t>0.</w:t>
            </w:r>
            <w:r>
              <w:rPr>
                <w:rFonts w:hint="eastAsia"/>
                <w:szCs w:val="21"/>
              </w:rPr>
              <w:t>6</w:t>
            </w:r>
            <w:r>
              <w:rPr>
                <w:szCs w:val="21"/>
              </w:rPr>
              <w:t>nm @ 15kV</w:t>
            </w:r>
            <w:r>
              <w:rPr>
                <w:rFonts w:hint="eastAsia"/>
                <w:szCs w:val="21"/>
              </w:rPr>
              <w:t>~2kV</w:t>
            </w:r>
            <w:r>
              <w:rPr>
                <w:szCs w:val="21"/>
              </w:rPr>
              <w:t>；</w:t>
            </w:r>
            <w:r>
              <w:rPr>
                <w:rFonts w:hint="eastAsia"/>
                <w:szCs w:val="21"/>
              </w:rPr>
              <w:t>≤0.7nm @ 1kV；</w:t>
            </w:r>
            <w:r>
              <w:rPr>
                <w:szCs w:val="21"/>
              </w:rPr>
              <w:t>在束交叉点分辨率：</w:t>
            </w:r>
            <w:r>
              <w:rPr>
                <w:rFonts w:hint="eastAsia"/>
                <w:szCs w:val="21"/>
              </w:rPr>
              <w:t>≤</w:t>
            </w:r>
            <w:r>
              <w:rPr>
                <w:szCs w:val="21"/>
              </w:rPr>
              <w:t>0</w:t>
            </w:r>
            <w:r>
              <w:rPr>
                <w:rFonts w:hint="eastAsia"/>
                <w:szCs w:val="21"/>
              </w:rPr>
              <w:t>.6</w:t>
            </w:r>
            <w:r>
              <w:rPr>
                <w:szCs w:val="21"/>
              </w:rPr>
              <w:t>nm @ 15kV；</w:t>
            </w:r>
            <w:r>
              <w:rPr>
                <w:rFonts w:hint="eastAsia"/>
                <w:szCs w:val="21"/>
              </w:rPr>
              <w:t>≤1.2</w:t>
            </w:r>
            <w:r>
              <w:rPr>
                <w:szCs w:val="21"/>
              </w:rPr>
              <w:t>nm @ 1kV</w:t>
            </w:r>
            <w:r>
              <w:rPr>
                <w:rFonts w:hint="eastAsia"/>
                <w:szCs w:val="21"/>
              </w:rPr>
              <w:t>；</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1.3.</w:t>
            </w:r>
            <w:r>
              <w:rPr>
                <w:rFonts w:hint="eastAsia"/>
                <w:szCs w:val="21"/>
                <w:lang w:val="en-US" w:eastAsia="zh-CN"/>
              </w:rPr>
              <w:t>3</w:t>
            </w:r>
            <w:r>
              <w:rPr>
                <w:szCs w:val="21"/>
              </w:rPr>
              <w:t>束交叉点工作距离</w:t>
            </w:r>
            <w:r>
              <w:rPr>
                <w:rFonts w:hint="eastAsia"/>
                <w:szCs w:val="21"/>
              </w:rPr>
              <w:t>范围</w:t>
            </w:r>
            <w:r>
              <w:rPr>
                <w:szCs w:val="21"/>
              </w:rPr>
              <w:t>：</w:t>
            </w:r>
            <w:r>
              <w:rPr>
                <w:rFonts w:hint="eastAsia"/>
                <w:szCs w:val="21"/>
              </w:rPr>
              <w:t>≤</w:t>
            </w:r>
            <w:r>
              <w:rPr>
                <w:szCs w:val="21"/>
              </w:rPr>
              <w:t>4mm</w:t>
            </w:r>
            <w:r>
              <w:rPr>
                <w:rFonts w:hint="eastAsia"/>
                <w:szCs w:val="21"/>
              </w:rPr>
              <w:t>；成像</w:t>
            </w:r>
            <w:r>
              <w:rPr>
                <w:szCs w:val="21"/>
              </w:rPr>
              <w:t>电压</w:t>
            </w:r>
            <w:r>
              <w:rPr>
                <w:rFonts w:hint="eastAsia"/>
                <w:szCs w:val="21"/>
              </w:rPr>
              <w:t>范围</w:t>
            </w:r>
            <w:r>
              <w:rPr>
                <w:szCs w:val="21"/>
              </w:rPr>
              <w:t>：</w:t>
            </w:r>
            <w:r>
              <w:rPr>
                <w:rFonts w:hint="eastAsia"/>
                <w:szCs w:val="21"/>
              </w:rPr>
              <w:t>20</w:t>
            </w:r>
            <w:r>
              <w:rPr>
                <w:szCs w:val="21"/>
              </w:rPr>
              <w:t>V－30KV</w:t>
            </w:r>
            <w:r>
              <w:rPr>
                <w:rFonts w:hint="eastAsia"/>
                <w:szCs w:val="21"/>
              </w:rPr>
              <w:t xml:space="preserve"> (连续可调)；电子束减速模式：-4kV 至 50V；</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▲1.3.</w:t>
            </w:r>
            <w:r>
              <w:rPr>
                <w:rFonts w:hint="eastAsia"/>
                <w:szCs w:val="21"/>
                <w:lang w:val="en-US" w:eastAsia="zh-CN"/>
              </w:rPr>
              <w:t>4</w:t>
            </w:r>
            <w:r>
              <w:rPr>
                <w:szCs w:val="21"/>
              </w:rPr>
              <w:t>束流强度</w:t>
            </w:r>
            <w:r>
              <w:rPr>
                <w:rFonts w:hint="eastAsia"/>
                <w:szCs w:val="21"/>
              </w:rPr>
              <w:t>范围</w:t>
            </w:r>
            <w:r>
              <w:rPr>
                <w:szCs w:val="21"/>
              </w:rPr>
              <w:t>：</w:t>
            </w:r>
            <w:r>
              <w:rPr>
                <w:rFonts w:hint="eastAsia"/>
                <w:szCs w:val="21"/>
              </w:rPr>
              <w:t>0.8pA - 100</w:t>
            </w:r>
            <w:r>
              <w:rPr>
                <w:szCs w:val="21"/>
              </w:rPr>
              <w:t>nA</w:t>
            </w:r>
            <w:r>
              <w:rPr>
                <w:rFonts w:hint="eastAsia"/>
                <w:szCs w:val="21"/>
              </w:rPr>
              <w:t>；具备可加热式物镜光阑。</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b/>
                <w:bCs/>
                <w:szCs w:val="21"/>
              </w:rPr>
            </w:pPr>
            <w:r>
              <w:rPr>
                <w:rFonts w:hint="eastAsia"/>
                <w:b/>
                <w:bCs/>
                <w:szCs w:val="21"/>
              </w:rPr>
              <w:t>1.4探测器技术要求：</w:t>
            </w:r>
          </w:p>
        </w:tc>
        <w:tc>
          <w:tcPr>
            <w:tcW w:w="1104" w:type="pct"/>
            <w:vAlign w:val="center"/>
          </w:tcPr>
          <w:p>
            <w:pPr>
              <w:rPr>
                <w:rFonts w:hint="eastAsia"/>
                <w:b/>
                <w:bCs/>
                <w:szCs w:val="21"/>
              </w:rPr>
            </w:pPr>
          </w:p>
        </w:tc>
        <w:tc>
          <w:tcPr>
            <w:tcW w:w="1104" w:type="pct"/>
            <w:vAlign w:val="center"/>
          </w:tcPr>
          <w:p>
            <w:pPr>
              <w:rPr>
                <w:rFonts w:hint="eastAsia"/>
                <w:b/>
                <w:bCs/>
                <w:szCs w:val="21"/>
              </w:rPr>
            </w:pPr>
          </w:p>
        </w:tc>
        <w:tc>
          <w:tcPr>
            <w:tcW w:w="1104" w:type="pct"/>
            <w:vAlign w:val="center"/>
          </w:tcPr>
          <w:p>
            <w:pPr>
              <w:rPr>
                <w:rFonts w:hint="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1.4.1配备高真空模式下</w:t>
            </w:r>
            <w:r>
              <w:rPr>
                <w:color w:val="000000" w:themeColor="text1"/>
                <w:szCs w:val="21"/>
                <w14:textFill>
                  <w14:solidFill>
                    <w14:schemeClr w14:val="tx1"/>
                  </w14:solidFill>
                </w14:textFill>
              </w:rPr>
              <w:t>二次电子探</w:t>
            </w:r>
            <w:r>
              <w:rPr>
                <w:rFonts w:hint="eastAsia"/>
                <w:color w:val="000000" w:themeColor="text1"/>
                <w:szCs w:val="21"/>
                <w14:textFill>
                  <w14:solidFill>
                    <w14:schemeClr w14:val="tx1"/>
                  </w14:solidFill>
                </w14:textFill>
              </w:rPr>
              <w:t>测器；配备极靴内探测器，具有二次电子和背散射电子模式；</w:t>
            </w:r>
          </w:p>
        </w:tc>
        <w:tc>
          <w:tcPr>
            <w:tcW w:w="1104" w:type="pct"/>
            <w:vAlign w:val="center"/>
          </w:tcPr>
          <w:p>
            <w:pPr>
              <w:rPr>
                <w:rFonts w:hint="eastAsia"/>
                <w:color w:val="000000" w:themeColor="text1"/>
                <w:szCs w:val="21"/>
                <w14:textFill>
                  <w14:solidFill>
                    <w14:schemeClr w14:val="tx1"/>
                  </w14:solidFill>
                </w14:textFill>
              </w:rPr>
            </w:pPr>
          </w:p>
        </w:tc>
        <w:tc>
          <w:tcPr>
            <w:tcW w:w="1104" w:type="pct"/>
            <w:vAlign w:val="center"/>
          </w:tcPr>
          <w:p>
            <w:pPr>
              <w:rPr>
                <w:rFonts w:hint="eastAsia"/>
                <w:color w:val="000000" w:themeColor="text1"/>
                <w:szCs w:val="21"/>
                <w14:textFill>
                  <w14:solidFill>
                    <w14:schemeClr w14:val="tx1"/>
                  </w14:solidFill>
                </w14:textFill>
              </w:rPr>
            </w:pPr>
          </w:p>
        </w:tc>
        <w:tc>
          <w:tcPr>
            <w:tcW w:w="1104" w:type="pct"/>
            <w:vAlign w:val="center"/>
          </w:tcPr>
          <w:p>
            <w:pP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配备低电压高衬度可伸缩定向背散射电子探测器；配备镜筒内二次电子探测器；配备镜筒内背散射电子探测器；</w:t>
            </w:r>
          </w:p>
        </w:tc>
        <w:tc>
          <w:tcPr>
            <w:tcW w:w="1104" w:type="pct"/>
            <w:vAlign w:val="center"/>
          </w:tcPr>
          <w:p>
            <w:pPr>
              <w:rPr>
                <w:rFonts w:hint="eastAsia"/>
                <w:color w:val="000000" w:themeColor="text1"/>
                <w:szCs w:val="21"/>
                <w14:textFill>
                  <w14:solidFill>
                    <w14:schemeClr w14:val="tx1"/>
                  </w14:solidFill>
                </w14:textFill>
              </w:rPr>
            </w:pPr>
          </w:p>
        </w:tc>
        <w:tc>
          <w:tcPr>
            <w:tcW w:w="1104" w:type="pct"/>
            <w:vAlign w:val="center"/>
          </w:tcPr>
          <w:p>
            <w:pPr>
              <w:rPr>
                <w:rFonts w:hint="eastAsia"/>
                <w:color w:val="000000" w:themeColor="text1"/>
                <w:szCs w:val="21"/>
                <w14:textFill>
                  <w14:solidFill>
                    <w14:schemeClr w14:val="tx1"/>
                  </w14:solidFill>
                </w14:textFill>
              </w:rPr>
            </w:pPr>
          </w:p>
        </w:tc>
        <w:tc>
          <w:tcPr>
            <w:tcW w:w="1104" w:type="pct"/>
            <w:vAlign w:val="center"/>
          </w:tcPr>
          <w:p>
            <w:pP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配备样品导航相机；配备</w:t>
            </w:r>
            <w:r>
              <w:rPr>
                <w:color w:val="000000" w:themeColor="text1"/>
                <w:szCs w:val="21"/>
                <w14:textFill>
                  <w14:solidFill>
                    <w14:schemeClr w14:val="tx1"/>
                  </w14:solidFill>
                </w14:textFill>
              </w:rPr>
              <w:t>样品室红外CCD相机</w:t>
            </w:r>
            <w:r>
              <w:rPr>
                <w:rFonts w:hint="eastAsia"/>
                <w:color w:val="000000" w:themeColor="text1"/>
                <w:szCs w:val="21"/>
                <w14:textFill>
                  <w14:solidFill>
                    <w14:schemeClr w14:val="tx1"/>
                  </w14:solidFill>
                </w14:textFill>
              </w:rPr>
              <w:t>。</w:t>
            </w:r>
          </w:p>
        </w:tc>
        <w:tc>
          <w:tcPr>
            <w:tcW w:w="1104" w:type="pct"/>
            <w:vAlign w:val="center"/>
          </w:tcPr>
          <w:p>
            <w:pPr>
              <w:rPr>
                <w:rFonts w:hint="eastAsia"/>
                <w:color w:val="000000" w:themeColor="text1"/>
                <w:szCs w:val="21"/>
                <w14:textFill>
                  <w14:solidFill>
                    <w14:schemeClr w14:val="tx1"/>
                  </w14:solidFill>
                </w14:textFill>
              </w:rPr>
            </w:pPr>
          </w:p>
        </w:tc>
        <w:tc>
          <w:tcPr>
            <w:tcW w:w="1104" w:type="pct"/>
            <w:vAlign w:val="center"/>
          </w:tcPr>
          <w:p>
            <w:pPr>
              <w:rPr>
                <w:rFonts w:hint="eastAsia"/>
                <w:color w:val="000000" w:themeColor="text1"/>
                <w:szCs w:val="21"/>
                <w14:textFill>
                  <w14:solidFill>
                    <w14:schemeClr w14:val="tx1"/>
                  </w14:solidFill>
                </w14:textFill>
              </w:rPr>
            </w:pPr>
          </w:p>
        </w:tc>
        <w:tc>
          <w:tcPr>
            <w:tcW w:w="1104" w:type="pct"/>
            <w:vAlign w:val="center"/>
          </w:tcPr>
          <w:p>
            <w:pP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b/>
                <w:bCs/>
                <w:szCs w:val="21"/>
              </w:rPr>
            </w:pPr>
            <w:r>
              <w:rPr>
                <w:rFonts w:hint="eastAsia"/>
                <w:b/>
                <w:bCs/>
                <w:szCs w:val="21"/>
              </w:rPr>
              <w:t>1.5真空系统技术要求：</w:t>
            </w:r>
          </w:p>
        </w:tc>
        <w:tc>
          <w:tcPr>
            <w:tcW w:w="1104" w:type="pct"/>
            <w:vAlign w:val="center"/>
          </w:tcPr>
          <w:p>
            <w:pPr>
              <w:rPr>
                <w:rFonts w:hint="eastAsia"/>
                <w:b/>
                <w:bCs/>
                <w:szCs w:val="21"/>
              </w:rPr>
            </w:pPr>
          </w:p>
        </w:tc>
        <w:tc>
          <w:tcPr>
            <w:tcW w:w="1104" w:type="pct"/>
            <w:vAlign w:val="center"/>
          </w:tcPr>
          <w:p>
            <w:pPr>
              <w:rPr>
                <w:rFonts w:hint="eastAsia"/>
                <w:b/>
                <w:bCs/>
                <w:szCs w:val="21"/>
              </w:rPr>
            </w:pPr>
          </w:p>
        </w:tc>
        <w:tc>
          <w:tcPr>
            <w:tcW w:w="1104" w:type="pct"/>
            <w:vAlign w:val="center"/>
          </w:tcPr>
          <w:p>
            <w:pPr>
              <w:rPr>
                <w:rFonts w:hint="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b/>
                <w:szCs w:val="21"/>
              </w:rPr>
              <w:t>★</w:t>
            </w:r>
            <w:r>
              <w:rPr>
                <w:rFonts w:hint="eastAsia"/>
                <w:szCs w:val="21"/>
              </w:rPr>
              <w:t>1.5.1完全无油真空系统：由</w:t>
            </w:r>
            <w:r>
              <w:rPr>
                <w:szCs w:val="21"/>
              </w:rPr>
              <w:t>机械干泵</w:t>
            </w:r>
            <w:r>
              <w:rPr>
                <w:rFonts w:hint="eastAsia"/>
                <w:szCs w:val="21"/>
              </w:rPr>
              <w:t>、</w:t>
            </w:r>
            <w:r>
              <w:rPr>
                <w:szCs w:val="21"/>
              </w:rPr>
              <w:t>涡轮分子泵</w:t>
            </w:r>
            <w:r>
              <w:rPr>
                <w:rFonts w:hint="eastAsia"/>
                <w:szCs w:val="21"/>
              </w:rPr>
              <w:t>和</w:t>
            </w:r>
            <w:r>
              <w:rPr>
                <w:szCs w:val="21"/>
              </w:rPr>
              <w:t>离子泵</w:t>
            </w:r>
            <w:r>
              <w:rPr>
                <w:rFonts w:hint="eastAsia"/>
                <w:szCs w:val="21"/>
              </w:rPr>
              <w:t>构成</w:t>
            </w:r>
            <w:r>
              <w:rPr>
                <w:szCs w:val="21"/>
              </w:rPr>
              <w:t>。</w:t>
            </w:r>
          </w:p>
        </w:tc>
        <w:tc>
          <w:tcPr>
            <w:tcW w:w="1104" w:type="pct"/>
            <w:vAlign w:val="center"/>
          </w:tcPr>
          <w:p>
            <w:pPr>
              <w:rPr>
                <w:rFonts w:hint="eastAsia"/>
                <w:b/>
                <w:szCs w:val="21"/>
              </w:rPr>
            </w:pPr>
          </w:p>
        </w:tc>
        <w:tc>
          <w:tcPr>
            <w:tcW w:w="1104" w:type="pct"/>
            <w:vAlign w:val="center"/>
          </w:tcPr>
          <w:p>
            <w:pPr>
              <w:rPr>
                <w:rFonts w:hint="eastAsia"/>
                <w:b/>
                <w:szCs w:val="21"/>
              </w:rPr>
            </w:pPr>
          </w:p>
        </w:tc>
        <w:tc>
          <w:tcPr>
            <w:tcW w:w="1104" w:type="pct"/>
            <w:vAlign w:val="center"/>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1.5.2</w:t>
            </w:r>
            <w:r>
              <w:rPr>
                <w:szCs w:val="21"/>
              </w:rPr>
              <w:t>样品室真空度：&lt;2.</w:t>
            </w:r>
            <w:r>
              <w:rPr>
                <w:rFonts w:hint="eastAsia"/>
                <w:szCs w:val="21"/>
              </w:rPr>
              <w:t>6</w:t>
            </w:r>
            <w:r>
              <w:rPr>
                <w:szCs w:val="21"/>
              </w:rPr>
              <w:sym w:font="Symbol" w:char="F0B4"/>
            </w:r>
            <w:r>
              <w:rPr>
                <w:szCs w:val="21"/>
              </w:rPr>
              <w:t>10</w:t>
            </w:r>
            <w:r>
              <w:rPr>
                <w:szCs w:val="21"/>
                <w:vertAlign w:val="superscript"/>
              </w:rPr>
              <w:t>-6</w:t>
            </w:r>
            <w:r>
              <w:rPr>
                <w:szCs w:val="21"/>
              </w:rPr>
              <w:t>mBar (连续24小时抽真空后)。</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b/>
                <w:szCs w:val="21"/>
              </w:rPr>
            </w:pPr>
            <w:r>
              <w:rPr>
                <w:rFonts w:hint="eastAsia"/>
                <w:b/>
                <w:szCs w:val="21"/>
              </w:rPr>
              <w:t>1.6样品腔室技术要求：</w:t>
            </w:r>
          </w:p>
        </w:tc>
        <w:tc>
          <w:tcPr>
            <w:tcW w:w="1104" w:type="pct"/>
            <w:vAlign w:val="center"/>
          </w:tcPr>
          <w:p>
            <w:pPr>
              <w:rPr>
                <w:rFonts w:hint="eastAsia"/>
                <w:b/>
                <w:szCs w:val="21"/>
              </w:rPr>
            </w:pPr>
          </w:p>
        </w:tc>
        <w:tc>
          <w:tcPr>
            <w:tcW w:w="1104" w:type="pct"/>
            <w:vAlign w:val="center"/>
          </w:tcPr>
          <w:p>
            <w:pPr>
              <w:rPr>
                <w:rFonts w:hint="eastAsia"/>
                <w:b/>
                <w:szCs w:val="21"/>
              </w:rPr>
            </w:pPr>
          </w:p>
        </w:tc>
        <w:tc>
          <w:tcPr>
            <w:tcW w:w="1104" w:type="pct"/>
            <w:vAlign w:val="center"/>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1.6.1样品室要求：</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▲1.6.1.1左右内径不小于</w:t>
            </w:r>
            <w:r>
              <w:rPr>
                <w:szCs w:val="21"/>
              </w:rPr>
              <w:t>3</w:t>
            </w:r>
            <w:r>
              <w:rPr>
                <w:rFonts w:hint="eastAsia"/>
                <w:szCs w:val="21"/>
              </w:rPr>
              <w:t>7</w:t>
            </w:r>
            <w:r>
              <w:rPr>
                <w:szCs w:val="21"/>
              </w:rPr>
              <w:t>0mm</w:t>
            </w:r>
            <w:r>
              <w:rPr>
                <w:rFonts w:hint="eastAsia"/>
                <w:szCs w:val="21"/>
              </w:rPr>
              <w:t>；不少于21个附件接口；电子束和离子束交叉点、分析工作距离≤</w:t>
            </w:r>
            <w:r>
              <w:rPr>
                <w:szCs w:val="21"/>
              </w:rPr>
              <w:t>4</w:t>
            </w:r>
            <w:r>
              <w:rPr>
                <w:rFonts w:hint="eastAsia"/>
                <w:szCs w:val="21"/>
              </w:rPr>
              <w:t>mm；</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1.6.1.</w:t>
            </w:r>
            <w:r>
              <w:rPr>
                <w:rFonts w:hint="eastAsia"/>
                <w:szCs w:val="21"/>
                <w:lang w:val="en-US" w:eastAsia="zh-CN"/>
              </w:rPr>
              <w:t>2</w:t>
            </w:r>
            <w:r>
              <w:rPr>
                <w:rFonts w:hint="eastAsia"/>
                <w:szCs w:val="21"/>
              </w:rPr>
              <w:t xml:space="preserve"> 电子束和离子束夹角≤52°；配备一体化等离子清洗装置；配备束流检测装置；</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1.6.1.</w:t>
            </w:r>
            <w:r>
              <w:rPr>
                <w:rFonts w:hint="eastAsia"/>
                <w:szCs w:val="21"/>
                <w:lang w:val="en-US" w:eastAsia="zh-CN"/>
              </w:rPr>
              <w:t>3</w:t>
            </w:r>
            <w:r>
              <w:rPr>
                <w:rFonts w:hint="eastAsia"/>
                <w:szCs w:val="21"/>
              </w:rPr>
              <w:t xml:space="preserve"> 配备全自动TEM样品纳米机械手，软件和双束聚焦离子束软件一体化设计；</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1.6.1.</w:t>
            </w:r>
            <w:r>
              <w:rPr>
                <w:rFonts w:hint="eastAsia"/>
                <w:szCs w:val="21"/>
                <w:lang w:val="en-US" w:eastAsia="zh-CN"/>
              </w:rPr>
              <w:t>4</w:t>
            </w:r>
            <w:r>
              <w:rPr>
                <w:rFonts w:hint="eastAsia"/>
                <w:szCs w:val="21"/>
              </w:rPr>
              <w:t>配备快速进样装置，快速样品交换仓；快速交换仓容许最大样品直径不小于</w:t>
            </w:r>
            <w:r>
              <w:rPr>
                <w:szCs w:val="21"/>
              </w:rPr>
              <w:t>32mm</w:t>
            </w:r>
            <w:r>
              <w:rPr>
                <w:rFonts w:hint="eastAsia"/>
                <w:szCs w:val="21"/>
              </w:rPr>
              <w:t>，高度不低于</w:t>
            </w:r>
            <w:r>
              <w:rPr>
                <w:szCs w:val="21"/>
              </w:rPr>
              <w:t>10mm</w:t>
            </w:r>
            <w:r>
              <w:rPr>
                <w:rFonts w:hint="eastAsia"/>
                <w:szCs w:val="21"/>
              </w:rPr>
              <w:t>；抽真空时间不慢于</w:t>
            </w:r>
            <w:r>
              <w:rPr>
                <w:szCs w:val="21"/>
              </w:rPr>
              <w:t>3</w:t>
            </w:r>
            <w:r>
              <w:rPr>
                <w:rFonts w:hint="eastAsia"/>
                <w:szCs w:val="21"/>
              </w:rPr>
              <w:t>0s；</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1.6.2</w:t>
            </w:r>
            <w:r>
              <w:rPr>
                <w:szCs w:val="21"/>
              </w:rPr>
              <w:t>样品台</w:t>
            </w:r>
            <w:r>
              <w:rPr>
                <w:rFonts w:hint="eastAsia"/>
                <w:szCs w:val="21"/>
              </w:rPr>
              <w:t>要求：</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b/>
                <w:szCs w:val="21"/>
              </w:rPr>
            </w:pPr>
            <w:r>
              <w:rPr>
                <w:rFonts w:hint="eastAsia"/>
                <w:b/>
                <w:szCs w:val="21"/>
              </w:rPr>
              <w:t>★</w:t>
            </w:r>
            <w:r>
              <w:rPr>
                <w:rFonts w:hint="eastAsia"/>
                <w:szCs w:val="21"/>
              </w:rPr>
              <w:t>1.6.2.1配备全自动</w:t>
            </w:r>
            <w:r>
              <w:rPr>
                <w:szCs w:val="21"/>
              </w:rPr>
              <w:t>五轴马达驱动样品台；</w:t>
            </w:r>
          </w:p>
        </w:tc>
        <w:tc>
          <w:tcPr>
            <w:tcW w:w="1104" w:type="pct"/>
            <w:vAlign w:val="center"/>
          </w:tcPr>
          <w:p>
            <w:pPr>
              <w:rPr>
                <w:rFonts w:hint="eastAsia"/>
                <w:b/>
                <w:szCs w:val="21"/>
              </w:rPr>
            </w:pPr>
          </w:p>
        </w:tc>
        <w:tc>
          <w:tcPr>
            <w:tcW w:w="1104" w:type="pct"/>
            <w:vAlign w:val="center"/>
          </w:tcPr>
          <w:p>
            <w:pPr>
              <w:rPr>
                <w:rFonts w:hint="eastAsia"/>
                <w:b/>
                <w:szCs w:val="21"/>
              </w:rPr>
            </w:pPr>
          </w:p>
        </w:tc>
        <w:tc>
          <w:tcPr>
            <w:tcW w:w="1104" w:type="pct"/>
            <w:vAlign w:val="center"/>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▲1.6.2.2</w:t>
            </w:r>
            <w:r>
              <w:rPr>
                <w:szCs w:val="21"/>
              </w:rPr>
              <w:t xml:space="preserve"> XYR</w:t>
            </w:r>
            <w:r>
              <w:rPr>
                <w:rFonts w:hint="eastAsia"/>
                <w:szCs w:val="21"/>
              </w:rPr>
              <w:t>轴由</w:t>
            </w:r>
            <w:r>
              <w:rPr>
                <w:szCs w:val="21"/>
              </w:rPr>
              <w:t>压电陶瓷</w:t>
            </w:r>
            <w:r>
              <w:rPr>
                <w:rFonts w:hint="eastAsia"/>
                <w:szCs w:val="21"/>
              </w:rPr>
              <w:t>驱动，以保证移动精度</w:t>
            </w:r>
            <w:r>
              <w:rPr>
                <w:szCs w:val="21"/>
              </w:rPr>
              <w:t>；X、Y方向移动范围不低于150mm，</w:t>
            </w:r>
            <w:r>
              <w:rPr>
                <w:rFonts w:hint="eastAsia"/>
                <w:szCs w:val="21"/>
              </w:rPr>
              <w:t>重复</w:t>
            </w:r>
            <w:r>
              <w:rPr>
                <w:szCs w:val="21"/>
              </w:rPr>
              <w:t>精度</w:t>
            </w:r>
            <w:r>
              <w:rPr>
                <w:rFonts w:hint="eastAsia"/>
                <w:szCs w:val="21"/>
              </w:rPr>
              <w:t>≤</w:t>
            </w:r>
            <w:r>
              <w:rPr>
                <w:szCs w:val="21"/>
              </w:rPr>
              <w:t>1.0微米</w:t>
            </w:r>
            <w:r>
              <w:rPr>
                <w:rFonts w:hint="eastAsia"/>
                <w:szCs w:val="21"/>
              </w:rPr>
              <w:t>；</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1.6.2.</w:t>
            </w:r>
            <w:r>
              <w:rPr>
                <w:rFonts w:hint="eastAsia"/>
                <w:szCs w:val="21"/>
                <w:lang w:val="en-US" w:eastAsia="zh-CN"/>
              </w:rPr>
              <w:t>3</w:t>
            </w:r>
            <w:r>
              <w:rPr>
                <w:rFonts w:hint="eastAsia"/>
                <w:szCs w:val="21"/>
              </w:rPr>
              <w:t xml:space="preserve"> Z</w:t>
            </w:r>
            <w:r>
              <w:rPr>
                <w:szCs w:val="21"/>
              </w:rPr>
              <w:t>方向移动范围不低于10mm，可绕Z轴旋转任意角度 (360度)</w:t>
            </w:r>
            <w:r>
              <w:rPr>
                <w:rFonts w:hint="eastAsia"/>
                <w:szCs w:val="21"/>
              </w:rPr>
              <w:t>；</w:t>
            </w:r>
            <w:r>
              <w:rPr>
                <w:szCs w:val="21"/>
              </w:rPr>
              <w:t>倾角范围包含 -</w:t>
            </w:r>
            <w:r>
              <w:rPr>
                <w:rFonts w:hint="eastAsia"/>
                <w:szCs w:val="21"/>
              </w:rPr>
              <w:t>10</w:t>
            </w:r>
            <w:r>
              <w:rPr>
                <w:szCs w:val="21"/>
              </w:rPr>
              <w:t>至60度，X、Y方向最小移动步长</w:t>
            </w:r>
            <w:r>
              <w:rPr>
                <w:rFonts w:hint="eastAsia"/>
                <w:szCs w:val="21"/>
              </w:rPr>
              <w:t>≤</w:t>
            </w:r>
            <w:r>
              <w:rPr>
                <w:szCs w:val="21"/>
              </w:rPr>
              <w:t>100nm</w:t>
            </w:r>
            <w:r>
              <w:rPr>
                <w:rFonts w:hint="eastAsia"/>
                <w:szCs w:val="21"/>
              </w:rPr>
              <w:t>；</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1.6.2.</w:t>
            </w:r>
            <w:r>
              <w:rPr>
                <w:rFonts w:hint="eastAsia"/>
                <w:szCs w:val="21"/>
                <w:lang w:val="en-US" w:eastAsia="zh-CN"/>
              </w:rPr>
              <w:t>4</w:t>
            </w:r>
            <w:r>
              <w:rPr>
                <w:szCs w:val="21"/>
              </w:rPr>
              <w:t>最大样品直径不小于150mm</w:t>
            </w:r>
            <w:r>
              <w:rPr>
                <w:rFonts w:hint="eastAsia"/>
                <w:szCs w:val="21"/>
              </w:rPr>
              <w:t>；</w:t>
            </w:r>
            <w:r>
              <w:rPr>
                <w:szCs w:val="21"/>
              </w:rPr>
              <w:t>最大样品高度：样品台到束交叉点不小于5</w:t>
            </w:r>
            <w:r>
              <w:rPr>
                <w:rFonts w:hint="eastAsia"/>
                <w:szCs w:val="21"/>
              </w:rPr>
              <w:t>5</w:t>
            </w:r>
            <w:r>
              <w:rPr>
                <w:szCs w:val="21"/>
              </w:rPr>
              <w:t>mm</w:t>
            </w:r>
            <w:r>
              <w:rPr>
                <w:rFonts w:hint="eastAsia"/>
                <w:szCs w:val="21"/>
              </w:rPr>
              <w:t>。</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b/>
                <w:bCs/>
                <w:szCs w:val="21"/>
              </w:rPr>
            </w:pPr>
            <w:r>
              <w:rPr>
                <w:rFonts w:hint="eastAsia"/>
                <w:b/>
                <w:bCs/>
                <w:szCs w:val="21"/>
              </w:rPr>
              <w:t>1.7空压机和</w:t>
            </w:r>
            <w:r>
              <w:rPr>
                <w:b/>
                <w:bCs/>
                <w:szCs w:val="21"/>
              </w:rPr>
              <w:t>冷却循环水机</w:t>
            </w:r>
            <w:r>
              <w:rPr>
                <w:rFonts w:hint="eastAsia"/>
                <w:b/>
                <w:bCs/>
                <w:szCs w:val="21"/>
              </w:rPr>
              <w:t>要求：</w:t>
            </w:r>
          </w:p>
          <w:p>
            <w:pPr>
              <w:rPr>
                <w:szCs w:val="21"/>
              </w:rPr>
            </w:pPr>
            <w:r>
              <w:rPr>
                <w:rFonts w:hint="eastAsia"/>
                <w:szCs w:val="21"/>
              </w:rPr>
              <w:t>配备</w:t>
            </w:r>
            <w:r>
              <w:rPr>
                <w:szCs w:val="21"/>
              </w:rPr>
              <w:t>有空压机和冷却循环水系统，分别用于冷却SEM镜筒及其它部件</w:t>
            </w:r>
            <w:r>
              <w:rPr>
                <w:rFonts w:hint="eastAsia"/>
                <w:szCs w:val="21"/>
              </w:rPr>
              <w:t>。</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b/>
                <w:bCs/>
                <w:szCs w:val="21"/>
              </w:rPr>
              <w:t>1.8一体化TEM样品纳米机械手要求</w:t>
            </w:r>
            <w:r>
              <w:rPr>
                <w:rFonts w:hint="eastAsia"/>
                <w:szCs w:val="21"/>
              </w:rPr>
              <w:t>：</w:t>
            </w:r>
            <w:r>
              <w:rPr>
                <w:szCs w:val="21"/>
              </w:rPr>
              <w:t xml:space="preserve"> </w:t>
            </w:r>
          </w:p>
        </w:tc>
        <w:tc>
          <w:tcPr>
            <w:tcW w:w="1104" w:type="pct"/>
            <w:vAlign w:val="center"/>
          </w:tcPr>
          <w:p>
            <w:pPr>
              <w:rPr>
                <w:rFonts w:hint="eastAsia"/>
                <w:b/>
                <w:bCs/>
                <w:szCs w:val="21"/>
              </w:rPr>
            </w:pPr>
          </w:p>
        </w:tc>
        <w:tc>
          <w:tcPr>
            <w:tcW w:w="1104" w:type="pct"/>
            <w:vAlign w:val="center"/>
          </w:tcPr>
          <w:p>
            <w:pPr>
              <w:rPr>
                <w:rFonts w:hint="eastAsia"/>
                <w:b/>
                <w:bCs/>
                <w:szCs w:val="21"/>
              </w:rPr>
            </w:pPr>
          </w:p>
        </w:tc>
        <w:tc>
          <w:tcPr>
            <w:tcW w:w="1104" w:type="pct"/>
            <w:vAlign w:val="center"/>
          </w:tcPr>
          <w:p>
            <w:pPr>
              <w:rPr>
                <w:rFonts w:hint="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1.8.1 漂移≤</w:t>
            </w:r>
            <w:r>
              <w:rPr>
                <w:szCs w:val="21"/>
              </w:rPr>
              <w:t>10</w:t>
            </w:r>
            <w:r>
              <w:rPr>
                <w:rFonts w:hint="eastAsia"/>
                <w:szCs w:val="21"/>
              </w:rPr>
              <w:t>0nm/min；最小步长≤50nm；重复性≤</w:t>
            </w:r>
            <w:r>
              <w:rPr>
                <w:szCs w:val="21"/>
              </w:rPr>
              <w:t>150 nm</w:t>
            </w:r>
            <w:r>
              <w:rPr>
                <w:rFonts w:hint="eastAsia"/>
                <w:szCs w:val="21"/>
              </w:rPr>
              <w:t>；</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▲1.8.2旋转：马达驱动；TEM样品纳米机械手软件集成在双束显微镜控制软件中，操作更方便。</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b/>
                <w:bCs/>
                <w:szCs w:val="21"/>
              </w:rPr>
            </w:pPr>
            <w:r>
              <w:rPr>
                <w:rFonts w:hint="eastAsia"/>
                <w:b/>
                <w:bCs/>
                <w:szCs w:val="21"/>
              </w:rPr>
              <w:t>1.9沉积和刻蚀气体要求：</w:t>
            </w:r>
          </w:p>
          <w:p>
            <w:pPr>
              <w:rPr>
                <w:szCs w:val="21"/>
              </w:rPr>
            </w:pPr>
            <w:r>
              <w:rPr>
                <w:rFonts w:hint="eastAsia"/>
                <w:szCs w:val="21"/>
              </w:rPr>
              <w:t>包含W沉积、C沉积、Au沉积、IEE增强刻蚀、绝缘体沉积I</w:t>
            </w:r>
            <w:r>
              <w:rPr>
                <w:szCs w:val="21"/>
              </w:rPr>
              <w:t>I</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b/>
                <w:bCs/>
                <w:szCs w:val="21"/>
              </w:rPr>
            </w:pPr>
            <w:r>
              <w:rPr>
                <w:rFonts w:hint="eastAsia"/>
                <w:b/>
                <w:bCs/>
                <w:szCs w:val="21"/>
              </w:rPr>
              <w:t>1.10</w:t>
            </w:r>
            <w:r>
              <w:rPr>
                <w:b/>
                <w:bCs/>
                <w:szCs w:val="21"/>
              </w:rPr>
              <w:t>备品备件</w:t>
            </w:r>
            <w:r>
              <w:rPr>
                <w:rFonts w:hint="eastAsia"/>
                <w:b/>
                <w:bCs/>
                <w:szCs w:val="21"/>
              </w:rPr>
              <w:t>要求：</w:t>
            </w:r>
          </w:p>
          <w:p>
            <w:pPr>
              <w:rPr>
                <w:color w:val="FF0000"/>
                <w:szCs w:val="21"/>
              </w:rPr>
            </w:pPr>
            <w:r>
              <w:rPr>
                <w:rFonts w:hint="eastAsia"/>
                <w:szCs w:val="21"/>
              </w:rPr>
              <w:t>UPS、系统罩、维修吊臂、工作台、控制面板、样品夹具套装、样品基座。</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color w:val="FF0000"/>
                <w:szCs w:val="21"/>
              </w:rPr>
            </w:pPr>
            <w:r>
              <w:rPr>
                <w:rFonts w:hint="eastAsia"/>
                <w:b/>
                <w:bCs/>
                <w:szCs w:val="21"/>
              </w:rPr>
              <w:t>1.11消耗品要求：</w:t>
            </w:r>
          </w:p>
          <w:p>
            <w:pPr>
              <w:rPr>
                <w:szCs w:val="21"/>
              </w:rPr>
            </w:pPr>
            <w:r>
              <w:rPr>
                <w:rFonts w:hint="eastAsia"/>
                <w:szCs w:val="21"/>
              </w:rPr>
              <w:t>备用一根场发射灯丝（按需发货，灯丝的更换卖方承担人工费和差旅费），备用5套Ga离子源，备用一套</w:t>
            </w:r>
            <w:r>
              <w:rPr>
                <w:szCs w:val="21"/>
              </w:rPr>
              <w:t>IEE</w:t>
            </w:r>
            <w:r>
              <w:rPr>
                <w:rFonts w:hint="eastAsia"/>
                <w:szCs w:val="21"/>
              </w:rPr>
              <w:t>，备用一套</w:t>
            </w:r>
            <w:r>
              <w:rPr>
                <w:szCs w:val="21"/>
              </w:rPr>
              <w:t>W</w:t>
            </w:r>
            <w:r>
              <w:rPr>
                <w:rFonts w:hint="eastAsia"/>
                <w:szCs w:val="21"/>
              </w:rPr>
              <w:t>，备用一套C，备用一套绝缘体I</w:t>
            </w:r>
            <w:r>
              <w:rPr>
                <w:szCs w:val="21"/>
              </w:rPr>
              <w:t>I</w:t>
            </w:r>
            <w:r>
              <w:rPr>
                <w:rFonts w:hint="eastAsia"/>
                <w:szCs w:val="21"/>
              </w:rPr>
              <w:t>，备用一套Au，备用5个牵引极，备用</w:t>
            </w:r>
            <w:r>
              <w:rPr>
                <w:szCs w:val="21"/>
              </w:rPr>
              <w:t>1</w:t>
            </w:r>
            <w:r>
              <w:rPr>
                <w:rFonts w:hint="eastAsia"/>
                <w:szCs w:val="21"/>
              </w:rPr>
              <w:t>个抑制极，备用一套离子束光阑；镊子一把、双面碳导电胶带四卷、银导电胶两件、银导电胶稀释液1瓶。</w:t>
            </w:r>
            <w:r>
              <w:rPr>
                <w:rFonts w:hint="eastAsia"/>
                <w:color w:val="FF0000"/>
                <w:szCs w:val="21"/>
              </w:rPr>
              <w:t xml:space="preserve"> </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tcPr>
          <w:p>
            <w:pPr>
              <w:rPr>
                <w:b/>
                <w:bCs/>
                <w:szCs w:val="21"/>
              </w:rPr>
            </w:pPr>
            <w:r>
              <w:rPr>
                <w:rFonts w:hint="eastAsia"/>
                <w:b/>
                <w:bCs/>
              </w:rPr>
              <w:t>1.1</w:t>
            </w:r>
            <w:r>
              <w:rPr>
                <w:b/>
                <w:bCs/>
              </w:rPr>
              <w:t>2</w:t>
            </w:r>
            <w:r>
              <w:rPr>
                <w:rFonts w:hint="eastAsia"/>
                <w:b/>
                <w:bCs/>
              </w:rPr>
              <w:t>系统控制要求：</w:t>
            </w:r>
          </w:p>
        </w:tc>
        <w:tc>
          <w:tcPr>
            <w:tcW w:w="1104" w:type="pct"/>
          </w:tcPr>
          <w:p>
            <w:pPr>
              <w:rPr>
                <w:rFonts w:hint="eastAsia"/>
                <w:b/>
                <w:bCs/>
              </w:rPr>
            </w:pPr>
          </w:p>
        </w:tc>
        <w:tc>
          <w:tcPr>
            <w:tcW w:w="1104" w:type="pct"/>
          </w:tcPr>
          <w:p>
            <w:pPr>
              <w:rPr>
                <w:rFonts w:hint="eastAsia"/>
                <w:b/>
                <w:bCs/>
              </w:rPr>
            </w:pPr>
          </w:p>
        </w:tc>
        <w:tc>
          <w:tcPr>
            <w:tcW w:w="1104" w:type="pct"/>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tcPr>
          <w:p>
            <w:pPr>
              <w:rPr>
                <w:szCs w:val="21"/>
              </w:rPr>
            </w:pPr>
            <w:r>
              <w:rPr>
                <w:rFonts w:hint="eastAsia"/>
              </w:rPr>
              <w:t>1.1</w:t>
            </w:r>
            <w:r>
              <w:t>2</w:t>
            </w:r>
            <w:r>
              <w:rPr>
                <w:rFonts w:hint="eastAsia"/>
              </w:rPr>
              <w:t>.1基于Windows 10操作系统的64位图形用户界面，配备键盘，鼠标和控制面板；图像显示：两台24”以上 LCD显示器, SVGA 1280 x 1024以上；图像处理器：驻留时间范围25ns到25ms/pixel；自带16位图像发生器；</w:t>
            </w:r>
          </w:p>
        </w:tc>
        <w:tc>
          <w:tcPr>
            <w:tcW w:w="1104" w:type="pct"/>
          </w:tcPr>
          <w:p>
            <w:pPr>
              <w:rPr>
                <w:rFonts w:hint="eastAsia"/>
              </w:rPr>
            </w:pPr>
          </w:p>
        </w:tc>
        <w:tc>
          <w:tcPr>
            <w:tcW w:w="1104" w:type="pct"/>
          </w:tcPr>
          <w:p>
            <w:pPr>
              <w:rPr>
                <w:rFonts w:hint="eastAsia"/>
              </w:rPr>
            </w:pPr>
          </w:p>
        </w:tc>
        <w:tc>
          <w:tcPr>
            <w:tcW w:w="1104"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tcPr>
          <w:p>
            <w:pPr>
              <w:rPr>
                <w:szCs w:val="21"/>
              </w:rPr>
            </w:pPr>
            <w:r>
              <w:rPr>
                <w:rFonts w:hint="eastAsia"/>
              </w:rPr>
              <w:t>1.1</w:t>
            </w:r>
            <w:r>
              <w:t>2</w:t>
            </w:r>
            <w:r>
              <w:rPr>
                <w:rFonts w:hint="eastAsia"/>
              </w:rPr>
              <w:t>.</w:t>
            </w:r>
            <w:r>
              <w:rPr>
                <w:rFonts w:hint="eastAsia"/>
                <w:lang w:val="en-US" w:eastAsia="zh-CN"/>
              </w:rPr>
              <w:t>2</w:t>
            </w:r>
            <w:r>
              <w:rPr>
                <w:rFonts w:hint="eastAsia"/>
              </w:rPr>
              <w:t>具备程序制定、改造软件，能控制镜筒，探测器，样品台等的运作模式。</w:t>
            </w:r>
            <w:r>
              <w:rPr>
                <w:rFonts w:hint="eastAsia"/>
                <w:szCs w:val="21"/>
              </w:rPr>
              <w:t>可以软件控制</w:t>
            </w:r>
            <w:r>
              <w:rPr>
                <w:szCs w:val="21"/>
              </w:rPr>
              <w:t>SEM</w:t>
            </w:r>
            <w:r>
              <w:rPr>
                <w:rFonts w:hint="eastAsia"/>
                <w:szCs w:val="21"/>
              </w:rPr>
              <w:t>的自动聚焦、自动亮度对比度；离子束加工和电子束成像可以在不同的样品高度和角度。</w:t>
            </w:r>
          </w:p>
        </w:tc>
        <w:tc>
          <w:tcPr>
            <w:tcW w:w="1104" w:type="pct"/>
          </w:tcPr>
          <w:p>
            <w:pPr>
              <w:rPr>
                <w:rFonts w:hint="eastAsia"/>
              </w:rPr>
            </w:pPr>
          </w:p>
        </w:tc>
        <w:tc>
          <w:tcPr>
            <w:tcW w:w="1104" w:type="pct"/>
          </w:tcPr>
          <w:p>
            <w:pPr>
              <w:rPr>
                <w:rFonts w:hint="eastAsia"/>
              </w:rPr>
            </w:pPr>
          </w:p>
        </w:tc>
        <w:tc>
          <w:tcPr>
            <w:tcW w:w="1104"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tcPr>
          <w:p>
            <w:pPr>
              <w:rPr>
                <w:b/>
                <w:bCs/>
                <w:szCs w:val="21"/>
              </w:rPr>
            </w:pPr>
            <w:r>
              <w:rPr>
                <w:rFonts w:hint="eastAsia"/>
                <w:b/>
                <w:bCs/>
              </w:rPr>
              <w:t>1.1</w:t>
            </w:r>
            <w:r>
              <w:rPr>
                <w:b/>
                <w:bCs/>
              </w:rPr>
              <w:t xml:space="preserve">3 </w:t>
            </w:r>
            <w:r>
              <w:rPr>
                <w:rFonts w:hint="eastAsia"/>
                <w:b/>
                <w:bCs/>
              </w:rPr>
              <w:t>软件功能要求</w:t>
            </w:r>
          </w:p>
        </w:tc>
        <w:tc>
          <w:tcPr>
            <w:tcW w:w="1104" w:type="pct"/>
          </w:tcPr>
          <w:p>
            <w:pPr>
              <w:rPr>
                <w:rFonts w:hint="eastAsia"/>
                <w:b/>
                <w:bCs/>
              </w:rPr>
            </w:pPr>
          </w:p>
        </w:tc>
        <w:tc>
          <w:tcPr>
            <w:tcW w:w="1104" w:type="pct"/>
          </w:tcPr>
          <w:p>
            <w:pPr>
              <w:rPr>
                <w:rFonts w:hint="eastAsia"/>
                <w:b/>
                <w:bCs/>
              </w:rPr>
            </w:pPr>
          </w:p>
        </w:tc>
        <w:tc>
          <w:tcPr>
            <w:tcW w:w="1104" w:type="pct"/>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tcPr>
          <w:p>
            <w:pPr>
              <w:rPr>
                <w:szCs w:val="21"/>
              </w:rPr>
            </w:pPr>
            <w:r>
              <w:rPr>
                <w:rFonts w:hint="eastAsia"/>
              </w:rPr>
              <w:t>1.1</w:t>
            </w:r>
            <w:r>
              <w:t>3</w:t>
            </w:r>
            <w:r>
              <w:rPr>
                <w:rFonts w:hint="eastAsia"/>
              </w:rPr>
              <w:t>.</w:t>
            </w:r>
            <w:r>
              <w:t xml:space="preserve">1 </w:t>
            </w:r>
            <w:r>
              <w:rPr>
                <w:rFonts w:hint="eastAsia"/>
              </w:rPr>
              <w:t>具有智能扫描功能；具有漂移补偿帧积分D</w:t>
            </w:r>
            <w:r>
              <w:t>CFI</w:t>
            </w:r>
            <w:r>
              <w:rPr>
                <w:rFonts w:hint="eastAsia"/>
              </w:rPr>
              <w:t>功能；具有蒙太奇导航功能；</w:t>
            </w:r>
          </w:p>
        </w:tc>
        <w:tc>
          <w:tcPr>
            <w:tcW w:w="1104" w:type="pct"/>
          </w:tcPr>
          <w:p>
            <w:pPr>
              <w:rPr>
                <w:rFonts w:hint="eastAsia"/>
              </w:rPr>
            </w:pPr>
          </w:p>
        </w:tc>
        <w:tc>
          <w:tcPr>
            <w:tcW w:w="1104" w:type="pct"/>
          </w:tcPr>
          <w:p>
            <w:pPr>
              <w:rPr>
                <w:rFonts w:hint="eastAsia"/>
              </w:rPr>
            </w:pPr>
          </w:p>
        </w:tc>
        <w:tc>
          <w:tcPr>
            <w:tcW w:w="1104"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▲1.1</w:t>
            </w:r>
            <w:r>
              <w:rPr>
                <w:szCs w:val="21"/>
              </w:rPr>
              <w:t>3.</w:t>
            </w:r>
            <w:r>
              <w:rPr>
                <w:rFonts w:hint="eastAsia"/>
                <w:szCs w:val="21"/>
                <w:lang w:val="en-US" w:eastAsia="zh-CN"/>
              </w:rPr>
              <w:t>2</w:t>
            </w:r>
            <w:r>
              <w:rPr>
                <w:szCs w:val="21"/>
              </w:rPr>
              <w:t xml:space="preserve"> </w:t>
            </w:r>
            <w:r>
              <w:rPr>
                <w:rFonts w:hint="eastAsia"/>
                <w:szCs w:val="21"/>
              </w:rPr>
              <w:t>具有大视野图像自动采集和拼接软件，可以实现不小于6</w:t>
            </w:r>
            <w:r>
              <w:rPr>
                <w:szCs w:val="21"/>
              </w:rPr>
              <w:t>4K*64K</w:t>
            </w:r>
            <w:r>
              <w:rPr>
                <w:rFonts w:hint="eastAsia"/>
                <w:szCs w:val="21"/>
              </w:rPr>
              <w:t>的图形采集拼接；具有全自动T</w:t>
            </w:r>
            <w:r>
              <w:rPr>
                <w:szCs w:val="21"/>
              </w:rPr>
              <w:t>EM</w:t>
            </w:r>
            <w:r>
              <w:rPr>
                <w:rFonts w:hint="eastAsia"/>
                <w:szCs w:val="21"/>
              </w:rPr>
              <w:t>样品制备软件，可以自动完成定位、切割、粘接、提取、减薄等全流程，无需人工操作干预；具有自动三维切片图像采集和观测软件，可以自动完成三维切片的图像采集和重构拟合；</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1.1</w:t>
            </w:r>
            <w:r>
              <w:rPr>
                <w:szCs w:val="21"/>
              </w:rPr>
              <w:t>3.</w:t>
            </w:r>
            <w:r>
              <w:rPr>
                <w:rFonts w:hint="eastAsia"/>
                <w:szCs w:val="21"/>
                <w:lang w:val="en-US" w:eastAsia="zh-CN"/>
              </w:rPr>
              <w:t>3</w:t>
            </w:r>
            <w:r>
              <w:rPr>
                <w:rFonts w:hint="eastAsia"/>
                <w:szCs w:val="21"/>
              </w:rPr>
              <w:t>具有纳米图形加工辅助软件，可以自动完成复杂微纳米图形的加工制备；</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1.1</w:t>
            </w:r>
            <w:r>
              <w:rPr>
                <w:szCs w:val="21"/>
              </w:rPr>
              <w:t>3.</w:t>
            </w:r>
            <w:r>
              <w:rPr>
                <w:rFonts w:hint="eastAsia"/>
                <w:szCs w:val="21"/>
                <w:lang w:val="en-US" w:eastAsia="zh-CN"/>
              </w:rPr>
              <w:t>4</w:t>
            </w:r>
            <w:r>
              <w:rPr>
                <w:rFonts w:hint="eastAsia"/>
                <w:szCs w:val="21"/>
              </w:rPr>
              <w:t>具有专业三维数据分析处理软件，可以对不同相分布和孔隙进行自动分割、统计和计算等；</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restart"/>
            <w:vAlign w:val="center"/>
          </w:tcPr>
          <w:p>
            <w:pPr>
              <w:jc w:val="center"/>
              <w:rPr>
                <w:b/>
                <w:szCs w:val="21"/>
              </w:rPr>
            </w:pPr>
            <w:r>
              <w:rPr>
                <w:rFonts w:hint="eastAsia"/>
                <w:b/>
                <w:szCs w:val="21"/>
              </w:rPr>
              <w:t>2</w:t>
            </w:r>
          </w:p>
        </w:tc>
        <w:tc>
          <w:tcPr>
            <w:tcW w:w="388" w:type="pct"/>
            <w:vMerge w:val="restart"/>
            <w:vAlign w:val="center"/>
          </w:tcPr>
          <w:p>
            <w:pPr>
              <w:jc w:val="center"/>
              <w:rPr>
                <w:b/>
                <w:szCs w:val="21"/>
              </w:rPr>
            </w:pPr>
            <w:r>
              <w:rPr>
                <w:rFonts w:hint="eastAsia"/>
                <w:b/>
                <w:szCs w:val="21"/>
              </w:rPr>
              <w:t>能谱仪</w:t>
            </w:r>
          </w:p>
        </w:tc>
        <w:tc>
          <w:tcPr>
            <w:tcW w:w="1104" w:type="pct"/>
            <w:vAlign w:val="center"/>
          </w:tcPr>
          <w:p>
            <w:pPr>
              <w:rPr>
                <w:szCs w:val="21"/>
              </w:rPr>
            </w:pPr>
            <w:r>
              <w:rPr>
                <w:rFonts w:hint="eastAsia"/>
                <w:b/>
                <w:szCs w:val="21"/>
              </w:rPr>
              <w:t>★</w:t>
            </w:r>
            <w:r>
              <w:rPr>
                <w:rFonts w:hint="eastAsia"/>
                <w:szCs w:val="21"/>
              </w:rPr>
              <w:t>2.1</w:t>
            </w:r>
            <w:r>
              <w:rPr>
                <w:szCs w:val="21"/>
              </w:rPr>
              <w:t>探测器：硅漂移（SDD）电制冷探测器，采用场效应管（FET）一体化集成设计的高速SDD芯片，</w:t>
            </w:r>
            <w:r>
              <w:rPr>
                <w:rFonts w:hint="eastAsia"/>
                <w:szCs w:val="21"/>
              </w:rPr>
              <w:t>不小于</w:t>
            </w:r>
            <w:r>
              <w:rPr>
                <w:szCs w:val="21"/>
              </w:rPr>
              <w:t>60mm</w:t>
            </w:r>
            <w:r>
              <w:rPr>
                <w:szCs w:val="21"/>
                <w:vertAlign w:val="superscript"/>
              </w:rPr>
              <w:t>2</w:t>
            </w:r>
            <w:r>
              <w:rPr>
                <w:szCs w:val="21"/>
              </w:rPr>
              <w:t>有效面积，超薄窗设计，独立真空；</w:t>
            </w:r>
          </w:p>
        </w:tc>
        <w:tc>
          <w:tcPr>
            <w:tcW w:w="1104" w:type="pct"/>
            <w:vAlign w:val="center"/>
          </w:tcPr>
          <w:p>
            <w:pPr>
              <w:rPr>
                <w:rFonts w:hint="eastAsia"/>
                <w:b/>
                <w:szCs w:val="21"/>
              </w:rPr>
            </w:pPr>
          </w:p>
        </w:tc>
        <w:tc>
          <w:tcPr>
            <w:tcW w:w="1104" w:type="pct"/>
            <w:vAlign w:val="center"/>
          </w:tcPr>
          <w:p>
            <w:pPr>
              <w:rPr>
                <w:rFonts w:hint="eastAsia"/>
                <w:b/>
                <w:szCs w:val="21"/>
              </w:rPr>
            </w:pPr>
          </w:p>
        </w:tc>
        <w:tc>
          <w:tcPr>
            <w:tcW w:w="1104" w:type="pct"/>
            <w:vAlign w:val="center"/>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2.2</w:t>
            </w:r>
            <w:r>
              <w:rPr>
                <w:szCs w:val="21"/>
              </w:rPr>
              <w:t>能量分辨率：在100,000CPS条件下MnKa优于129eV，轻元素分辨率：C-K/57eV, F-K/67eV；采用纤细化等技术，探测器探指直径不大于22</w:t>
            </w:r>
            <w:r>
              <w:rPr>
                <w:rFonts w:hint="eastAsia"/>
                <w:szCs w:val="21"/>
              </w:rPr>
              <w:t>mm；</w:t>
            </w:r>
            <w:r>
              <w:rPr>
                <w:szCs w:val="21"/>
              </w:rPr>
              <w:t>元素分析范围: Be4～</w:t>
            </w:r>
            <w:r>
              <w:rPr>
                <w:rFonts w:hint="eastAsia"/>
                <w:szCs w:val="21"/>
              </w:rPr>
              <w:t>Cf98；</w:t>
            </w:r>
            <w:r>
              <w:rPr>
                <w:szCs w:val="21"/>
              </w:rPr>
              <w:t>能谱仪处理单元与计算机采用分立式设计，单探测器输出最大计数率优于600,000CPS，可处理最大计数率优于1,500,000CPS</w:t>
            </w:r>
            <w:r>
              <w:rPr>
                <w:rFonts w:hint="eastAsia"/>
                <w:szCs w:val="21"/>
              </w:rPr>
              <w:t>；</w:t>
            </w:r>
            <w:r>
              <w:rPr>
                <w:szCs w:val="21"/>
              </w:rPr>
              <w:t>谱定性分析：可自动标识谱峰，可设定自动标定的元素范围，可进行谱重构，对重叠峰进行可视化谱峰剥离，并对重叠峰区域各种可能的元素进行搜索与再确认</w:t>
            </w:r>
            <w:r>
              <w:rPr>
                <w:rFonts w:hint="eastAsia"/>
                <w:szCs w:val="21"/>
              </w:rPr>
              <w:t>；</w:t>
            </w:r>
            <w:r>
              <w:rPr>
                <w:szCs w:val="21"/>
              </w:rPr>
              <w:t>配备完善而精准的原子数据库，包含所有的分析线系(K, L, M 和 N线系)</w:t>
            </w:r>
            <w:r>
              <w:rPr>
                <w:rFonts w:hint="eastAsia"/>
                <w:szCs w:val="21"/>
              </w:rPr>
              <w:t>；</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2.</w:t>
            </w:r>
            <w:r>
              <w:rPr>
                <w:rFonts w:hint="eastAsia"/>
                <w:szCs w:val="21"/>
                <w:lang w:val="en-US" w:eastAsia="zh-CN"/>
              </w:rPr>
              <w:t>3</w:t>
            </w:r>
            <w:r>
              <w:rPr>
                <w:szCs w:val="21"/>
              </w:rPr>
              <w:t>定性与定量分析：可自动和手动进行谱峰识别，并具有检验重叠峰识别准确性的可见峰剥离技术，可图形化显示剥离结果；自动或者手动倾斜样品修正，不导电样品修正，加速电压最优化；提供国际通用的所有定量方法——PhiZAF以及改进后包含XPP特例的PhiRZ，以适应不同的计算需求，可同时显示归一化和非归一化结果；交互式控制整个定量分析过程</w:t>
            </w:r>
            <w:r>
              <w:rPr>
                <w:rFonts w:hint="eastAsia"/>
                <w:szCs w:val="21"/>
              </w:rPr>
              <w:t>。</w:t>
            </w:r>
            <w:r>
              <w:rPr>
                <w:szCs w:val="21"/>
              </w:rPr>
              <w:t>可将电镜图像传输到能谱仪的显示器上，并以该图为中心做微区分析，实现点、区域定性定量分析，以及线扫描和面分布功能</w:t>
            </w:r>
            <w:r>
              <w:rPr>
                <w:rFonts w:hint="eastAsia"/>
                <w:szCs w:val="21"/>
              </w:rPr>
              <w:t>。</w:t>
            </w:r>
            <w:r>
              <w:rPr>
                <w:szCs w:val="21"/>
              </w:rPr>
              <w:t xml:space="preserve"> </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Align w:val="center"/>
          </w:tcPr>
          <w:p>
            <w:pPr>
              <w:jc w:val="center"/>
              <w:rPr>
                <w:b/>
                <w:szCs w:val="21"/>
              </w:rPr>
            </w:pPr>
            <w:r>
              <w:rPr>
                <w:rFonts w:hint="eastAsia"/>
                <w:b/>
                <w:szCs w:val="21"/>
              </w:rPr>
              <w:t>3</w:t>
            </w:r>
          </w:p>
        </w:tc>
        <w:tc>
          <w:tcPr>
            <w:tcW w:w="388" w:type="pct"/>
            <w:vAlign w:val="center"/>
          </w:tcPr>
          <w:p>
            <w:pPr>
              <w:jc w:val="center"/>
              <w:rPr>
                <w:b/>
                <w:szCs w:val="21"/>
              </w:rPr>
            </w:pPr>
            <w:r>
              <w:rPr>
                <w:rFonts w:hint="eastAsia"/>
                <w:b/>
                <w:szCs w:val="21"/>
              </w:rPr>
              <w:t>离子溅射仪</w:t>
            </w:r>
          </w:p>
        </w:tc>
        <w:tc>
          <w:tcPr>
            <w:tcW w:w="1104" w:type="pct"/>
            <w:vAlign w:val="center"/>
          </w:tcPr>
          <w:p>
            <w:pPr>
              <w:rPr>
                <w:szCs w:val="21"/>
              </w:rPr>
            </w:pPr>
            <w:r>
              <w:rPr>
                <w:rFonts w:hint="eastAsia" w:hAnsi="宋体"/>
                <w:szCs w:val="21"/>
              </w:rPr>
              <w:t>3.1配备离子溅射仪；配置Pt靶，可对样品表面进行镀膜处理。</w:t>
            </w:r>
          </w:p>
        </w:tc>
        <w:tc>
          <w:tcPr>
            <w:tcW w:w="1104" w:type="pct"/>
            <w:vAlign w:val="center"/>
          </w:tcPr>
          <w:p>
            <w:pPr>
              <w:rPr>
                <w:rFonts w:hint="eastAsia" w:hAnsi="宋体"/>
                <w:szCs w:val="21"/>
              </w:rPr>
            </w:pPr>
          </w:p>
        </w:tc>
        <w:tc>
          <w:tcPr>
            <w:tcW w:w="1104" w:type="pct"/>
            <w:vAlign w:val="center"/>
          </w:tcPr>
          <w:p>
            <w:pPr>
              <w:rPr>
                <w:rFonts w:hint="eastAsia" w:hAnsi="宋体"/>
                <w:szCs w:val="21"/>
              </w:rPr>
            </w:pPr>
          </w:p>
        </w:tc>
        <w:tc>
          <w:tcPr>
            <w:tcW w:w="1104" w:type="pct"/>
            <w:vAlign w:val="center"/>
          </w:tcPr>
          <w:p>
            <w:pPr>
              <w:rPr>
                <w:rFonts w:hint="eastAsia"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restart"/>
            <w:vAlign w:val="center"/>
          </w:tcPr>
          <w:p>
            <w:pPr>
              <w:jc w:val="center"/>
              <w:rPr>
                <w:b/>
                <w:szCs w:val="21"/>
              </w:rPr>
            </w:pPr>
            <w:r>
              <w:rPr>
                <w:rFonts w:hint="eastAsia"/>
                <w:b/>
                <w:szCs w:val="21"/>
              </w:rPr>
              <w:t>4</w:t>
            </w:r>
          </w:p>
        </w:tc>
        <w:tc>
          <w:tcPr>
            <w:tcW w:w="388" w:type="pct"/>
            <w:vMerge w:val="restart"/>
            <w:vAlign w:val="center"/>
          </w:tcPr>
          <w:p>
            <w:pPr>
              <w:jc w:val="center"/>
              <w:rPr>
                <w:b/>
                <w:szCs w:val="21"/>
              </w:rPr>
            </w:pPr>
            <w:r>
              <w:rPr>
                <w:rFonts w:hint="eastAsia"/>
                <w:b/>
                <w:szCs w:val="21"/>
              </w:rPr>
              <w:t>主动消磁器</w:t>
            </w:r>
          </w:p>
        </w:tc>
        <w:tc>
          <w:tcPr>
            <w:tcW w:w="1104" w:type="pct"/>
            <w:vAlign w:val="center"/>
          </w:tcPr>
          <w:p>
            <w:pPr>
              <w:rPr>
                <w:szCs w:val="21"/>
              </w:rPr>
            </w:pPr>
            <w:r>
              <w:rPr>
                <w:rFonts w:hint="eastAsia"/>
                <w:szCs w:val="21"/>
              </w:rPr>
              <w:t>4.1配备主动消磁器，纯模拟电路设计回稳速度；每个方向等距线圈数量：大于等于2组。需要在每个方向采用Merritt线圈来布置，即在每个方向的2个以上等距位置来布置线圈，提供消磁的均匀度；</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szCs w:val="21"/>
              </w:rPr>
              <w:t>4.</w:t>
            </w:r>
            <w:r>
              <w:rPr>
                <w:rFonts w:hint="eastAsia"/>
                <w:szCs w:val="21"/>
                <w:lang w:val="en-US" w:eastAsia="zh-CN"/>
              </w:rPr>
              <w:t>2</w:t>
            </w:r>
            <w:r>
              <w:rPr>
                <w:rFonts w:hint="eastAsia"/>
                <w:szCs w:val="21"/>
              </w:rPr>
              <w:t>消磁的响应时间不大于50毫秒；具有实时监控和声音报警功能；可以显示线圈电流功能；具备磁场环境模拟输出功能，3个方向有BNC接口；零点温漂小于0.1nT/K；动态补偿幅度范围：不小于60mGpp；内置源阻值：小于等于2欧姆；50Hz消磁能力：通常40dB；消磁带宽：0到1KHz；</w:t>
            </w:r>
          </w:p>
        </w:tc>
        <w:tc>
          <w:tcPr>
            <w:tcW w:w="1104" w:type="pct"/>
            <w:vAlign w:val="center"/>
          </w:tcPr>
          <w:p>
            <w:pPr>
              <w:rPr>
                <w:rFonts w:hint="eastAsia"/>
                <w:szCs w:val="21"/>
              </w:rPr>
            </w:pPr>
          </w:p>
        </w:tc>
        <w:tc>
          <w:tcPr>
            <w:tcW w:w="1104" w:type="pct"/>
            <w:vAlign w:val="center"/>
          </w:tcPr>
          <w:p>
            <w:pPr>
              <w:rPr>
                <w:rFonts w:hint="eastAsia"/>
                <w:szCs w:val="21"/>
              </w:rPr>
            </w:pPr>
          </w:p>
        </w:tc>
        <w:tc>
          <w:tcPr>
            <w:tcW w:w="1104" w:type="pct"/>
            <w:vAlign w:val="center"/>
          </w:tcPr>
          <w:p>
            <w:pPr>
              <w:rPr>
                <w:rFonts w:hint="eastAsia"/>
                <w:szCs w:val="21"/>
              </w:rPr>
            </w:pPr>
          </w:p>
        </w:tc>
      </w:tr>
    </w:tbl>
    <w:p>
      <w:pPr>
        <w:rPr>
          <w:b/>
          <w:szCs w:val="21"/>
        </w:rPr>
      </w:pPr>
    </w:p>
    <w:p>
      <w:pPr>
        <w:rPr>
          <w:rFonts w:hint="eastAsia"/>
          <w:sz w:val="24"/>
        </w:rPr>
      </w:pPr>
    </w:p>
    <w:p>
      <w:pPr>
        <w:rPr>
          <w:sz w:val="24"/>
        </w:rPr>
      </w:pPr>
      <w:r>
        <w:rPr>
          <w:rFonts w:hint="eastAsia"/>
          <w:sz w:val="24"/>
        </w:rPr>
        <w:t>备注：</w:t>
      </w:r>
    </w:p>
    <w:p>
      <w:pPr>
        <w:rPr>
          <w:color w:val="FF0000"/>
          <w:sz w:val="24"/>
        </w:rPr>
      </w:pPr>
      <w:r>
        <w:rPr>
          <w:rFonts w:hint="eastAsia"/>
          <w:color w:val="FF0000"/>
          <w:sz w:val="24"/>
        </w:rPr>
        <w:t>1、“招标技术要求”一栏应</w:t>
      </w:r>
      <w:r>
        <w:rPr>
          <w:rFonts w:hint="eastAsia"/>
          <w:b/>
          <w:color w:val="FF0000"/>
          <w:sz w:val="24"/>
        </w:rPr>
        <w:t>填写招标文件第二章</w:t>
      </w:r>
      <w:r>
        <w:rPr>
          <w:rFonts w:hint="eastAsia"/>
          <w:color w:val="FF0000"/>
          <w:sz w:val="24"/>
        </w:rPr>
        <w:t>“三、具体技术要求”的内容；</w:t>
      </w:r>
    </w:p>
    <w:p>
      <w:pPr>
        <w:rPr>
          <w:color w:val="FF0000"/>
          <w:sz w:val="24"/>
        </w:rPr>
      </w:pPr>
      <w:r>
        <w:rPr>
          <w:rFonts w:hint="eastAsia"/>
          <w:color w:val="FF0000"/>
          <w:sz w:val="24"/>
        </w:rPr>
        <w:t>2、“投标技术响应”一栏必须详细填写投标产品的具体参数，并应对照招标技术要求一一对应响应；</w:t>
      </w:r>
    </w:p>
    <w:p>
      <w:pPr>
        <w:rPr>
          <w:color w:val="FF0000"/>
          <w:sz w:val="24"/>
        </w:rPr>
      </w:pPr>
      <w:r>
        <w:rPr>
          <w:rFonts w:hint="eastAsia"/>
          <w:color w:val="FF0000"/>
          <w:sz w:val="24"/>
        </w:rPr>
        <w:t>3、“偏离情况”一栏应如实填写“正偏离”、“负偏离”或“无偏离”。</w:t>
      </w:r>
    </w:p>
    <w:p>
      <w:pPr>
        <w:rPr>
          <w:sz w:val="24"/>
        </w:rPr>
      </w:pPr>
      <w:r>
        <w:rPr>
          <w:rFonts w:hint="eastAsia"/>
          <w:sz w:val="24"/>
        </w:rPr>
        <w:t>4、投标产品的技术参数应尽可能提供相应的证明资料，以证明投标人响应的真实性。证明资料包括制造商公布的产品说明书、产品彩页和我国政府机构出具的产品检验和核准证件等。证明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pPr>
        <w:rPr>
          <w:sz w:val="24"/>
        </w:rPr>
      </w:pPr>
      <w:r>
        <w:rPr>
          <w:rFonts w:hint="eastAsia"/>
          <w:sz w:val="24"/>
        </w:rPr>
        <w:t>5、证明资料的提供要求：</w:t>
      </w:r>
    </w:p>
    <w:p>
      <w:pPr>
        <w:rPr>
          <w:sz w:val="24"/>
        </w:rPr>
      </w:pPr>
      <w:r>
        <w:rPr>
          <w:rFonts w:hint="eastAsia"/>
          <w:sz w:val="24"/>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pPr>
        <w:rPr>
          <w:sz w:val="24"/>
        </w:rPr>
      </w:pPr>
      <w:r>
        <w:rPr>
          <w:rFonts w:hint="eastAsia"/>
          <w:sz w:val="24"/>
        </w:rPr>
        <w:t>（2）我国政府机构出具的产品检验和核准证件应为证件正面、背面和附件标注的全部具体内容；产品检验和核准证件的尺寸和清晰度应该能够被阅读、识别和判断。</w:t>
      </w:r>
    </w:p>
    <w:p>
      <w:pPr>
        <w:rPr>
          <w:sz w:val="24"/>
        </w:rPr>
      </w:pPr>
      <w:r>
        <w:rPr>
          <w:rFonts w:hint="eastAsia"/>
          <w:sz w:val="24"/>
        </w:rPr>
        <w:t>未达到以上提供要求的，评标委员会有权认定为不合格响应，其相关分数予以扣减或作投标无效处理。</w:t>
      </w:r>
    </w:p>
    <w:p>
      <w:pPr>
        <w:rPr>
          <w:sz w:val="24"/>
        </w:rPr>
      </w:pPr>
      <w:r>
        <w:rPr>
          <w:rFonts w:hint="eastAsia"/>
          <w:sz w:val="24"/>
        </w:rPr>
        <w:t>6、评标委员会有权对以谋取中标为目的的技术规格模糊响应（如有意照搬照抄招标文件的技术要求）或虚假响应予以认定，并视情况经深圳大学招投标管理中心报深圳大学采购招标领导部门予以处罚。</w:t>
      </w:r>
    </w:p>
    <w:p>
      <w:pPr>
        <w:rPr>
          <w:sz w:val="24"/>
        </w:rPr>
      </w:pPr>
      <w:r>
        <w:rPr>
          <w:sz w:val="24"/>
        </w:rPr>
        <w:br w:type="page"/>
      </w:r>
    </w:p>
    <w:p>
      <w:pPr>
        <w:pStyle w:val="3"/>
        <w:jc w:val="center"/>
        <w:rPr>
          <w:b w:val="0"/>
        </w:rPr>
      </w:pPr>
      <w:r>
        <w:rPr>
          <w:rFonts w:hint="eastAsia" w:ascii="黑体" w:eastAsia="黑体"/>
          <w:b w:val="0"/>
          <w:bCs w:val="0"/>
          <w:kern w:val="0"/>
          <w:sz w:val="24"/>
          <w:szCs w:val="20"/>
        </w:rPr>
        <w:t>十一、商务需求偏离表</w:t>
      </w:r>
    </w:p>
    <w:p>
      <w:pPr>
        <w:rPr>
          <w:b/>
          <w:sz w:val="24"/>
        </w:rPr>
      </w:pPr>
    </w:p>
    <w:p>
      <w:pPr>
        <w:rPr>
          <w:sz w:val="24"/>
          <w:u w:val="single"/>
        </w:rPr>
      </w:pPr>
      <w:r>
        <w:rPr>
          <w:rFonts w:hint="eastAsia"/>
          <w:sz w:val="24"/>
        </w:rPr>
        <w:t>投标人名称项目编号/包号</w:t>
      </w:r>
    </w:p>
    <w:tbl>
      <w:tblPr>
        <w:tblStyle w:val="5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35"/>
        <w:gridCol w:w="1894"/>
        <w:gridCol w:w="1888"/>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317"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1113"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c>
          <w:tcPr>
            <w:tcW w:w="1888"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投标商务条款</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偏离情况</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6" w:type="pct"/>
            <w:gridSpan w:val="3"/>
          </w:tcPr>
          <w:p>
            <w:pPr>
              <w:rPr>
                <w:b/>
              </w:rPr>
            </w:pPr>
            <w:r>
              <w:rPr>
                <w:rFonts w:hint="eastAsia"/>
                <w:b/>
              </w:rPr>
              <w:t>（一）免费保修期内售后服务要求</w:t>
            </w:r>
          </w:p>
        </w:tc>
        <w:tc>
          <w:tcPr>
            <w:tcW w:w="1110" w:type="pct"/>
          </w:tcPr>
          <w:p>
            <w:pPr>
              <w:rPr>
                <w:rFonts w:hint="eastAsia"/>
                <w:b/>
              </w:rPr>
            </w:pPr>
          </w:p>
        </w:tc>
        <w:tc>
          <w:tcPr>
            <w:tcW w:w="1111" w:type="pct"/>
          </w:tcPr>
          <w:p>
            <w:pPr>
              <w:rPr>
                <w:rFonts w:hint="eastAsia"/>
                <w:b/>
              </w:rPr>
            </w:pPr>
          </w:p>
        </w:tc>
        <w:tc>
          <w:tcPr>
            <w:tcW w:w="1111"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35" w:type="pct"/>
            <w:vMerge w:val="restart"/>
            <w:vAlign w:val="center"/>
          </w:tcPr>
          <w:p>
            <w:pPr>
              <w:jc w:val="center"/>
              <w:rPr>
                <w:b/>
              </w:rPr>
            </w:pPr>
            <w:r>
              <w:rPr>
                <w:rFonts w:hint="eastAsia"/>
                <w:b/>
              </w:rPr>
              <w:t>1</w:t>
            </w:r>
          </w:p>
        </w:tc>
        <w:tc>
          <w:tcPr>
            <w:tcW w:w="317" w:type="pct"/>
            <w:vMerge w:val="restart"/>
            <w:vAlign w:val="center"/>
          </w:tcPr>
          <w:p>
            <w:r>
              <w:rPr>
                <w:rFonts w:hint="eastAsia"/>
              </w:rPr>
              <w:t>免费保修期</w:t>
            </w:r>
          </w:p>
        </w:tc>
        <w:tc>
          <w:tcPr>
            <w:tcW w:w="1113" w:type="pct"/>
          </w:tcPr>
          <w:p>
            <w:pPr>
              <w:spacing w:line="360" w:lineRule="auto"/>
              <w:rPr>
                <w:b/>
              </w:rPr>
            </w:pPr>
            <w:r>
              <w:rPr>
                <w:rFonts w:ascii="Segoe UI Symbol" w:hAnsi="Segoe UI Symbol" w:cs="Segoe UI Symbol"/>
                <w:b/>
                <w:szCs w:val="21"/>
              </w:rPr>
              <w:t>★</w:t>
            </w:r>
            <w:r>
              <w:rPr>
                <w:rFonts w:hint="eastAsia"/>
                <w:bCs/>
                <w:szCs w:val="21"/>
              </w:rPr>
              <w:t>1.1货物免费保修期</w:t>
            </w:r>
            <w:r>
              <w:rPr>
                <w:bCs/>
                <w:color w:val="FF0000"/>
                <w:szCs w:val="21"/>
                <w:u w:val="single"/>
              </w:rPr>
              <w:t>3</w:t>
            </w:r>
            <w:r>
              <w:rPr>
                <w:rFonts w:hint="eastAsia"/>
                <w:bCs/>
                <w:szCs w:val="21"/>
              </w:rPr>
              <w:t>年，其他第三方附件免费保修期为</w:t>
            </w:r>
            <w:r>
              <w:rPr>
                <w:bCs/>
                <w:szCs w:val="21"/>
                <w:u w:val="single"/>
              </w:rPr>
              <w:t xml:space="preserve"> 1 </w:t>
            </w:r>
            <w:r>
              <w:rPr>
                <w:rFonts w:hint="eastAsia"/>
                <w:bCs/>
                <w:szCs w:val="21"/>
              </w:rPr>
              <w:t>年，时间自最终验收合格并交付使用之日起计算。在保修期内，所有维修人工和换件均为免费。在维修过程中，若因特殊原因严重延误维修时间，可相应延长保修期。同时，提供保证设备在保修期中正常运行和常规保养所需的备品备件和专用工具。</w:t>
            </w:r>
          </w:p>
        </w:tc>
        <w:tc>
          <w:tcPr>
            <w:tcW w:w="1110" w:type="pct"/>
          </w:tcPr>
          <w:p>
            <w:pPr>
              <w:spacing w:line="360" w:lineRule="auto"/>
              <w:rPr>
                <w:rFonts w:ascii="Segoe UI Symbol" w:hAnsi="Segoe UI Symbol" w:cs="Segoe UI Symbol"/>
                <w:b/>
                <w:szCs w:val="21"/>
              </w:rPr>
            </w:pPr>
          </w:p>
        </w:tc>
        <w:tc>
          <w:tcPr>
            <w:tcW w:w="1111" w:type="pct"/>
          </w:tcPr>
          <w:p>
            <w:pPr>
              <w:spacing w:line="360" w:lineRule="auto"/>
              <w:rPr>
                <w:rFonts w:ascii="Segoe UI Symbol" w:hAnsi="Segoe UI Symbol" w:cs="Segoe UI Symbol"/>
                <w:b/>
                <w:szCs w:val="21"/>
              </w:rPr>
            </w:pPr>
          </w:p>
        </w:tc>
        <w:tc>
          <w:tcPr>
            <w:tcW w:w="1111" w:type="pct"/>
          </w:tcPr>
          <w:p>
            <w:pPr>
              <w:spacing w:line="360" w:lineRule="auto"/>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235" w:type="pct"/>
            <w:vMerge w:val="continue"/>
            <w:vAlign w:val="center"/>
          </w:tcPr>
          <w:p>
            <w:pPr>
              <w:jc w:val="center"/>
              <w:rPr>
                <w:b/>
              </w:rPr>
            </w:pPr>
          </w:p>
        </w:tc>
        <w:tc>
          <w:tcPr>
            <w:tcW w:w="317" w:type="pct"/>
            <w:vMerge w:val="continue"/>
            <w:vAlign w:val="center"/>
          </w:tcPr>
          <w:p/>
        </w:tc>
        <w:tc>
          <w:tcPr>
            <w:tcW w:w="1113" w:type="pct"/>
          </w:tcPr>
          <w:p>
            <w:pPr>
              <w:spacing w:line="360" w:lineRule="auto"/>
              <w:rPr>
                <w:b/>
              </w:rPr>
            </w:pPr>
            <w:r>
              <w:rPr>
                <w:rFonts w:ascii="Segoe UI Symbol" w:hAnsi="Segoe UI Symbol" w:cs="Segoe UI Symbol"/>
                <w:szCs w:val="21"/>
              </w:rPr>
              <w:t>★</w:t>
            </w:r>
            <w:r>
              <w:rPr>
                <w:rFonts w:hint="eastAsia" w:ascii="Segoe UI Symbol" w:hAnsi="Segoe UI Symbol" w:cs="Segoe UI Symbol"/>
                <w:bCs/>
                <w:szCs w:val="21"/>
              </w:rPr>
              <w:t>1.2 免费保修期满后</w:t>
            </w:r>
            <w:r>
              <w:rPr>
                <w:rFonts w:hint="eastAsia" w:ascii="Segoe UI Symbol" w:hAnsi="Segoe UI Symbol" w:cs="Segoe UI Symbol"/>
                <w:szCs w:val="21"/>
              </w:rPr>
              <w:t>，</w:t>
            </w:r>
            <w:r>
              <w:rPr>
                <w:rFonts w:hint="eastAsia" w:ascii="Segoe UI Symbol" w:hAnsi="Segoe UI Symbol" w:cs="Segoe UI Symbol"/>
                <w:bCs/>
                <w:szCs w:val="21"/>
              </w:rPr>
              <w:t>提供终身维修服务，能长期提供良好的技术支持及零部件的优惠供应。其中，免费保修期满后的2年内，设备一旦发生故障，投标方需及时安排工程师上门维修，其中人工和差旅费由中标方承担；如有硬件损坏需要更换，投标方须按市场最低价出售。</w:t>
            </w:r>
          </w:p>
        </w:tc>
        <w:tc>
          <w:tcPr>
            <w:tcW w:w="1110" w:type="pct"/>
          </w:tcPr>
          <w:p>
            <w:pPr>
              <w:spacing w:line="360" w:lineRule="auto"/>
              <w:rPr>
                <w:rFonts w:ascii="Segoe UI Symbol" w:hAnsi="Segoe UI Symbol" w:cs="Segoe UI Symbol"/>
                <w:szCs w:val="21"/>
              </w:rPr>
            </w:pPr>
          </w:p>
        </w:tc>
        <w:tc>
          <w:tcPr>
            <w:tcW w:w="1111" w:type="pct"/>
          </w:tcPr>
          <w:p>
            <w:pPr>
              <w:spacing w:line="360" w:lineRule="auto"/>
              <w:rPr>
                <w:rFonts w:ascii="Segoe UI Symbol" w:hAnsi="Segoe UI Symbol" w:cs="Segoe UI Symbol"/>
                <w:szCs w:val="21"/>
              </w:rPr>
            </w:pPr>
          </w:p>
        </w:tc>
        <w:tc>
          <w:tcPr>
            <w:tcW w:w="1111" w:type="pct"/>
          </w:tcPr>
          <w:p>
            <w:pPr>
              <w:spacing w:line="360" w:lineRule="auto"/>
              <w:rPr>
                <w:rFonts w:ascii="Segoe UI Symbol" w:hAnsi="Segoe UI Symbol" w:cs="Segoe UI Symbo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35" w:type="pct"/>
            <w:vMerge w:val="continue"/>
            <w:vAlign w:val="center"/>
          </w:tcPr>
          <w:p>
            <w:pPr>
              <w:jc w:val="center"/>
              <w:rPr>
                <w:b/>
              </w:rPr>
            </w:pPr>
          </w:p>
        </w:tc>
        <w:tc>
          <w:tcPr>
            <w:tcW w:w="317" w:type="pct"/>
            <w:vMerge w:val="continue"/>
            <w:vAlign w:val="center"/>
          </w:tcPr>
          <w:p/>
        </w:tc>
        <w:tc>
          <w:tcPr>
            <w:tcW w:w="1113" w:type="pct"/>
          </w:tcPr>
          <w:p>
            <w:pPr>
              <w:spacing w:line="360" w:lineRule="auto"/>
              <w:rPr>
                <w:b/>
              </w:rPr>
            </w:pPr>
            <w:r>
              <w:rPr>
                <w:rFonts w:hint="eastAsia" w:ascii="Segoe UI Symbol" w:hAnsi="Segoe UI Symbol" w:cs="Segoe UI Symbol"/>
                <w:szCs w:val="21"/>
              </w:rPr>
              <w:t>1.3 根据用户要求在用户现场提供不少于2次专业培训。第一次为用户现场2-4人为期3天的基础应用培训，培训内容包括仪器的技术原理、操作、数据处理、基本维护等。第二次为设备正常运行一年内，根据用户需求免费提供第二次专业应用培训，为期2天。</w:t>
            </w:r>
          </w:p>
        </w:tc>
        <w:tc>
          <w:tcPr>
            <w:tcW w:w="1110" w:type="pct"/>
          </w:tcPr>
          <w:p>
            <w:pPr>
              <w:spacing w:line="360" w:lineRule="auto"/>
              <w:rPr>
                <w:rFonts w:hint="eastAsia" w:ascii="Segoe UI Symbol" w:hAnsi="Segoe UI Symbol" w:cs="Segoe UI Symbol"/>
                <w:szCs w:val="21"/>
              </w:rPr>
            </w:pPr>
          </w:p>
        </w:tc>
        <w:tc>
          <w:tcPr>
            <w:tcW w:w="1111" w:type="pct"/>
          </w:tcPr>
          <w:p>
            <w:pPr>
              <w:spacing w:line="360" w:lineRule="auto"/>
              <w:rPr>
                <w:rFonts w:hint="eastAsia" w:ascii="Segoe UI Symbol" w:hAnsi="Segoe UI Symbol" w:cs="Segoe UI Symbol"/>
                <w:szCs w:val="21"/>
              </w:rPr>
            </w:pPr>
          </w:p>
        </w:tc>
        <w:tc>
          <w:tcPr>
            <w:tcW w:w="1111" w:type="pct"/>
          </w:tcPr>
          <w:p>
            <w:pPr>
              <w:spacing w:line="360" w:lineRule="auto"/>
              <w:rPr>
                <w:rFonts w:hint="eastAsia" w:ascii="Segoe UI Symbol" w:hAnsi="Segoe UI Symbol" w:cs="Segoe UI Symbo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5" w:type="pct"/>
            <w:vAlign w:val="center"/>
          </w:tcPr>
          <w:p>
            <w:pPr>
              <w:jc w:val="center"/>
              <w:rPr>
                <w:b/>
              </w:rPr>
            </w:pPr>
            <w:r>
              <w:rPr>
                <w:rFonts w:hint="eastAsia"/>
                <w:b/>
              </w:rPr>
              <w:t>2</w:t>
            </w:r>
          </w:p>
        </w:tc>
        <w:tc>
          <w:tcPr>
            <w:tcW w:w="317" w:type="pct"/>
          </w:tcPr>
          <w:p>
            <w:r>
              <w:rPr>
                <w:rFonts w:hint="eastAsia"/>
              </w:rPr>
              <w:t>维修响应及故障解决时间</w:t>
            </w:r>
          </w:p>
        </w:tc>
        <w:tc>
          <w:tcPr>
            <w:tcW w:w="1113" w:type="pct"/>
          </w:tcPr>
          <w:p>
            <w:pPr>
              <w:rPr>
                <w:b/>
              </w:rPr>
            </w:pPr>
            <w:r>
              <w:rPr>
                <w:rFonts w:hint="eastAsia"/>
                <w:bCs/>
                <w:szCs w:val="21"/>
              </w:rPr>
              <w:t>在保修期内，供方将向需方提供优质的售后技术支持服务，响应时间为接到报修后</w:t>
            </w:r>
            <w:r>
              <w:rPr>
                <w:bCs/>
                <w:szCs w:val="21"/>
              </w:rPr>
              <w:t>8</w:t>
            </w:r>
            <w:r>
              <w:rPr>
                <w:rFonts w:hint="eastAsia"/>
                <w:bCs/>
                <w:szCs w:val="21"/>
              </w:rPr>
              <w:t>小时以内，如有必要在</w:t>
            </w:r>
            <w:r>
              <w:rPr>
                <w:bCs/>
                <w:szCs w:val="21"/>
              </w:rPr>
              <w:t>72</w:t>
            </w:r>
            <w:r>
              <w:rPr>
                <w:rFonts w:hint="eastAsia"/>
                <w:bCs/>
                <w:szCs w:val="21"/>
              </w:rPr>
              <w:t>小时内到设备使用现场进行维修工作，待产品运行正常后撤离现场。重大问题或其他无法迅速解决的问题在2周内解决或提出明确解决方案。免费保修期外的响应时间与免费保修期内一致。</w:t>
            </w:r>
          </w:p>
        </w:tc>
        <w:tc>
          <w:tcPr>
            <w:tcW w:w="1110" w:type="pct"/>
          </w:tcPr>
          <w:p>
            <w:pPr>
              <w:rPr>
                <w:rFonts w:hint="eastAsia"/>
                <w:bCs/>
                <w:szCs w:val="21"/>
              </w:rPr>
            </w:pPr>
          </w:p>
        </w:tc>
        <w:tc>
          <w:tcPr>
            <w:tcW w:w="1111" w:type="pct"/>
          </w:tcPr>
          <w:p>
            <w:pPr>
              <w:rPr>
                <w:rFonts w:hint="eastAsia"/>
                <w:bCs/>
                <w:szCs w:val="21"/>
              </w:rPr>
            </w:pPr>
          </w:p>
        </w:tc>
        <w:tc>
          <w:tcPr>
            <w:tcW w:w="1111"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5" w:type="pct"/>
            <w:vAlign w:val="center"/>
          </w:tcPr>
          <w:p>
            <w:pPr>
              <w:jc w:val="center"/>
              <w:rPr>
                <w:b/>
              </w:rPr>
            </w:pPr>
            <w:r>
              <w:rPr>
                <w:rFonts w:hint="eastAsia"/>
                <w:b/>
              </w:rPr>
              <w:t>3</w:t>
            </w:r>
          </w:p>
        </w:tc>
        <w:tc>
          <w:tcPr>
            <w:tcW w:w="317" w:type="pct"/>
          </w:tcPr>
          <w:p>
            <w:r>
              <w:rPr>
                <w:rFonts w:hint="eastAsia"/>
              </w:rPr>
              <w:t>发生</w:t>
            </w:r>
            <w:r>
              <w:t>质量问题</w:t>
            </w:r>
            <w:r>
              <w:rPr>
                <w:rFonts w:hint="eastAsia"/>
              </w:rPr>
              <w:t>的</w:t>
            </w:r>
            <w:r>
              <w:t>处理方式</w:t>
            </w:r>
          </w:p>
        </w:tc>
        <w:tc>
          <w:tcPr>
            <w:tcW w:w="1113" w:type="pct"/>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0" w:type="pct"/>
          </w:tcPr>
          <w:p>
            <w:pPr>
              <w:rPr>
                <w:rFonts w:hint="eastAsia"/>
                <w:bCs/>
                <w:szCs w:val="21"/>
              </w:rPr>
            </w:pPr>
          </w:p>
        </w:tc>
        <w:tc>
          <w:tcPr>
            <w:tcW w:w="1111" w:type="pct"/>
          </w:tcPr>
          <w:p>
            <w:pPr>
              <w:rPr>
                <w:rFonts w:hint="eastAsia"/>
                <w:bCs/>
                <w:szCs w:val="21"/>
              </w:rPr>
            </w:pPr>
          </w:p>
        </w:tc>
        <w:tc>
          <w:tcPr>
            <w:tcW w:w="1111"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35" w:type="pct"/>
            <w:vMerge w:val="restart"/>
            <w:vAlign w:val="center"/>
          </w:tcPr>
          <w:p>
            <w:pPr>
              <w:jc w:val="center"/>
              <w:rPr>
                <w:b/>
              </w:rPr>
            </w:pPr>
            <w:r>
              <w:rPr>
                <w:rFonts w:hint="eastAsia"/>
                <w:b/>
              </w:rPr>
              <w:t>4</w:t>
            </w:r>
          </w:p>
        </w:tc>
        <w:tc>
          <w:tcPr>
            <w:tcW w:w="317" w:type="pct"/>
            <w:vMerge w:val="restart"/>
            <w:vAlign w:val="center"/>
          </w:tcPr>
          <w:p>
            <w:pPr>
              <w:rPr>
                <w:b/>
              </w:rPr>
            </w:pPr>
            <w:r>
              <w:rPr>
                <w:rFonts w:hint="eastAsia"/>
              </w:rPr>
              <w:t>其他</w:t>
            </w:r>
          </w:p>
        </w:tc>
        <w:tc>
          <w:tcPr>
            <w:tcW w:w="1113" w:type="pct"/>
            <w:vAlign w:val="center"/>
          </w:tcPr>
          <w:p>
            <w:pPr>
              <w:rPr>
                <w:b/>
              </w:rPr>
            </w:pPr>
            <w:r>
              <w:rPr>
                <w:rFonts w:hint="eastAsia"/>
              </w:rPr>
              <w:t>4.1在硬件条件支持的条件下，主机控制软件终身免费升级。</w:t>
            </w:r>
          </w:p>
        </w:tc>
        <w:tc>
          <w:tcPr>
            <w:tcW w:w="1110" w:type="pct"/>
            <w:vAlign w:val="center"/>
          </w:tcPr>
          <w:p>
            <w:pPr>
              <w:rPr>
                <w:rFonts w:hint="eastAsia"/>
              </w:rPr>
            </w:pPr>
          </w:p>
        </w:tc>
        <w:tc>
          <w:tcPr>
            <w:tcW w:w="1111" w:type="pct"/>
            <w:vAlign w:val="center"/>
          </w:tcPr>
          <w:p>
            <w:pPr>
              <w:rPr>
                <w:rFonts w:hint="eastAsia"/>
              </w:rPr>
            </w:pPr>
          </w:p>
        </w:tc>
        <w:tc>
          <w:tcPr>
            <w:tcW w:w="1111" w:type="pct"/>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35" w:type="pct"/>
            <w:vMerge w:val="continue"/>
            <w:vAlign w:val="center"/>
          </w:tcPr>
          <w:p>
            <w:pPr>
              <w:jc w:val="center"/>
              <w:rPr>
                <w:b/>
              </w:rPr>
            </w:pPr>
          </w:p>
        </w:tc>
        <w:tc>
          <w:tcPr>
            <w:tcW w:w="317" w:type="pct"/>
            <w:vMerge w:val="continue"/>
            <w:vAlign w:val="center"/>
          </w:tcPr>
          <w:p/>
        </w:tc>
        <w:tc>
          <w:tcPr>
            <w:tcW w:w="1113" w:type="pct"/>
            <w:vAlign w:val="center"/>
          </w:tcPr>
          <w:p>
            <w:pPr>
              <w:rPr>
                <w:b/>
              </w:rPr>
            </w:pPr>
            <w:r>
              <w:rPr>
                <w:rFonts w:hint="eastAsia"/>
                <w:bCs/>
                <w:szCs w:val="21"/>
              </w:rPr>
              <w:t>4.2投标人应按其投标文件中的承诺，进行其他售后服务工作。</w:t>
            </w:r>
          </w:p>
        </w:tc>
        <w:tc>
          <w:tcPr>
            <w:tcW w:w="1110" w:type="pct"/>
            <w:vAlign w:val="center"/>
          </w:tcPr>
          <w:p>
            <w:pPr>
              <w:rPr>
                <w:rFonts w:hint="eastAsia"/>
                <w:bCs/>
                <w:szCs w:val="21"/>
              </w:rPr>
            </w:pPr>
          </w:p>
        </w:tc>
        <w:tc>
          <w:tcPr>
            <w:tcW w:w="1111" w:type="pct"/>
            <w:vAlign w:val="center"/>
          </w:tcPr>
          <w:p>
            <w:pPr>
              <w:rPr>
                <w:rFonts w:hint="eastAsia"/>
                <w:bCs/>
                <w:szCs w:val="21"/>
              </w:rPr>
            </w:pPr>
          </w:p>
        </w:tc>
        <w:tc>
          <w:tcPr>
            <w:tcW w:w="1111" w:type="pct"/>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6" w:type="pct"/>
            <w:gridSpan w:val="3"/>
          </w:tcPr>
          <w:p>
            <w:pPr>
              <w:rPr>
                <w:b/>
              </w:rPr>
            </w:pPr>
            <w:r>
              <w:rPr>
                <w:rFonts w:hint="eastAsia"/>
                <w:b/>
              </w:rPr>
              <w:t>（二）免费保修期外售后服务要求</w:t>
            </w:r>
          </w:p>
        </w:tc>
        <w:tc>
          <w:tcPr>
            <w:tcW w:w="1110" w:type="pct"/>
          </w:tcPr>
          <w:p>
            <w:pPr>
              <w:rPr>
                <w:rFonts w:hint="eastAsia"/>
                <w:b/>
              </w:rPr>
            </w:pPr>
          </w:p>
        </w:tc>
        <w:tc>
          <w:tcPr>
            <w:tcW w:w="1111" w:type="pct"/>
          </w:tcPr>
          <w:p>
            <w:pPr>
              <w:rPr>
                <w:rFonts w:hint="eastAsia"/>
                <w:b/>
              </w:rPr>
            </w:pPr>
          </w:p>
        </w:tc>
        <w:tc>
          <w:tcPr>
            <w:tcW w:w="1111"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Align w:val="center"/>
          </w:tcPr>
          <w:p>
            <w:pPr>
              <w:jc w:val="center"/>
              <w:rPr>
                <w:b/>
              </w:rPr>
            </w:pPr>
            <w:r>
              <w:rPr>
                <w:rFonts w:hint="eastAsia"/>
                <w:b/>
              </w:rPr>
              <w:t>1</w:t>
            </w:r>
          </w:p>
        </w:tc>
        <w:tc>
          <w:tcPr>
            <w:tcW w:w="317" w:type="pct"/>
          </w:tcPr>
          <w:p>
            <w:pPr>
              <w:rPr>
                <w:b/>
              </w:rPr>
            </w:pPr>
          </w:p>
        </w:tc>
        <w:tc>
          <w:tcPr>
            <w:tcW w:w="1113" w:type="pct"/>
          </w:tcPr>
          <w:p>
            <w:r>
              <w:rPr>
                <w:rFonts w:hint="eastAsia"/>
              </w:rPr>
              <w:t>免费</w:t>
            </w:r>
            <w:r>
              <w:t>保修期</w:t>
            </w:r>
            <w:r>
              <w:rPr>
                <w:rFonts w:hint="eastAsia"/>
              </w:rPr>
              <w:t>后继续支持维修，并按成本价标准收取维修及零件费用。</w:t>
            </w:r>
          </w:p>
        </w:tc>
        <w:tc>
          <w:tcPr>
            <w:tcW w:w="1110" w:type="pct"/>
          </w:tcPr>
          <w:p>
            <w:pPr>
              <w:rPr>
                <w:rFonts w:hint="eastAsia"/>
              </w:rPr>
            </w:pPr>
          </w:p>
        </w:tc>
        <w:tc>
          <w:tcPr>
            <w:tcW w:w="1111" w:type="pct"/>
          </w:tcPr>
          <w:p>
            <w:pPr>
              <w:rPr>
                <w:rFonts w:hint="eastAsia"/>
              </w:rPr>
            </w:pPr>
          </w:p>
        </w:tc>
        <w:tc>
          <w:tcPr>
            <w:tcW w:w="1111"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666" w:type="pct"/>
            <w:gridSpan w:val="3"/>
          </w:tcPr>
          <w:p>
            <w:pPr>
              <w:rPr>
                <w:b/>
              </w:rPr>
            </w:pPr>
            <w:r>
              <w:rPr>
                <w:rFonts w:hint="eastAsia"/>
                <w:b/>
              </w:rPr>
              <w:t>（三）其他商务要求</w:t>
            </w:r>
          </w:p>
        </w:tc>
        <w:tc>
          <w:tcPr>
            <w:tcW w:w="1110" w:type="pct"/>
          </w:tcPr>
          <w:p>
            <w:pPr>
              <w:rPr>
                <w:rFonts w:hint="eastAsia"/>
                <w:b/>
              </w:rPr>
            </w:pPr>
          </w:p>
        </w:tc>
        <w:tc>
          <w:tcPr>
            <w:tcW w:w="1111" w:type="pct"/>
          </w:tcPr>
          <w:p>
            <w:pPr>
              <w:rPr>
                <w:rFonts w:hint="eastAsia"/>
                <w:b/>
              </w:rPr>
            </w:pPr>
          </w:p>
        </w:tc>
        <w:tc>
          <w:tcPr>
            <w:tcW w:w="1111"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Merge w:val="restart"/>
            <w:vAlign w:val="center"/>
          </w:tcPr>
          <w:p>
            <w:pPr>
              <w:jc w:val="center"/>
              <w:rPr>
                <w:b/>
              </w:rPr>
            </w:pPr>
            <w:r>
              <w:rPr>
                <w:rFonts w:hint="eastAsia"/>
                <w:b/>
              </w:rPr>
              <w:t>1</w:t>
            </w:r>
          </w:p>
        </w:tc>
        <w:tc>
          <w:tcPr>
            <w:tcW w:w="317" w:type="pct"/>
            <w:vMerge w:val="restart"/>
            <w:vAlign w:val="center"/>
          </w:tcPr>
          <w:p>
            <w:pPr>
              <w:jc w:val="center"/>
            </w:pPr>
            <w:r>
              <w:rPr>
                <w:rFonts w:hint="eastAsia"/>
              </w:rPr>
              <w:t>关于交货</w:t>
            </w:r>
          </w:p>
        </w:tc>
        <w:tc>
          <w:tcPr>
            <w:tcW w:w="1113" w:type="pct"/>
          </w:tcPr>
          <w:p>
            <w:pPr>
              <w:rPr>
                <w:bCs/>
                <w:szCs w:val="21"/>
              </w:rPr>
            </w:pPr>
            <w:r>
              <w:rPr>
                <w:rFonts w:hint="eastAsia"/>
                <w:bCs/>
                <w:szCs w:val="21"/>
              </w:rPr>
              <w:t>1.1</w:t>
            </w:r>
            <w:r>
              <w:rPr>
                <w:bCs/>
                <w:szCs w:val="21"/>
              </w:rPr>
              <w:t xml:space="preserve"> </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rFonts w:hint="eastAsia"/>
                <w:bCs/>
                <w:szCs w:val="21"/>
                <w:u w:val="single"/>
              </w:rPr>
              <w:t xml:space="preserve">  </w:t>
            </w:r>
            <w:r>
              <w:rPr>
                <w:bCs/>
                <w:szCs w:val="21"/>
                <w:u w:val="single"/>
              </w:rPr>
              <w:t>120</w:t>
            </w:r>
            <w:r>
              <w:rPr>
                <w:rFonts w:hint="eastAsia"/>
                <w:bCs/>
                <w:szCs w:val="21"/>
                <w:u w:val="single"/>
              </w:rPr>
              <w:t xml:space="preserve">  </w:t>
            </w:r>
            <w:r>
              <w:rPr>
                <w:rFonts w:hint="eastAsia"/>
                <w:bCs/>
                <w:szCs w:val="21"/>
              </w:rPr>
              <w:t>天（日历日）内。</w:t>
            </w:r>
          </w:p>
          <w:p>
            <w:pPr>
              <w:rPr>
                <w:bCs/>
                <w:szCs w:val="21"/>
              </w:rPr>
            </w:pPr>
            <w:r>
              <w:rPr>
                <w:rFonts w:hint="eastAsia" w:ascii="宋体" w:hAnsi="宋体"/>
                <w:b/>
                <w:color w:val="FF0000"/>
                <w:szCs w:val="21"/>
              </w:rPr>
              <w:t>从中华人民共和国境外提供的</w:t>
            </w:r>
            <w:r>
              <w:rPr>
                <w:rFonts w:hint="eastAsia" w:ascii="宋体" w:hAnsi="宋体"/>
                <w:b/>
                <w:bCs/>
                <w:color w:val="FF0000"/>
                <w:szCs w:val="21"/>
              </w:rPr>
              <w:t>货物：</w:t>
            </w:r>
            <w:r>
              <w:rPr>
                <w:rFonts w:hint="eastAsia" w:ascii="宋体" w:hAnsi="宋体"/>
                <w:color w:val="000000"/>
                <w:szCs w:val="21"/>
              </w:rPr>
              <w:t>合同签订后且免税证明审批通过后</w:t>
            </w:r>
            <w:r>
              <w:rPr>
                <w:rFonts w:hint="eastAsia"/>
                <w:bCs/>
                <w:szCs w:val="21"/>
                <w:u w:val="single"/>
              </w:rPr>
              <w:t xml:space="preserve">  </w:t>
            </w:r>
            <w:r>
              <w:rPr>
                <w:bCs/>
                <w:szCs w:val="21"/>
                <w:u w:val="single"/>
              </w:rPr>
              <w:t>120</w:t>
            </w:r>
            <w:r>
              <w:rPr>
                <w:rFonts w:hint="eastAsia"/>
                <w:bCs/>
                <w:szCs w:val="21"/>
                <w:u w:val="single"/>
              </w:rPr>
              <w:t xml:space="preserve">  </w:t>
            </w:r>
            <w:r>
              <w:rPr>
                <w:rFonts w:hint="eastAsia"/>
                <w:bCs/>
                <w:szCs w:val="21"/>
              </w:rPr>
              <w:t>天（日历日）内。</w:t>
            </w:r>
          </w:p>
        </w:tc>
        <w:tc>
          <w:tcPr>
            <w:tcW w:w="1110" w:type="pct"/>
          </w:tcPr>
          <w:p>
            <w:pPr>
              <w:rPr>
                <w:rFonts w:hint="eastAsia" w:ascii="宋体" w:hAnsi="宋体"/>
                <w:b/>
                <w:color w:val="FF0000"/>
                <w:szCs w:val="21"/>
              </w:rPr>
            </w:pPr>
          </w:p>
        </w:tc>
        <w:tc>
          <w:tcPr>
            <w:tcW w:w="1111" w:type="pct"/>
          </w:tcPr>
          <w:p>
            <w:pPr>
              <w:rPr>
                <w:rFonts w:hint="eastAsia" w:ascii="宋体" w:hAnsi="宋体"/>
                <w:b/>
                <w:color w:val="FF0000"/>
                <w:szCs w:val="21"/>
              </w:rPr>
            </w:pPr>
          </w:p>
        </w:tc>
        <w:tc>
          <w:tcPr>
            <w:tcW w:w="1111" w:type="pct"/>
          </w:tcPr>
          <w:p>
            <w:pPr>
              <w:rPr>
                <w:rFonts w:hint="eastAsia" w:ascii="宋体" w:hAns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35" w:type="pct"/>
            <w:vMerge w:val="continue"/>
            <w:vAlign w:val="center"/>
          </w:tcPr>
          <w:p>
            <w:pPr>
              <w:jc w:val="center"/>
              <w:rPr>
                <w:b/>
              </w:rPr>
            </w:pPr>
          </w:p>
        </w:tc>
        <w:tc>
          <w:tcPr>
            <w:tcW w:w="317" w:type="pct"/>
            <w:vMerge w:val="continue"/>
            <w:vAlign w:val="center"/>
          </w:tcPr>
          <w:p>
            <w:pPr>
              <w:jc w:val="center"/>
            </w:pPr>
          </w:p>
        </w:tc>
        <w:tc>
          <w:tcPr>
            <w:tcW w:w="1113" w:type="pct"/>
          </w:tcPr>
          <w:p>
            <w:pPr>
              <w:rPr>
                <w:bCs/>
                <w:szCs w:val="21"/>
              </w:rPr>
            </w:pPr>
            <w:r>
              <w:rPr>
                <w:rFonts w:hint="eastAsia"/>
                <w:bCs/>
                <w:szCs w:val="21"/>
              </w:rPr>
              <w:t>1.2投标人必须承担的设备运输、安装调试、验收检测和提供设备操作说明书、图纸等其他类似的义务。中标人应及时委派技术人员进行现场安装、调试，并提供货物安装调试的一切技术支持，最迟不超过1个月，如采购方场地或其他非自然因素影响可协商延长时间。安装调试的具体时间由采购人提前3天通知中标人。</w:t>
            </w:r>
          </w:p>
        </w:tc>
        <w:tc>
          <w:tcPr>
            <w:tcW w:w="1110" w:type="pct"/>
          </w:tcPr>
          <w:p>
            <w:pPr>
              <w:rPr>
                <w:rFonts w:hint="eastAsia"/>
                <w:bCs/>
                <w:szCs w:val="21"/>
              </w:rPr>
            </w:pPr>
          </w:p>
        </w:tc>
        <w:tc>
          <w:tcPr>
            <w:tcW w:w="1111" w:type="pct"/>
          </w:tcPr>
          <w:p>
            <w:pPr>
              <w:rPr>
                <w:rFonts w:hint="eastAsia"/>
                <w:bCs/>
                <w:szCs w:val="21"/>
              </w:rPr>
            </w:pPr>
          </w:p>
        </w:tc>
        <w:tc>
          <w:tcPr>
            <w:tcW w:w="1111"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235" w:type="pct"/>
            <w:vMerge w:val="continue"/>
            <w:vAlign w:val="center"/>
          </w:tcPr>
          <w:p>
            <w:pPr>
              <w:jc w:val="center"/>
              <w:rPr>
                <w:b/>
              </w:rPr>
            </w:pPr>
          </w:p>
        </w:tc>
        <w:tc>
          <w:tcPr>
            <w:tcW w:w="317" w:type="pct"/>
            <w:vMerge w:val="continue"/>
            <w:vAlign w:val="center"/>
          </w:tcPr>
          <w:p>
            <w:pPr>
              <w:jc w:val="center"/>
            </w:pPr>
          </w:p>
        </w:tc>
        <w:tc>
          <w:tcPr>
            <w:tcW w:w="1113" w:type="pct"/>
          </w:tcPr>
          <w:p>
            <w:pPr>
              <w:spacing w:line="340" w:lineRule="exact"/>
              <w:rPr>
                <w:bCs/>
                <w:szCs w:val="21"/>
              </w:rPr>
            </w:pPr>
            <w:r>
              <w:rPr>
                <w:rFonts w:hint="eastAsia"/>
                <w:bCs/>
                <w:szCs w:val="21"/>
              </w:rPr>
              <w:t>1.3 交货（具体）地点：深圳大学</w:t>
            </w:r>
          </w:p>
        </w:tc>
        <w:tc>
          <w:tcPr>
            <w:tcW w:w="1110" w:type="pct"/>
          </w:tcPr>
          <w:p>
            <w:pPr>
              <w:spacing w:line="340" w:lineRule="exact"/>
              <w:rPr>
                <w:rFonts w:hint="eastAsia"/>
                <w:bCs/>
                <w:szCs w:val="21"/>
              </w:rPr>
            </w:pPr>
          </w:p>
        </w:tc>
        <w:tc>
          <w:tcPr>
            <w:tcW w:w="1111" w:type="pct"/>
          </w:tcPr>
          <w:p>
            <w:pPr>
              <w:spacing w:line="340" w:lineRule="exact"/>
              <w:rPr>
                <w:rFonts w:hint="eastAsia"/>
                <w:bCs/>
                <w:szCs w:val="21"/>
              </w:rPr>
            </w:pPr>
          </w:p>
        </w:tc>
        <w:tc>
          <w:tcPr>
            <w:tcW w:w="1111"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Merge w:val="continue"/>
            <w:vAlign w:val="center"/>
          </w:tcPr>
          <w:p>
            <w:pPr>
              <w:jc w:val="center"/>
              <w:rPr>
                <w:b/>
              </w:rPr>
            </w:pPr>
          </w:p>
        </w:tc>
        <w:tc>
          <w:tcPr>
            <w:tcW w:w="317" w:type="pct"/>
            <w:vMerge w:val="continue"/>
            <w:vAlign w:val="center"/>
          </w:tcPr>
          <w:p>
            <w:pPr>
              <w:jc w:val="center"/>
            </w:pPr>
          </w:p>
        </w:tc>
        <w:tc>
          <w:tcPr>
            <w:tcW w:w="1113" w:type="pct"/>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p>
          <w:p>
            <w:pPr>
              <w:spacing w:line="340" w:lineRule="exact"/>
              <w:rPr>
                <w:bCs/>
                <w:szCs w:val="21"/>
              </w:rPr>
            </w:pPr>
            <w:r>
              <w:rPr>
                <w:rFonts w:hint="eastAsia"/>
                <w:bCs/>
                <w:szCs w:val="21"/>
              </w:rPr>
              <w:t>从中华人民共和国海关境外提供的货物，技术资料应齐全，提供但不限于如下技术文件和资料：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（4）产品保修证明；</w:t>
            </w:r>
          </w:p>
          <w:p>
            <w:pPr>
              <w:spacing w:line="340" w:lineRule="exact"/>
              <w:rPr>
                <w:bCs/>
                <w:szCs w:val="21"/>
              </w:rPr>
            </w:pPr>
            <w:r>
              <w:rPr>
                <w:rFonts w:hint="eastAsia"/>
                <w:bCs/>
                <w:szCs w:val="21"/>
              </w:rPr>
              <w:t>（5）原产地证明书；</w:t>
            </w:r>
          </w:p>
          <w:p>
            <w:pPr>
              <w:spacing w:line="340" w:lineRule="exact"/>
              <w:rPr>
                <w:bCs/>
                <w:szCs w:val="21"/>
              </w:rPr>
            </w:pPr>
            <w:r>
              <w:rPr>
                <w:rFonts w:hint="eastAsia"/>
                <w:bCs/>
                <w:szCs w:val="21"/>
              </w:rPr>
              <w:t>（6）目的港商检部门要求提交的3C认证等文件和资料（如果需要）；</w:t>
            </w:r>
          </w:p>
          <w:p>
            <w:pPr>
              <w:spacing w:line="340" w:lineRule="exact"/>
              <w:rPr>
                <w:bCs/>
                <w:szCs w:val="21"/>
              </w:rPr>
            </w:pPr>
            <w:r>
              <w:rPr>
                <w:rFonts w:hint="eastAsia"/>
                <w:bCs/>
                <w:szCs w:val="21"/>
              </w:rPr>
              <w:t>（7）货物装箱单；</w:t>
            </w:r>
          </w:p>
          <w:p>
            <w:pPr>
              <w:spacing w:line="340" w:lineRule="exact"/>
              <w:rPr>
                <w:bCs/>
                <w:szCs w:val="21"/>
              </w:rPr>
            </w:pPr>
            <w:r>
              <w:rPr>
                <w:rFonts w:hint="eastAsia"/>
                <w:bCs/>
                <w:szCs w:val="21"/>
              </w:rPr>
              <w:t xml:space="preserve">（8）海运或空运提单（海运方式的货进港前需先行电放提单）； </w:t>
            </w:r>
          </w:p>
          <w:p>
            <w:pPr>
              <w:spacing w:line="340" w:lineRule="exact"/>
              <w:rPr>
                <w:bCs/>
                <w:szCs w:val="21"/>
              </w:rPr>
            </w:pPr>
            <w:r>
              <w:rPr>
                <w:rFonts w:hint="eastAsia"/>
                <w:bCs/>
                <w:szCs w:val="21"/>
              </w:rPr>
              <w:t>（9）目的港商检部门出具的商检合格证书；</w:t>
            </w:r>
          </w:p>
          <w:p>
            <w:pPr>
              <w:spacing w:line="340" w:lineRule="exact"/>
              <w:rPr>
                <w:bCs/>
                <w:szCs w:val="21"/>
              </w:rPr>
            </w:pPr>
            <w:r>
              <w:rPr>
                <w:rFonts w:hint="eastAsia"/>
                <w:bCs/>
                <w:szCs w:val="21"/>
              </w:rPr>
              <w:t>（10）保险单；</w:t>
            </w:r>
          </w:p>
          <w:p>
            <w:pPr>
              <w:spacing w:line="340" w:lineRule="exact"/>
              <w:rPr>
                <w:bCs/>
                <w:szCs w:val="21"/>
              </w:rPr>
            </w:pPr>
            <w:r>
              <w:rPr>
                <w:rFonts w:hint="eastAsia"/>
                <w:bCs/>
                <w:szCs w:val="21"/>
              </w:rPr>
              <w:t>（11）报关单；</w:t>
            </w:r>
          </w:p>
          <w:p>
            <w:pPr>
              <w:spacing w:line="340" w:lineRule="exact"/>
              <w:rPr>
                <w:bCs/>
                <w:szCs w:val="21"/>
              </w:rPr>
            </w:pPr>
            <w:r>
              <w:rPr>
                <w:rFonts w:hint="eastAsia"/>
                <w:bCs/>
                <w:szCs w:val="21"/>
              </w:rPr>
              <w:t>（12）木箱包装须提供由本合同货物出产国权威机构签发的木质包装熏蒸证书正本。</w:t>
            </w:r>
          </w:p>
        </w:tc>
        <w:tc>
          <w:tcPr>
            <w:tcW w:w="1110" w:type="pct"/>
          </w:tcPr>
          <w:p>
            <w:pPr>
              <w:spacing w:line="340" w:lineRule="exact"/>
              <w:rPr>
                <w:rFonts w:hint="eastAsia"/>
                <w:bCs/>
                <w:szCs w:val="21"/>
              </w:rPr>
            </w:pPr>
          </w:p>
        </w:tc>
        <w:tc>
          <w:tcPr>
            <w:tcW w:w="1111" w:type="pct"/>
          </w:tcPr>
          <w:p>
            <w:pPr>
              <w:spacing w:line="340" w:lineRule="exact"/>
              <w:rPr>
                <w:rFonts w:hint="eastAsia"/>
                <w:bCs/>
                <w:szCs w:val="21"/>
              </w:rPr>
            </w:pPr>
          </w:p>
        </w:tc>
        <w:tc>
          <w:tcPr>
            <w:tcW w:w="1111"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Merge w:val="restart"/>
            <w:vAlign w:val="center"/>
          </w:tcPr>
          <w:p>
            <w:pPr>
              <w:jc w:val="center"/>
              <w:rPr>
                <w:b/>
              </w:rPr>
            </w:pPr>
            <w:r>
              <w:rPr>
                <w:rFonts w:hint="eastAsia"/>
                <w:b/>
              </w:rPr>
              <w:t>2</w:t>
            </w:r>
          </w:p>
        </w:tc>
        <w:tc>
          <w:tcPr>
            <w:tcW w:w="317" w:type="pct"/>
            <w:vMerge w:val="restart"/>
            <w:vAlign w:val="center"/>
          </w:tcPr>
          <w:p>
            <w:pPr>
              <w:jc w:val="center"/>
            </w:pPr>
            <w:r>
              <w:rPr>
                <w:rFonts w:hint="eastAsia"/>
              </w:rPr>
              <w:t>关于验收</w:t>
            </w:r>
          </w:p>
        </w:tc>
        <w:tc>
          <w:tcPr>
            <w:tcW w:w="1113" w:type="pct"/>
          </w:tcPr>
          <w:p>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0" w:type="pct"/>
          </w:tcPr>
          <w:p>
            <w:pPr>
              <w:spacing w:line="340" w:lineRule="exact"/>
              <w:rPr>
                <w:bCs/>
                <w:szCs w:val="21"/>
              </w:rPr>
            </w:pPr>
          </w:p>
        </w:tc>
        <w:tc>
          <w:tcPr>
            <w:tcW w:w="1111" w:type="pct"/>
          </w:tcPr>
          <w:p>
            <w:pPr>
              <w:spacing w:line="340" w:lineRule="exact"/>
              <w:rPr>
                <w:bCs/>
                <w:szCs w:val="21"/>
              </w:rPr>
            </w:pPr>
          </w:p>
        </w:tc>
        <w:tc>
          <w:tcPr>
            <w:tcW w:w="1111" w:type="pct"/>
          </w:tcPr>
          <w:p>
            <w:pPr>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235" w:type="pct"/>
            <w:vMerge w:val="continue"/>
            <w:vAlign w:val="center"/>
          </w:tcPr>
          <w:p>
            <w:pPr>
              <w:jc w:val="center"/>
              <w:rPr>
                <w:b/>
              </w:rPr>
            </w:pPr>
          </w:p>
        </w:tc>
        <w:tc>
          <w:tcPr>
            <w:tcW w:w="317" w:type="pct"/>
            <w:vMerge w:val="continue"/>
          </w:tcPr>
          <w:p>
            <w:pPr>
              <w:rPr>
                <w:b/>
              </w:rPr>
            </w:pPr>
          </w:p>
        </w:tc>
        <w:tc>
          <w:tcPr>
            <w:tcW w:w="1113" w:type="pct"/>
          </w:tcPr>
          <w:p>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c>
          <w:tcPr>
            <w:tcW w:w="1110" w:type="pct"/>
          </w:tcPr>
          <w:p>
            <w:pPr>
              <w:tabs>
                <w:tab w:val="left" w:pos="1260"/>
              </w:tabs>
              <w:spacing w:line="340" w:lineRule="exact"/>
              <w:rPr>
                <w:bCs/>
                <w:szCs w:val="21"/>
              </w:rPr>
            </w:pPr>
          </w:p>
        </w:tc>
        <w:tc>
          <w:tcPr>
            <w:tcW w:w="1111" w:type="pct"/>
          </w:tcPr>
          <w:p>
            <w:pPr>
              <w:tabs>
                <w:tab w:val="left" w:pos="1260"/>
              </w:tabs>
              <w:spacing w:line="340" w:lineRule="exact"/>
              <w:rPr>
                <w:bCs/>
                <w:szCs w:val="21"/>
              </w:rPr>
            </w:pPr>
          </w:p>
        </w:tc>
        <w:tc>
          <w:tcPr>
            <w:tcW w:w="1111" w:type="pct"/>
          </w:tcPr>
          <w:p>
            <w:pPr>
              <w:tabs>
                <w:tab w:val="left" w:pos="1260"/>
              </w:tabs>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Align w:val="center"/>
          </w:tcPr>
          <w:p>
            <w:pPr>
              <w:jc w:val="center"/>
              <w:rPr>
                <w:b/>
              </w:rPr>
            </w:pPr>
            <w:r>
              <w:rPr>
                <w:rFonts w:hint="eastAsia"/>
                <w:b/>
              </w:rPr>
              <w:t>3</w:t>
            </w:r>
          </w:p>
        </w:tc>
        <w:tc>
          <w:tcPr>
            <w:tcW w:w="317" w:type="pct"/>
            <w:vAlign w:val="center"/>
          </w:tcPr>
          <w:p>
            <w:pPr>
              <w:jc w:val="center"/>
            </w:pPr>
            <w:r>
              <w:rPr>
                <w:rFonts w:hint="eastAsia"/>
              </w:rPr>
              <w:t>付款方式</w:t>
            </w:r>
          </w:p>
        </w:tc>
        <w:tc>
          <w:tcPr>
            <w:tcW w:w="1113" w:type="pct"/>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szCs w:val="21"/>
              </w:rPr>
            </w:pPr>
            <w:r>
              <w:rPr>
                <w:rFonts w:hint="eastAsia" w:ascii="宋体" w:hAnsi="宋体"/>
                <w:szCs w:val="21"/>
              </w:rPr>
              <w:t>合同签订后，供方支付合同总金额的5%（不超过成交额的5%）质量保证金给需方，验收合格后，需方整理相关付款资料，经付款审批流程后支付货款。质保期满，无质量问题情况下由需方退还供方质量保证金（无息）。</w:t>
            </w:r>
          </w:p>
          <w:p>
            <w:pPr>
              <w:ind w:firstLine="422" w:firstLineChars="200"/>
              <w:rPr>
                <w:rFonts w:ascii="宋体" w:hAnsi="宋体"/>
                <w:b/>
                <w:bCs/>
                <w:color w:val="FF0000"/>
                <w:szCs w:val="21"/>
              </w:rPr>
            </w:pPr>
            <w:r>
              <w:rPr>
                <w:rFonts w:hint="eastAsia" w:ascii="宋体" w:hAnsi="宋体"/>
                <w:b/>
                <w:color w:val="FF0000"/>
                <w:szCs w:val="21"/>
              </w:rPr>
              <w:t>从中华人民共和国境外提供的</w:t>
            </w:r>
            <w:r>
              <w:rPr>
                <w:rFonts w:hint="eastAsia" w:ascii="宋体" w:hAnsi="宋体"/>
                <w:b/>
                <w:bCs/>
                <w:color w:val="FF0000"/>
                <w:szCs w:val="21"/>
              </w:rPr>
              <w:t>货物：</w:t>
            </w:r>
          </w:p>
          <w:p>
            <w:pPr>
              <w:ind w:firstLine="420" w:firstLineChars="200"/>
              <w:rPr>
                <w:rFonts w:ascii="宋体" w:hAnsi="宋体"/>
                <w:color w:val="0000FF"/>
                <w:szCs w:val="21"/>
              </w:rPr>
            </w:pPr>
            <w:r>
              <w:rPr>
                <w:rFonts w:hint="eastAsia" w:ascii="宋体" w:hAnsi="宋体"/>
                <w:szCs w:val="21"/>
              </w:rPr>
              <w:t>货款支付上限为：中标</w:t>
            </w:r>
            <w:r>
              <w:rPr>
                <w:rFonts w:ascii="宋体" w:hAnsi="宋体"/>
                <w:szCs w:val="21"/>
              </w:rPr>
              <w:t>人民币价格</w:t>
            </w:r>
            <w:r>
              <w:rPr>
                <w:rFonts w:hint="eastAsia" w:ascii="宋体" w:hAnsi="宋体"/>
                <w:szCs w:val="21"/>
              </w:rPr>
              <w:t>。</w:t>
            </w:r>
          </w:p>
          <w:p>
            <w:pPr>
              <w:rPr>
                <w:rFonts w:ascii="宋体" w:hAnsi="宋体"/>
                <w:color w:val="0000FF"/>
                <w:szCs w:val="21"/>
              </w:rPr>
            </w:pPr>
          </w:p>
          <w:p>
            <w:pPr>
              <w:ind w:firstLine="420" w:firstLineChars="200"/>
              <w:rPr>
                <w:rFonts w:ascii="宋体" w:hAnsi="宋体"/>
                <w:color w:val="0000FF"/>
                <w:szCs w:val="21"/>
              </w:rPr>
            </w:pPr>
            <w:r>
              <w:rPr>
                <w:rFonts w:hint="eastAsia" w:ascii="宋体" w:hAnsi="宋体"/>
                <w:bCs/>
                <w:szCs w:val="21"/>
              </w:rPr>
              <w:t>签定外贸合同后，需方通知外贸代理公司开立信用证并</w:t>
            </w:r>
            <w:r>
              <w:rPr>
                <w:rFonts w:hint="eastAsia" w:ascii="宋体" w:hAnsi="宋体"/>
                <w:szCs w:val="21"/>
              </w:rPr>
              <w:t>申请财政拨款。拨款到位，</w:t>
            </w:r>
            <w:r>
              <w:rPr>
                <w:rFonts w:hint="eastAsia" w:ascii="宋体" w:hAnsi="宋体"/>
                <w:bCs/>
                <w:szCs w:val="21"/>
              </w:rPr>
              <w:t>第一次付款为合同总金额的80％（L/C</w:t>
            </w:r>
            <w:r>
              <w:rPr>
                <w:rFonts w:hint="eastAsia" w:ascii="宋体" w:hAnsi="宋体"/>
                <w:b/>
                <w:bCs/>
                <w:szCs w:val="21"/>
              </w:rPr>
              <w:t>：</w:t>
            </w:r>
            <w:r>
              <w:rPr>
                <w:rFonts w:hint="eastAsia" w:ascii="宋体" w:hAnsi="宋体"/>
                <w:bCs/>
                <w:szCs w:val="21"/>
              </w:rPr>
              <w:t>收货后见单付款），尾款待验收合格并连续运行</w:t>
            </w:r>
            <w:r>
              <w:rPr>
                <w:rFonts w:hint="eastAsia" w:ascii="宋体" w:hAnsi="宋体"/>
                <w:bCs/>
                <w:szCs w:val="21"/>
                <w:u w:val="single"/>
              </w:rPr>
              <w:t xml:space="preserve"> 1 </w:t>
            </w:r>
            <w:r>
              <w:rPr>
                <w:rFonts w:hint="eastAsia" w:ascii="宋体" w:hAnsi="宋体"/>
                <w:bCs/>
                <w:szCs w:val="21"/>
              </w:rPr>
              <w:t>个月无故障后， TT支付</w:t>
            </w:r>
            <w:r>
              <w:rPr>
                <w:rFonts w:hint="eastAsia"/>
              </w:rPr>
              <w:t>（合同执行期间产生的外币汇率损失由卖方承担）</w:t>
            </w:r>
            <w:r>
              <w:rPr>
                <w:rFonts w:hint="eastAsia" w:ascii="宋体" w:hAnsi="宋体"/>
                <w:bCs/>
                <w:szCs w:val="21"/>
              </w:rPr>
              <w:t>。</w:t>
            </w:r>
          </w:p>
          <w:p>
            <w:pPr>
              <w:ind w:firstLine="420" w:firstLineChars="200"/>
              <w:rPr>
                <w:rFonts w:ascii="宋体" w:hAnsi="宋体"/>
                <w:szCs w:val="21"/>
              </w:rPr>
            </w:pPr>
          </w:p>
          <w:p>
            <w:pPr>
              <w:ind w:firstLine="420" w:firstLineChars="200"/>
              <w:rPr>
                <w:rFonts w:ascii="宋体" w:hAnsi="宋体"/>
                <w:bCs/>
                <w:szCs w:val="21"/>
              </w:rPr>
            </w:pPr>
            <w:r>
              <w:rPr>
                <w:rFonts w:hint="eastAsia" w:ascii="宋体" w:hAnsi="宋体"/>
                <w:bCs/>
                <w:szCs w:val="21"/>
              </w:rPr>
              <w:t>代理费由</w:t>
            </w:r>
            <w:r>
              <w:rPr>
                <w:rFonts w:ascii="宋体" w:hAnsi="宋体"/>
                <w:bCs/>
                <w:szCs w:val="21"/>
              </w:rPr>
              <w:t>中标</w:t>
            </w:r>
            <w:r>
              <w:rPr>
                <w:rFonts w:hint="eastAsia" w:ascii="宋体" w:hAnsi="宋体"/>
                <w:bCs/>
                <w:szCs w:val="21"/>
              </w:rPr>
              <w:t>供应商支付。</w:t>
            </w:r>
          </w:p>
          <w:p>
            <w:pPr>
              <w:ind w:firstLine="420" w:firstLineChars="200"/>
              <w:rPr>
                <w:rFonts w:ascii="宋体" w:hAnsi="宋体"/>
                <w:b/>
                <w:bCs/>
                <w:szCs w:val="21"/>
              </w:rPr>
            </w:pPr>
            <w:r>
              <w:rPr>
                <w:rFonts w:hint="eastAsia" w:ascii="宋体" w:hAnsi="宋体"/>
                <w:bCs/>
                <w:szCs w:val="21"/>
              </w:rPr>
              <w:t>代理费</w:t>
            </w:r>
            <w:r>
              <w:rPr>
                <w:rFonts w:ascii="宋体" w:hAnsi="宋体"/>
                <w:bCs/>
                <w:szCs w:val="21"/>
              </w:rPr>
              <w:t>标准：</w:t>
            </w:r>
            <w:r>
              <w:rPr>
                <w:rFonts w:hint="eastAsia" w:ascii="宋体" w:hAnsi="宋体"/>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0" w:type="pct"/>
          </w:tcPr>
          <w:p>
            <w:pPr>
              <w:ind w:firstLine="420" w:firstLineChars="200"/>
              <w:rPr>
                <w:rFonts w:hint="eastAsia" w:ascii="宋体" w:hAnsi="宋体"/>
                <w:bCs/>
                <w:szCs w:val="21"/>
              </w:rPr>
            </w:pPr>
          </w:p>
        </w:tc>
        <w:tc>
          <w:tcPr>
            <w:tcW w:w="1111" w:type="pct"/>
          </w:tcPr>
          <w:p>
            <w:pPr>
              <w:ind w:firstLine="420" w:firstLineChars="200"/>
              <w:rPr>
                <w:rFonts w:hint="eastAsia" w:ascii="宋体" w:hAnsi="宋体"/>
                <w:bCs/>
                <w:szCs w:val="21"/>
              </w:rPr>
            </w:pPr>
          </w:p>
        </w:tc>
        <w:tc>
          <w:tcPr>
            <w:tcW w:w="1111" w:type="pct"/>
          </w:tcPr>
          <w:p>
            <w:pPr>
              <w:ind w:firstLine="420" w:firstLineChars="200"/>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Align w:val="center"/>
          </w:tcPr>
          <w:p>
            <w:pPr>
              <w:jc w:val="center"/>
            </w:pPr>
            <w:r>
              <w:rPr>
                <w:rFonts w:hint="eastAsia"/>
                <w:b/>
              </w:rPr>
              <w:t>4</w:t>
            </w:r>
          </w:p>
        </w:tc>
        <w:tc>
          <w:tcPr>
            <w:tcW w:w="317" w:type="pct"/>
            <w:vAlign w:val="center"/>
          </w:tcPr>
          <w:p>
            <w:r>
              <w:rPr>
                <w:rFonts w:hint="eastAsia"/>
              </w:rPr>
              <w:t>关于</w:t>
            </w:r>
            <w:r>
              <w:t>知识产权</w:t>
            </w:r>
          </w:p>
        </w:tc>
        <w:tc>
          <w:tcPr>
            <w:tcW w:w="1113" w:type="pct"/>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0" w:type="pct"/>
          </w:tcPr>
          <w:p>
            <w:pPr>
              <w:rPr>
                <w:rFonts w:hint="eastAsia"/>
              </w:rPr>
            </w:pPr>
          </w:p>
        </w:tc>
        <w:tc>
          <w:tcPr>
            <w:tcW w:w="1111" w:type="pct"/>
          </w:tcPr>
          <w:p>
            <w:pPr>
              <w:rPr>
                <w:rFonts w:hint="eastAsia"/>
              </w:rPr>
            </w:pPr>
          </w:p>
        </w:tc>
        <w:tc>
          <w:tcPr>
            <w:tcW w:w="1111"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235" w:type="pct"/>
            <w:vAlign w:val="center"/>
          </w:tcPr>
          <w:p>
            <w:pPr>
              <w:jc w:val="center"/>
              <w:rPr>
                <w:b/>
              </w:rPr>
            </w:pPr>
            <w:r>
              <w:rPr>
                <w:b/>
              </w:rPr>
              <w:t>5</w:t>
            </w:r>
          </w:p>
        </w:tc>
        <w:tc>
          <w:tcPr>
            <w:tcW w:w="317" w:type="pct"/>
            <w:vAlign w:val="center"/>
          </w:tcPr>
          <w:p>
            <w:r>
              <w:rPr>
                <w:rFonts w:hint="eastAsia"/>
              </w:rPr>
              <w:t>关于</w:t>
            </w:r>
            <w:r>
              <w:t>商检</w:t>
            </w:r>
          </w:p>
        </w:tc>
        <w:tc>
          <w:tcPr>
            <w:tcW w:w="1113" w:type="pct"/>
          </w:tcPr>
          <w:p>
            <w:r>
              <w:rPr>
                <w:rFonts w:hint="eastAsia"/>
              </w:rPr>
              <w:t>依据相关法律法规要求，如</w:t>
            </w:r>
            <w:r>
              <w:t>所提供的货物需</w:t>
            </w:r>
            <w:r>
              <w:rPr>
                <w:rFonts w:hint="eastAsia"/>
              </w:rPr>
              <w:t>由国家商检部门进行商检的，商检、检疫费用由中标人承担。</w:t>
            </w:r>
          </w:p>
        </w:tc>
        <w:tc>
          <w:tcPr>
            <w:tcW w:w="1110" w:type="pct"/>
          </w:tcPr>
          <w:p>
            <w:pPr>
              <w:rPr>
                <w:rFonts w:hint="eastAsia"/>
              </w:rPr>
            </w:pPr>
          </w:p>
        </w:tc>
        <w:tc>
          <w:tcPr>
            <w:tcW w:w="1111" w:type="pct"/>
          </w:tcPr>
          <w:p>
            <w:pPr>
              <w:rPr>
                <w:rFonts w:hint="eastAsia"/>
              </w:rPr>
            </w:pPr>
          </w:p>
        </w:tc>
        <w:tc>
          <w:tcPr>
            <w:tcW w:w="1111"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Merge w:val="restart"/>
            <w:vAlign w:val="center"/>
          </w:tcPr>
          <w:p>
            <w:pPr>
              <w:jc w:val="center"/>
            </w:pPr>
            <w:r>
              <w:rPr>
                <w:rFonts w:hint="eastAsia"/>
              </w:rPr>
              <w:t>6</w:t>
            </w:r>
          </w:p>
        </w:tc>
        <w:tc>
          <w:tcPr>
            <w:tcW w:w="317" w:type="pct"/>
            <w:vMerge w:val="restart"/>
            <w:vAlign w:val="center"/>
          </w:tcPr>
          <w:p>
            <w:pPr>
              <w:jc w:val="center"/>
            </w:pPr>
            <w:r>
              <w:rPr>
                <w:rFonts w:hint="eastAsia"/>
              </w:rPr>
              <w:t>违约</w:t>
            </w:r>
            <w:r>
              <w:t>责任</w:t>
            </w:r>
          </w:p>
        </w:tc>
        <w:tc>
          <w:tcPr>
            <w:tcW w:w="1113" w:type="pct"/>
          </w:tcPr>
          <w:p>
            <w:pPr>
              <w:spacing w:line="360" w:lineRule="auto"/>
              <w:ind w:firstLine="420" w:firstLineChars="200"/>
              <w:rPr>
                <w:rFonts w:ascii="宋体" w:hAnsi="宋体"/>
                <w:color w:val="000000"/>
                <w:szCs w:val="21"/>
              </w:rPr>
            </w:pPr>
            <w:r>
              <w:rPr>
                <w:rFonts w:hint="eastAsia" w:ascii="宋体" w:hAnsi="宋体"/>
                <w:color w:val="000000"/>
                <w:szCs w:val="21"/>
              </w:rPr>
              <w:t>1．供需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tc>
        <w:tc>
          <w:tcPr>
            <w:tcW w:w="1110" w:type="pct"/>
          </w:tcPr>
          <w:p>
            <w:pPr>
              <w:spacing w:line="360" w:lineRule="auto"/>
              <w:ind w:firstLine="420" w:firstLineChars="200"/>
              <w:rPr>
                <w:rFonts w:hint="eastAsia" w:ascii="宋体" w:hAnsi="宋体"/>
                <w:color w:val="000000"/>
                <w:szCs w:val="21"/>
              </w:rPr>
            </w:pPr>
          </w:p>
        </w:tc>
        <w:tc>
          <w:tcPr>
            <w:tcW w:w="1111" w:type="pct"/>
          </w:tcPr>
          <w:p>
            <w:pPr>
              <w:spacing w:line="360" w:lineRule="auto"/>
              <w:ind w:firstLine="420" w:firstLineChars="200"/>
              <w:rPr>
                <w:rFonts w:hint="eastAsia" w:ascii="宋体" w:hAnsi="宋体"/>
                <w:color w:val="000000"/>
                <w:szCs w:val="21"/>
              </w:rPr>
            </w:pPr>
          </w:p>
        </w:tc>
        <w:tc>
          <w:tcPr>
            <w:tcW w:w="1111" w:type="pct"/>
          </w:tcPr>
          <w:p>
            <w:pPr>
              <w:spacing w:line="360" w:lineRule="auto"/>
              <w:ind w:firstLine="420" w:firstLineChars="20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Merge w:val="continue"/>
            <w:vAlign w:val="center"/>
          </w:tcPr>
          <w:p>
            <w:pPr>
              <w:jc w:val="center"/>
            </w:pPr>
          </w:p>
        </w:tc>
        <w:tc>
          <w:tcPr>
            <w:tcW w:w="317" w:type="pct"/>
            <w:vMerge w:val="continue"/>
          </w:tcPr>
          <w:p/>
        </w:tc>
        <w:tc>
          <w:tcPr>
            <w:tcW w:w="1113" w:type="pct"/>
          </w:tcPr>
          <w:p>
            <w:pPr>
              <w:spacing w:line="360" w:lineRule="auto"/>
              <w:ind w:firstLine="420" w:firstLineChars="200"/>
              <w:rPr>
                <w:rFonts w:ascii="宋体" w:hAnsi="宋体"/>
                <w:color w:val="000000"/>
                <w:szCs w:val="21"/>
              </w:rPr>
            </w:pPr>
            <w:r>
              <w:rPr>
                <w:rFonts w:hint="eastAsia" w:ascii="宋体" w:hAnsi="宋体"/>
                <w:color w:val="000000"/>
                <w:szCs w:val="21"/>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tc>
        <w:tc>
          <w:tcPr>
            <w:tcW w:w="1110" w:type="pct"/>
          </w:tcPr>
          <w:p>
            <w:pPr>
              <w:spacing w:line="360" w:lineRule="auto"/>
              <w:ind w:firstLine="420" w:firstLineChars="200"/>
              <w:rPr>
                <w:rFonts w:hint="eastAsia" w:ascii="宋体" w:hAnsi="宋体"/>
                <w:color w:val="000000"/>
                <w:szCs w:val="21"/>
              </w:rPr>
            </w:pPr>
          </w:p>
        </w:tc>
        <w:tc>
          <w:tcPr>
            <w:tcW w:w="1111" w:type="pct"/>
          </w:tcPr>
          <w:p>
            <w:pPr>
              <w:spacing w:line="360" w:lineRule="auto"/>
              <w:ind w:firstLine="420" w:firstLineChars="200"/>
              <w:rPr>
                <w:rFonts w:hint="eastAsia" w:ascii="宋体" w:hAnsi="宋体"/>
                <w:color w:val="000000"/>
                <w:szCs w:val="21"/>
              </w:rPr>
            </w:pPr>
          </w:p>
        </w:tc>
        <w:tc>
          <w:tcPr>
            <w:tcW w:w="1111" w:type="pct"/>
          </w:tcPr>
          <w:p>
            <w:pPr>
              <w:spacing w:line="360" w:lineRule="auto"/>
              <w:ind w:firstLine="420" w:firstLineChars="20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Merge w:val="continue"/>
            <w:vAlign w:val="center"/>
          </w:tcPr>
          <w:p>
            <w:pPr>
              <w:jc w:val="center"/>
            </w:pPr>
          </w:p>
        </w:tc>
        <w:tc>
          <w:tcPr>
            <w:tcW w:w="317" w:type="pct"/>
            <w:vMerge w:val="continue"/>
          </w:tcPr>
          <w:p/>
        </w:tc>
        <w:tc>
          <w:tcPr>
            <w:tcW w:w="1113" w:type="pct"/>
          </w:tcPr>
          <w:p>
            <w:pPr>
              <w:spacing w:line="360" w:lineRule="auto"/>
              <w:ind w:firstLine="420" w:firstLineChars="200"/>
              <w:rPr>
                <w:rFonts w:ascii="宋体" w:hAnsi="宋体"/>
                <w:b/>
                <w:szCs w:val="21"/>
              </w:rPr>
            </w:pPr>
            <w:r>
              <w:rPr>
                <w:rFonts w:hint="eastAsia" w:ascii="宋体" w:hAnsi="宋体"/>
                <w:color w:val="000000"/>
                <w:szCs w:val="21"/>
              </w:rPr>
              <w:t>3．如果供方未按本合同的约定时间交货或提供现场安装、调试或保修等服务，需方可要求供方支付违约金。违约金按每周延迟交货或提供服务的本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c>
          <w:tcPr>
            <w:tcW w:w="1110" w:type="pct"/>
          </w:tcPr>
          <w:p>
            <w:pPr>
              <w:spacing w:line="360" w:lineRule="auto"/>
              <w:ind w:firstLine="420" w:firstLineChars="200"/>
              <w:rPr>
                <w:rFonts w:hint="eastAsia" w:ascii="宋体" w:hAnsi="宋体"/>
                <w:color w:val="000000"/>
                <w:szCs w:val="21"/>
              </w:rPr>
            </w:pPr>
          </w:p>
        </w:tc>
        <w:tc>
          <w:tcPr>
            <w:tcW w:w="1111" w:type="pct"/>
          </w:tcPr>
          <w:p>
            <w:pPr>
              <w:spacing w:line="360" w:lineRule="auto"/>
              <w:ind w:firstLine="420" w:firstLineChars="200"/>
              <w:rPr>
                <w:rFonts w:hint="eastAsia" w:ascii="宋体" w:hAnsi="宋体"/>
                <w:color w:val="000000"/>
                <w:szCs w:val="21"/>
              </w:rPr>
            </w:pPr>
          </w:p>
        </w:tc>
        <w:tc>
          <w:tcPr>
            <w:tcW w:w="1111" w:type="pct"/>
          </w:tcPr>
          <w:p>
            <w:pPr>
              <w:spacing w:line="360" w:lineRule="auto"/>
              <w:ind w:firstLine="420" w:firstLineChars="200"/>
              <w:rPr>
                <w:rFonts w:hint="eastAsia" w:ascii="宋体" w:hAnsi="宋体"/>
                <w:color w:val="000000"/>
                <w:szCs w:val="21"/>
              </w:rPr>
            </w:pPr>
          </w:p>
        </w:tc>
      </w:tr>
    </w:tbl>
    <w:p>
      <w:pPr>
        <w:rPr>
          <w:sz w:val="24"/>
        </w:rPr>
      </w:pPr>
      <w:bookmarkStart w:id="32" w:name="_GoBack"/>
      <w:bookmarkEnd w:id="32"/>
      <w:r>
        <w:rPr>
          <w:rFonts w:hint="eastAsia"/>
          <w:sz w:val="24"/>
        </w:rPr>
        <w:t>备注：</w:t>
      </w:r>
    </w:p>
    <w:p>
      <w:pPr>
        <w:rPr>
          <w:b/>
          <w:color w:val="FF0000"/>
          <w:sz w:val="24"/>
        </w:rPr>
      </w:pPr>
      <w:r>
        <w:rPr>
          <w:rFonts w:hint="eastAsia"/>
          <w:b/>
          <w:color w:val="FF0000"/>
          <w:sz w:val="24"/>
        </w:rPr>
        <w:t>1. “招标商务条款”一栏必须填写招标文件第二章“四、商务需求”的内容分别对应“（一）免费保修期内售后服务要求、（二）免费保修期外售后服务要求、（三）其他商务要求”的内容进行填写。</w:t>
      </w:r>
    </w:p>
    <w:p>
      <w:pPr>
        <w:rPr>
          <w:b/>
          <w:color w:val="FF0000"/>
          <w:sz w:val="24"/>
        </w:rPr>
      </w:pPr>
      <w:r>
        <w:rPr>
          <w:rFonts w:hint="eastAsia"/>
          <w:b/>
          <w:color w:val="FF0000"/>
          <w:sz w:val="24"/>
        </w:rPr>
        <w:t>2. “投标商务条款”一栏必须详细填写投标商务条款的内容。</w:t>
      </w:r>
    </w:p>
    <w:p>
      <w:pPr>
        <w:rPr>
          <w:sz w:val="24"/>
        </w:rPr>
      </w:pPr>
      <w:r>
        <w:rPr>
          <w:rFonts w:hint="eastAsia"/>
          <w:b/>
          <w:color w:val="FF0000"/>
          <w:sz w:val="24"/>
        </w:rPr>
        <w:t>3. “偏离情况”栏中应如实填写“正偏离”、“负偏离”或“无偏离”。</w:t>
      </w:r>
    </w:p>
    <w:p>
      <w:pPr>
        <w:rPr>
          <w:b/>
          <w:color w:val="FF0000"/>
          <w:sz w:val="24"/>
        </w:rPr>
      </w:pPr>
      <w:r>
        <w:rPr>
          <w:rFonts w:hint="eastAsia"/>
          <w:b/>
          <w:color w:val="FF0000"/>
          <w:sz w:val="24"/>
        </w:rPr>
        <w:t>3.交货期条款为不可负偏离条款，投标文件响应为“负偏离”的，投标文件将按投标无效处理。</w:t>
      </w:r>
    </w:p>
    <w:p>
      <w:pPr>
        <w:rPr>
          <w:b/>
          <w:color w:val="FF0000"/>
          <w:sz w:val="24"/>
        </w:rPr>
      </w:pPr>
      <w:r>
        <w:rPr>
          <w:rFonts w:hint="eastAsia"/>
          <w:b/>
          <w:color w:val="FF0000"/>
          <w:sz w:val="24"/>
        </w:rPr>
        <w:t>4.开标一览表中填写的“交货期”必须与本表填写的“交货期”一致。如填写不一致，以开标一览表填写的“交货期”为准。</w:t>
      </w:r>
    </w:p>
    <w:p>
      <w:pPr>
        <w:rPr>
          <w:sz w:val="24"/>
        </w:rPr>
      </w:pPr>
      <w:r>
        <w:rPr>
          <w:sz w:val="24"/>
        </w:rPr>
        <w:br w:type="page"/>
      </w:r>
    </w:p>
    <w:p>
      <w:pPr>
        <w:pStyle w:val="3"/>
        <w:jc w:val="center"/>
        <w:rPr>
          <w:rFonts w:ascii="黑体" w:eastAsia="黑体"/>
          <w:b w:val="0"/>
          <w:bCs w:val="0"/>
          <w:kern w:val="0"/>
          <w:sz w:val="24"/>
          <w:szCs w:val="20"/>
        </w:rPr>
      </w:pPr>
      <w:r>
        <w:rPr>
          <w:rFonts w:hint="eastAsia" w:ascii="黑体" w:eastAsia="黑体"/>
          <w:b w:val="0"/>
          <w:bCs w:val="0"/>
          <w:kern w:val="0"/>
          <w:sz w:val="24"/>
          <w:szCs w:val="20"/>
        </w:rPr>
        <w:t>十二、投标人认为需要加以说明的其他内容</w:t>
      </w:r>
    </w:p>
    <w:p/>
    <w:p/>
    <w:p/>
    <w:p/>
    <w:p>
      <w:r>
        <w:br w:type="page"/>
      </w:r>
    </w:p>
    <w:p>
      <w:pPr>
        <w:outlineLvl w:val="1"/>
        <w:rPr>
          <w:rFonts w:ascii="宋体" w:hAnsi="宋体"/>
          <w:b/>
          <w:color w:val="FF0000"/>
          <w:sz w:val="28"/>
          <w:szCs w:val="28"/>
        </w:rPr>
      </w:pPr>
      <w:r>
        <w:rPr>
          <w:rFonts w:hint="eastAsia" w:ascii="宋体" w:hAnsi="宋体"/>
          <w:b/>
          <w:color w:val="FF0000"/>
          <w:sz w:val="28"/>
          <w:szCs w:val="28"/>
        </w:rPr>
        <w:t>投标文件第二</w:t>
      </w:r>
      <w:r>
        <w:rPr>
          <w:rFonts w:ascii="宋体" w:hAnsi="宋体"/>
          <w:b/>
          <w:color w:val="FF0000"/>
          <w:sz w:val="28"/>
          <w:szCs w:val="28"/>
        </w:rPr>
        <w:t>部分</w:t>
      </w:r>
    </w:p>
    <w:p>
      <w:pPr>
        <w:pStyle w:val="3"/>
        <w:jc w:val="center"/>
        <w:rPr>
          <w:rFonts w:ascii="黑体" w:eastAsia="黑体"/>
          <w:b w:val="0"/>
          <w:kern w:val="0"/>
          <w:sz w:val="24"/>
        </w:rPr>
      </w:pPr>
      <w:r>
        <w:rPr>
          <w:rFonts w:hint="eastAsia" w:ascii="黑体" w:eastAsia="黑体"/>
          <w:b w:val="0"/>
          <w:kern w:val="0"/>
          <w:sz w:val="24"/>
        </w:rPr>
        <w:t>一、法定代表人证明书</w:t>
      </w:r>
    </w:p>
    <w:p>
      <w:pPr>
        <w:rPr>
          <w:sz w:val="24"/>
        </w:rPr>
      </w:pPr>
    </w:p>
    <w:p>
      <w:pPr>
        <w:spacing w:line="360" w:lineRule="auto"/>
        <w:rPr>
          <w:szCs w:val="21"/>
        </w:rPr>
      </w:pPr>
      <w:r>
        <w:rPr>
          <w:rFonts w:hint="eastAsia"/>
          <w:szCs w:val="21"/>
        </w:rPr>
        <w:t>，现任我单位职务，为法定代表人，特此证明。</w:t>
      </w:r>
    </w:p>
    <w:p>
      <w:pPr>
        <w:spacing w:line="360" w:lineRule="auto"/>
        <w:rPr>
          <w:szCs w:val="21"/>
        </w:rPr>
      </w:pPr>
      <w:r>
        <w:rPr>
          <w:rFonts w:hint="eastAsia"/>
          <w:szCs w:val="21"/>
        </w:rPr>
        <w:t>有效日期：签发日期：单位：（公章）</w:t>
      </w:r>
    </w:p>
    <w:p>
      <w:pPr>
        <w:spacing w:line="360" w:lineRule="auto"/>
        <w:rPr>
          <w:szCs w:val="21"/>
        </w:rPr>
      </w:pPr>
      <w:r>
        <w:rPr>
          <w:rFonts w:hint="eastAsia"/>
          <w:szCs w:val="21"/>
        </w:rPr>
        <w:t>附：代表人性别：年龄：身份证号码：</w:t>
      </w:r>
    </w:p>
    <w:p>
      <w:pPr>
        <w:spacing w:line="360" w:lineRule="auto"/>
        <w:rPr>
          <w:szCs w:val="21"/>
        </w:rPr>
      </w:pPr>
      <w:r>
        <w:rPr>
          <w:rFonts w:hint="eastAsia"/>
          <w:szCs w:val="21"/>
        </w:rPr>
        <w:t>营业执照号码：经济性质：</w:t>
      </w:r>
    </w:p>
    <w:p>
      <w:pPr>
        <w:spacing w:line="360" w:lineRule="auto"/>
        <w:rPr>
          <w:szCs w:val="21"/>
        </w:rPr>
      </w:pPr>
      <w:r>
        <w:rPr>
          <w:rFonts w:hint="eastAsia"/>
          <w:szCs w:val="21"/>
        </w:rPr>
        <w:t>主营（产）：</w:t>
      </w:r>
    </w:p>
    <w:p>
      <w:pPr>
        <w:spacing w:line="360" w:lineRule="auto"/>
        <w:rPr>
          <w:szCs w:val="21"/>
        </w:rPr>
      </w:pPr>
      <w:r>
        <w:rPr>
          <w:rFonts w:hint="eastAsia"/>
          <w:szCs w:val="21"/>
        </w:rPr>
        <w:t>兼营（产）：</w:t>
      </w:r>
    </w:p>
    <w:p>
      <w:pPr>
        <w:spacing w:line="360" w:lineRule="auto"/>
        <w:rPr>
          <w:szCs w:val="21"/>
        </w:rPr>
      </w:pPr>
    </w:p>
    <w:p>
      <w:pPr>
        <w:spacing w:line="360" w:lineRule="auto"/>
        <w:rPr>
          <w:szCs w:val="21"/>
        </w:rPr>
      </w:pPr>
      <w:r>
        <w:rPr>
          <w:rFonts w:hint="eastAsia"/>
          <w:szCs w:val="21"/>
        </w:rPr>
        <w:t>说明：1、法定代表人为企业事业单位、国家机关、社会团体的主要行政负责人。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rPr>
          <w:b/>
          <w:bCs/>
          <w:sz w:val="24"/>
        </w:rPr>
      </w:pPr>
    </w:p>
    <w:p>
      <w:pPr>
        <w:pStyle w:val="3"/>
        <w:spacing w:before="120" w:after="120"/>
        <w:jc w:val="center"/>
        <w:rPr>
          <w:rFonts w:ascii="黑体" w:eastAsia="黑体"/>
          <w:b w:val="0"/>
          <w:kern w:val="0"/>
          <w:sz w:val="24"/>
        </w:rPr>
      </w:pPr>
      <w:r>
        <w:rPr>
          <w:rFonts w:hint="eastAsia" w:ascii="黑体" w:eastAsia="黑体"/>
          <w:b w:val="0"/>
          <w:kern w:val="0"/>
          <w:sz w:val="24"/>
        </w:rPr>
        <w:t>二、投标文件签署授权委托书</w:t>
      </w:r>
    </w:p>
    <w:p>
      <w:pPr>
        <w:spacing w:line="360" w:lineRule="auto"/>
        <w:ind w:firstLine="420" w:firstLineChars="200"/>
        <w:rPr>
          <w:szCs w:val="21"/>
        </w:rPr>
      </w:pPr>
      <w:r>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pPr>
        <w:pStyle w:val="7"/>
        <w:spacing w:line="360" w:lineRule="auto"/>
        <w:rPr>
          <w:szCs w:val="21"/>
        </w:rPr>
      </w:pPr>
      <w:r>
        <w:rPr>
          <w:rFonts w:hint="eastAsia"/>
          <w:szCs w:val="21"/>
        </w:rPr>
        <w:t>有效期限：与本公司投标文件中标注的投标有效期相同，自法人代表签字之日起生效。</w:t>
      </w:r>
    </w:p>
    <w:p>
      <w:pPr>
        <w:pStyle w:val="7"/>
        <w:spacing w:line="360" w:lineRule="auto"/>
        <w:rPr>
          <w:szCs w:val="21"/>
        </w:rPr>
      </w:pPr>
      <w:r>
        <w:rPr>
          <w:rFonts w:hint="eastAsia"/>
          <w:szCs w:val="21"/>
        </w:rPr>
        <w:t>代理人无转委托权，特此委托。</w:t>
      </w:r>
    </w:p>
    <w:p>
      <w:pPr>
        <w:pStyle w:val="7"/>
        <w:spacing w:line="360" w:lineRule="auto"/>
        <w:rPr>
          <w:szCs w:val="21"/>
        </w:rPr>
      </w:pPr>
    </w:p>
    <w:p>
      <w:pPr>
        <w:spacing w:line="360" w:lineRule="auto"/>
        <w:ind w:left="540" w:leftChars="257"/>
        <w:rPr>
          <w:szCs w:val="21"/>
          <w:u w:val="single"/>
        </w:rPr>
      </w:pPr>
      <w:r>
        <w:rPr>
          <w:rFonts w:hint="eastAsia"/>
          <w:szCs w:val="21"/>
        </w:rPr>
        <w:t>代理人：职务：</w:t>
      </w:r>
    </w:p>
    <w:p>
      <w:pPr>
        <w:spacing w:line="360" w:lineRule="auto"/>
        <w:ind w:left="540" w:leftChars="257"/>
        <w:rPr>
          <w:szCs w:val="21"/>
        </w:rPr>
      </w:pPr>
      <w:r>
        <w:rPr>
          <w:rFonts w:hint="eastAsia"/>
          <w:szCs w:val="21"/>
        </w:rPr>
        <w:t>联系电话：</w:t>
      </w:r>
    </w:p>
    <w:p>
      <w:pPr>
        <w:spacing w:line="360" w:lineRule="auto"/>
        <w:ind w:left="540" w:leftChars="257"/>
        <w:rPr>
          <w:szCs w:val="21"/>
          <w:u w:val="single"/>
        </w:rPr>
      </w:pPr>
      <w:r>
        <w:rPr>
          <w:rFonts w:hint="eastAsia"/>
          <w:szCs w:val="21"/>
        </w:rPr>
        <w:t>身份证号码：</w:t>
      </w:r>
    </w:p>
    <w:p>
      <w:pPr>
        <w:spacing w:line="360" w:lineRule="auto"/>
        <w:ind w:left="540" w:leftChars="257"/>
        <w:rPr>
          <w:szCs w:val="21"/>
        </w:rPr>
      </w:pPr>
    </w:p>
    <w:p>
      <w:pPr>
        <w:spacing w:line="360" w:lineRule="auto"/>
        <w:ind w:left="540" w:leftChars="257"/>
        <w:rPr>
          <w:szCs w:val="21"/>
        </w:rPr>
      </w:pPr>
      <w:r>
        <w:rPr>
          <w:rFonts w:hint="eastAsia"/>
          <w:szCs w:val="21"/>
        </w:rPr>
        <w:t>投标人（公司名称）：（公章）</w:t>
      </w:r>
    </w:p>
    <w:p>
      <w:pPr>
        <w:spacing w:line="360" w:lineRule="auto"/>
        <w:ind w:left="540" w:leftChars="257"/>
        <w:rPr>
          <w:szCs w:val="21"/>
        </w:rPr>
      </w:pPr>
      <w:r>
        <w:rPr>
          <w:rFonts w:hint="eastAsia"/>
          <w:szCs w:val="21"/>
        </w:rPr>
        <w:t>法定代表人：（签名或</w:t>
      </w:r>
      <w:r>
        <w:rPr>
          <w:szCs w:val="21"/>
        </w:rPr>
        <w:t>签章</w:t>
      </w:r>
      <w:r>
        <w:rPr>
          <w:rFonts w:hint="eastAsia"/>
          <w:szCs w:val="21"/>
        </w:rPr>
        <w:t>）</w:t>
      </w:r>
    </w:p>
    <w:p>
      <w:pPr>
        <w:spacing w:line="360" w:lineRule="auto"/>
        <w:ind w:left="540" w:leftChars="257"/>
        <w:rPr>
          <w:szCs w:val="21"/>
        </w:rPr>
      </w:pPr>
      <w:r>
        <w:rPr>
          <w:rFonts w:hint="eastAsia"/>
          <w:szCs w:val="21"/>
        </w:rPr>
        <w:t>授权委托日期：年月日</w:t>
      </w:r>
    </w:p>
    <w:p/>
    <w:p>
      <w:r>
        <w:br w:type="page"/>
      </w:r>
    </w:p>
    <w:p>
      <w:pPr>
        <w:pStyle w:val="3"/>
        <w:jc w:val="center"/>
        <w:rPr>
          <w:rFonts w:ascii="黑体" w:eastAsia="黑体"/>
          <w:b w:val="0"/>
          <w:sz w:val="24"/>
          <w:szCs w:val="24"/>
        </w:rPr>
      </w:pPr>
      <w:r>
        <w:rPr>
          <w:rFonts w:hint="eastAsia" w:ascii="黑体" w:eastAsia="黑体"/>
          <w:b w:val="0"/>
          <w:sz w:val="24"/>
          <w:szCs w:val="24"/>
        </w:rPr>
        <w:t>三、项目实施方案</w:t>
      </w:r>
    </w:p>
    <w:p>
      <w:pPr>
        <w:rPr>
          <w:sz w:val="24"/>
        </w:rPr>
      </w:pPr>
      <w:r>
        <w:rPr>
          <w:rFonts w:hint="eastAsia"/>
          <w:sz w:val="24"/>
        </w:rPr>
        <w:t>主要内容应包括(根据项目实际情况适当调整内容)：</w:t>
      </w:r>
    </w:p>
    <w:p>
      <w:pPr>
        <w:rPr>
          <w:sz w:val="24"/>
        </w:rPr>
      </w:pPr>
    </w:p>
    <w:p>
      <w:pPr>
        <w:rPr>
          <w:sz w:val="24"/>
        </w:rPr>
      </w:pPr>
      <w:r>
        <w:rPr>
          <w:rFonts w:hint="eastAsia"/>
          <w:sz w:val="24"/>
        </w:rPr>
        <w:t>1、项目交货期、实施进度表</w:t>
      </w:r>
    </w:p>
    <w:p>
      <w:pPr>
        <w:rPr>
          <w:sz w:val="24"/>
        </w:rPr>
      </w:pPr>
      <w:r>
        <w:rPr>
          <w:rFonts w:hint="eastAsia"/>
          <w:sz w:val="24"/>
        </w:rPr>
        <w:t>2、相关配套措施</w:t>
      </w:r>
    </w:p>
    <w:p>
      <w:pPr>
        <w:rPr>
          <w:b/>
          <w:bCs/>
          <w:color w:val="FF0000"/>
          <w:sz w:val="24"/>
        </w:rPr>
      </w:pPr>
      <w:r>
        <w:rPr>
          <w:rFonts w:hint="eastAsia"/>
          <w:b/>
          <w:bCs/>
          <w:color w:val="FF0000"/>
          <w:sz w:val="24"/>
        </w:rPr>
        <w:t>（备注：该部分须与“技术保障措施”、“施工安全保障措施”、“商务需求”等部分承诺的内容相呼应，不得前后矛盾。）</w:t>
      </w:r>
    </w:p>
    <w:p>
      <w:pPr>
        <w:rPr>
          <w:b/>
          <w:bCs/>
          <w:sz w:val="24"/>
        </w:rPr>
      </w:pPr>
    </w:p>
    <w:p>
      <w:pPr>
        <w:pStyle w:val="3"/>
        <w:jc w:val="center"/>
        <w:rPr>
          <w:rFonts w:ascii="黑体" w:eastAsia="黑体"/>
          <w:b w:val="0"/>
          <w:sz w:val="24"/>
          <w:szCs w:val="24"/>
        </w:rPr>
      </w:pPr>
      <w:r>
        <w:rPr>
          <w:rFonts w:hint="eastAsia" w:ascii="黑体" w:eastAsia="黑体"/>
          <w:b w:val="0"/>
          <w:sz w:val="24"/>
          <w:szCs w:val="24"/>
        </w:rPr>
        <w:t>四、售后服务方案</w:t>
      </w:r>
    </w:p>
    <w:p>
      <w:pPr>
        <w:rPr>
          <w:sz w:val="24"/>
        </w:rPr>
      </w:pPr>
    </w:p>
    <w:p>
      <w:pPr>
        <w:rPr>
          <w:sz w:val="24"/>
        </w:rPr>
      </w:pPr>
      <w:r>
        <w:rPr>
          <w:rFonts w:hint="eastAsia"/>
          <w:sz w:val="24"/>
        </w:rPr>
        <w:t>主要内容应包括(根据项目实际情况适当调整内容)：</w:t>
      </w:r>
    </w:p>
    <w:p>
      <w:pPr>
        <w:rPr>
          <w:sz w:val="24"/>
        </w:rPr>
      </w:pPr>
      <w:r>
        <w:rPr>
          <w:sz w:val="24"/>
        </w:rPr>
        <w:t>1</w:t>
      </w:r>
      <w:r>
        <w:rPr>
          <w:rFonts w:hint="eastAsia"/>
          <w:sz w:val="24"/>
        </w:rPr>
        <w:t>、免费保修期；</w:t>
      </w:r>
    </w:p>
    <w:p>
      <w:pPr>
        <w:rPr>
          <w:sz w:val="24"/>
        </w:rPr>
      </w:pPr>
      <w:r>
        <w:rPr>
          <w:sz w:val="24"/>
        </w:rPr>
        <w:t>2</w:t>
      </w:r>
      <w:r>
        <w:rPr>
          <w:rFonts w:hint="eastAsia"/>
          <w:sz w:val="24"/>
        </w:rPr>
        <w:t>、故障或技术支持响应时间；</w:t>
      </w:r>
    </w:p>
    <w:p>
      <w:pPr>
        <w:rPr>
          <w:sz w:val="24"/>
        </w:rPr>
      </w:pPr>
      <w:r>
        <w:rPr>
          <w:sz w:val="24"/>
        </w:rPr>
        <w:t>3</w:t>
      </w:r>
      <w:r>
        <w:rPr>
          <w:rFonts w:hint="eastAsia"/>
          <w:sz w:val="24"/>
        </w:rPr>
        <w:t>、投标人承诺的其他维修维护方案、措施</w:t>
      </w:r>
    </w:p>
    <w:p>
      <w:pPr>
        <w:rPr>
          <w:sz w:val="24"/>
        </w:rPr>
      </w:pPr>
      <w:r>
        <w:rPr>
          <w:sz w:val="24"/>
        </w:rPr>
        <w:t>4</w:t>
      </w:r>
      <w:r>
        <w:rPr>
          <w:rFonts w:hint="eastAsia"/>
          <w:sz w:val="24"/>
        </w:rPr>
        <w:t>、质量保证及违约承诺。</w:t>
      </w:r>
    </w:p>
    <w:p>
      <w:pPr>
        <w:rPr>
          <w:b/>
          <w:color w:val="FF0000"/>
          <w:sz w:val="24"/>
        </w:rPr>
      </w:pPr>
      <w:r>
        <w:rPr>
          <w:rFonts w:hint="eastAsia"/>
          <w:b/>
          <w:color w:val="FF0000"/>
          <w:sz w:val="24"/>
        </w:rPr>
        <w:t>（备注：该部分须与“商务需求”承诺的内容相呼应，不得前后矛盾。）</w:t>
      </w:r>
    </w:p>
    <w:p/>
    <w:p>
      <w:r>
        <w:br w:type="page"/>
      </w:r>
    </w:p>
    <w:p>
      <w:pPr>
        <w:pStyle w:val="5"/>
        <w:rPr>
          <w:kern w:val="2"/>
          <w:sz w:val="32"/>
          <w:szCs w:val="32"/>
        </w:rPr>
      </w:pPr>
      <w:r>
        <w:rPr>
          <w:rFonts w:hint="eastAsia"/>
          <w:kern w:val="2"/>
          <w:sz w:val="32"/>
          <w:szCs w:val="32"/>
        </w:rPr>
        <w:t>第四章 合同条款及格式（仅供参考）</w:t>
      </w:r>
    </w:p>
    <w:p>
      <w:pPr>
        <w:pStyle w:val="4"/>
        <w:jc w:val="center"/>
      </w:pPr>
      <w:r>
        <w:rPr>
          <w:rFonts w:hint="eastAsia"/>
        </w:rPr>
        <w:t>有专业类别的格式合同范本请选择相应的合同</w:t>
      </w:r>
    </w:p>
    <w:p>
      <w:pPr>
        <w:pStyle w:val="5"/>
        <w:rPr>
          <w:kern w:val="2"/>
        </w:rPr>
      </w:pPr>
      <w:r>
        <w:rPr>
          <w:rFonts w:hint="eastAsia"/>
        </w:rPr>
        <w:t>一、</w:t>
      </w:r>
      <w:r>
        <w:rPr>
          <w:rFonts w:hint="eastAsia"/>
          <w:kern w:val="2"/>
        </w:rPr>
        <w:t>合同条款及格式</w:t>
      </w:r>
    </w:p>
    <w:p>
      <w:pPr>
        <w:jc w:val="center"/>
        <w:rPr>
          <w:b/>
          <w:sz w:val="24"/>
        </w:rPr>
      </w:pPr>
      <w:r>
        <w:rPr>
          <w:rFonts w:hint="eastAsia"/>
          <w:b/>
          <w:sz w:val="24"/>
        </w:rPr>
        <w:t>（仅供参考）</w:t>
      </w:r>
    </w:p>
    <w:p>
      <w:pPr>
        <w:jc w:val="left"/>
        <w:rPr>
          <w:szCs w:val="21"/>
        </w:rPr>
      </w:pPr>
      <w:r>
        <w:rPr>
          <w:rFonts w:hint="eastAsia"/>
          <w:szCs w:val="21"/>
        </w:rPr>
        <w:t>采购人：</w:t>
      </w:r>
    </w:p>
    <w:p>
      <w:pPr>
        <w:jc w:val="left"/>
        <w:rPr>
          <w:szCs w:val="21"/>
        </w:rPr>
      </w:pPr>
      <w:r>
        <w:rPr>
          <w:rFonts w:hint="eastAsia"/>
          <w:szCs w:val="21"/>
        </w:rPr>
        <w:t>供应商：</w:t>
      </w:r>
    </w:p>
    <w:p>
      <w:pPr>
        <w:jc w:val="left"/>
        <w:rPr>
          <w:sz w:val="24"/>
        </w:rPr>
      </w:pPr>
    </w:p>
    <w:p>
      <w:pPr>
        <w:spacing w:line="360" w:lineRule="auto"/>
        <w:ind w:firstLine="560"/>
        <w:jc w:val="left"/>
        <w:rPr>
          <w:szCs w:val="21"/>
        </w:rPr>
      </w:pPr>
      <w:r>
        <w:rPr>
          <w:rFonts w:hint="eastAsia"/>
          <w:szCs w:val="21"/>
        </w:rPr>
        <w:t>根据深圳大学</w:t>
      </w:r>
      <w:r>
        <w:rPr>
          <w:szCs w:val="21"/>
        </w:rPr>
        <w:t>招投标管理中心</w:t>
      </w:r>
      <w:r>
        <w:rPr>
          <w:rFonts w:hint="eastAsia"/>
          <w:szCs w:val="21"/>
        </w:rPr>
        <w:t>号招标项目的投标结果，由单位为中标方。按照《中华人民共和国合同法》和《深圳经济特区政府采购条例》，经深圳大学（以下简称甲方）和单位（以下简称乙方）协商，达成以下合同条款：</w:t>
      </w:r>
    </w:p>
    <w:p>
      <w:pPr>
        <w:spacing w:line="360" w:lineRule="auto"/>
        <w:ind w:firstLine="560"/>
        <w:jc w:val="left"/>
        <w:rPr>
          <w:b/>
          <w:szCs w:val="21"/>
        </w:rPr>
      </w:pPr>
      <w:r>
        <w:rPr>
          <w:rFonts w:hint="eastAsia"/>
          <w:b/>
          <w:szCs w:val="21"/>
        </w:rPr>
        <w:t>第一条合同标的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rPr>
          <w:b/>
          <w:szCs w:val="21"/>
        </w:rPr>
      </w:pPr>
      <w:r>
        <w:rPr>
          <w:rFonts w:hint="eastAsia"/>
          <w:b/>
          <w:szCs w:val="21"/>
        </w:rPr>
        <w:t>第二条合同价款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spacing w:line="360" w:lineRule="auto"/>
        <w:ind w:firstLine="560"/>
        <w:jc w:val="left"/>
        <w:rPr>
          <w:b/>
          <w:szCs w:val="21"/>
        </w:rPr>
      </w:pPr>
      <w:r>
        <w:rPr>
          <w:rFonts w:hint="eastAsia"/>
          <w:b/>
          <w:szCs w:val="21"/>
        </w:rPr>
        <w:t>第三条权利保证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b/>
          <w:szCs w:val="21"/>
        </w:rPr>
      </w:pPr>
      <w:r>
        <w:rPr>
          <w:rFonts w:hint="eastAsia"/>
          <w:b/>
          <w:szCs w:val="21"/>
        </w:rPr>
        <w:t>第四条质量保证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第五条交货和验收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4、甲方应当在到货后的个工作日内对货物进行验收；需要乙方对货物或系统进行安装调试的，甲方应在货物安装调试完毕后的个工作日内进行质量验收。</w:t>
      </w:r>
    </w:p>
    <w:p>
      <w:pPr>
        <w:spacing w:line="360" w:lineRule="auto"/>
        <w:ind w:firstLine="560"/>
        <w:jc w:val="left"/>
        <w:rPr>
          <w:b/>
          <w:szCs w:val="21"/>
        </w:rPr>
      </w:pPr>
      <w:r>
        <w:rPr>
          <w:rFonts w:hint="eastAsia"/>
          <w:b/>
          <w:szCs w:val="21"/>
        </w:rPr>
        <w:t>第六条保修及其他服务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b/>
          <w:szCs w:val="21"/>
        </w:rPr>
      </w:pPr>
      <w:r>
        <w:rPr>
          <w:rFonts w:hint="eastAsia"/>
          <w:b/>
          <w:szCs w:val="21"/>
        </w:rPr>
        <w:t>第七条履约保证金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第八条货款支付</w:t>
      </w:r>
    </w:p>
    <w:p>
      <w:pPr>
        <w:spacing w:line="360" w:lineRule="auto"/>
        <w:ind w:firstLine="560"/>
        <w:jc w:val="left"/>
        <w:rPr>
          <w:szCs w:val="21"/>
        </w:rPr>
      </w:pPr>
    </w:p>
    <w:p>
      <w:pPr>
        <w:spacing w:line="360" w:lineRule="auto"/>
        <w:ind w:firstLine="560"/>
        <w:jc w:val="left"/>
        <w:rPr>
          <w:b/>
          <w:szCs w:val="21"/>
        </w:rPr>
      </w:pPr>
      <w:r>
        <w:rPr>
          <w:rFonts w:hint="eastAsia"/>
          <w:b/>
          <w:szCs w:val="21"/>
        </w:rPr>
        <w:t>第九条违约责任</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4、乙方所交付的货物品种、型号、规格不符合合同规定的，甲方有权拒收。甲方拒收的，乙方应向甲方支付货款总额【】%的违约金。</w:t>
      </w:r>
    </w:p>
    <w:p>
      <w:pPr>
        <w:spacing w:line="360" w:lineRule="auto"/>
        <w:ind w:firstLine="560"/>
        <w:jc w:val="left"/>
        <w:rPr>
          <w:rFonts w:ascii="宋体" w:hAnsi="宋体"/>
          <w:szCs w:val="21"/>
        </w:rPr>
      </w:pPr>
      <w:r>
        <w:rPr>
          <w:rFonts w:hint="eastAsia" w:ascii="宋体" w:hAnsi="宋体"/>
          <w:szCs w:val="21"/>
        </w:rPr>
        <w:t>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b/>
          <w:szCs w:val="21"/>
        </w:rPr>
      </w:pPr>
      <w:r>
        <w:rPr>
          <w:rFonts w:hint="eastAsia"/>
          <w:b/>
          <w:szCs w:val="21"/>
        </w:rPr>
        <w:t>第十条合同的变更和终止</w:t>
      </w:r>
    </w:p>
    <w:p>
      <w:pPr>
        <w:spacing w:line="360" w:lineRule="auto"/>
        <w:ind w:firstLine="560"/>
        <w:jc w:val="left"/>
        <w:rPr>
          <w:rFonts w:ascii="宋体" w:hAnsi="宋体"/>
          <w:szCs w:val="21"/>
        </w:rPr>
      </w:pPr>
      <w:r>
        <w:rPr>
          <w:rFonts w:hint="eastAsia" w:ascii="宋体" w:hAnsi="宋体"/>
          <w:szCs w:val="21"/>
        </w:rPr>
        <w:t>除《中华人民共和国政府采购法》第４９条、第５０条第二款规定的情形外，本合同一经签订，甲乙双方不得擅自变更、中止或终止合同。</w:t>
      </w:r>
    </w:p>
    <w:p>
      <w:pPr>
        <w:spacing w:line="360" w:lineRule="auto"/>
        <w:ind w:firstLine="560"/>
        <w:jc w:val="left"/>
        <w:rPr>
          <w:b/>
          <w:szCs w:val="21"/>
        </w:rPr>
      </w:pPr>
      <w:r>
        <w:rPr>
          <w:rFonts w:hint="eastAsia"/>
          <w:b/>
          <w:szCs w:val="21"/>
        </w:rPr>
        <w:t>第十一条争议的解决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b/>
          <w:szCs w:val="21"/>
        </w:rPr>
      </w:pPr>
      <w:r>
        <w:rPr>
          <w:rFonts w:hint="eastAsia"/>
          <w:b/>
          <w:szCs w:val="21"/>
        </w:rPr>
        <w:t>第十二条合同生效及其他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r>
        <w:br w:type="page"/>
      </w:r>
    </w:p>
    <w:p>
      <w:pPr>
        <w:pStyle w:val="5"/>
        <w:rPr>
          <w:kern w:val="2"/>
          <w:sz w:val="32"/>
          <w:szCs w:val="32"/>
        </w:rPr>
      </w:pPr>
      <w:r>
        <w:rPr>
          <w:rFonts w:hint="eastAsia"/>
          <w:kern w:val="2"/>
          <w:sz w:val="32"/>
          <w:szCs w:val="32"/>
        </w:rPr>
        <w:t>第五章  深圳大学采购履约情况反馈表</w:t>
      </w:r>
    </w:p>
    <w:p>
      <w:pPr>
        <w:spacing w:line="240" w:lineRule="atLeast"/>
        <w:rPr>
          <w:rFonts w:ascii="宋体" w:hAnsi="宋体"/>
          <w:b/>
          <w:szCs w:val="21"/>
        </w:rPr>
      </w:pPr>
      <w:r>
        <w:rPr>
          <w:rFonts w:hint="eastAsia" w:ascii="宋体" w:hAnsi="宋体"/>
          <w:b/>
          <w:szCs w:val="21"/>
        </w:rPr>
        <w:t>采购单位名称：                       联系人及电话：</w:t>
      </w:r>
    </w:p>
    <w:p>
      <w:pPr>
        <w:spacing w:line="60" w:lineRule="exact"/>
        <w:rPr>
          <w:rFonts w:ascii="宋体" w:hAnsi="宋体"/>
          <w:b/>
          <w:szCs w:val="21"/>
        </w:rPr>
      </w:pPr>
    </w:p>
    <w:tbl>
      <w:tblPr>
        <w:tblStyle w:val="5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120" w:beforeLines="50" w:after="120" w:afterLines="50" w:line="240" w:lineRule="atLeast"/>
              <w:rPr>
                <w:rFonts w:ascii="宋体" w:hAnsi="宋体"/>
                <w:szCs w:val="21"/>
                <w:u w:val="single"/>
              </w:rPr>
            </w:pPr>
            <w:r>
              <w:rPr>
                <w:rFonts w:hint="eastAsia" w:ascii="宋体" w:hAnsi="宋体"/>
                <w:szCs w:val="21"/>
              </w:rPr>
              <w:t>评价内容为：</w:t>
            </w:r>
          </w:p>
          <w:p>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3"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采购单位意见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1、本表为采购单位向深圳大学招投标管理中心反映采购项目履约情况时所用；</w:t>
      </w:r>
    </w:p>
    <w:p>
      <w:pPr>
        <w:spacing w:line="240" w:lineRule="atLeast"/>
        <w:rPr>
          <w:rFonts w:ascii="宋体" w:hAnsi="宋体"/>
          <w:szCs w:val="21"/>
        </w:rPr>
      </w:pPr>
      <w:r>
        <w:rPr>
          <w:rFonts w:hint="eastAsia" w:ascii="宋体" w:hAnsi="宋体"/>
          <w:szCs w:val="21"/>
        </w:rPr>
        <w:t>2、履约情况评价分为优、良、中、差四个等级，请在对应的框前打“√”，然后在“具体情况说明”一栏详细说明有关情况。</w:t>
      </w:r>
    </w:p>
    <w:p>
      <w:pPr>
        <w:spacing w:line="240" w:lineRule="atLeast"/>
        <w:rPr>
          <w:rFonts w:ascii="宋体" w:hAnsi="宋体"/>
          <w:szCs w:val="21"/>
        </w:rPr>
      </w:pPr>
    </w:p>
    <w:p>
      <w:pPr>
        <w:pStyle w:val="2"/>
      </w:pPr>
      <w:r>
        <w:rPr>
          <w:rFonts w:hint="eastAsia"/>
        </w:rPr>
        <w:t>第二册通用条款（公开招标）</w:t>
      </w:r>
    </w:p>
    <w:p>
      <w:pPr>
        <w:jc w:val="center"/>
        <w:rPr>
          <w:rFonts w:ascii="宋体" w:hAnsi="宋体"/>
          <w:b/>
          <w:color w:val="FF0000"/>
          <w:sz w:val="28"/>
          <w:szCs w:val="28"/>
        </w:rPr>
      </w:pPr>
      <w:r>
        <w:rPr>
          <w:rFonts w:hint="eastAsia" w:ascii="宋体" w:hAnsi="宋体"/>
          <w:b/>
          <w:color w:val="FF0000"/>
          <w:sz w:val="28"/>
          <w:szCs w:val="28"/>
        </w:rPr>
        <w:t>（</w:t>
      </w:r>
      <w:r>
        <w:rPr>
          <w:rFonts w:ascii="宋体" w:hAnsi="宋体"/>
          <w:b/>
          <w:color w:val="FF0000"/>
          <w:sz w:val="28"/>
          <w:szCs w:val="28"/>
        </w:rPr>
        <w:t>1</w:t>
      </w:r>
      <w:r>
        <w:rPr>
          <w:rFonts w:hint="eastAsia" w:ascii="宋体" w:hAnsi="宋体"/>
          <w:b/>
          <w:color w:val="FF0000"/>
          <w:sz w:val="28"/>
          <w:szCs w:val="28"/>
        </w:rPr>
        <w:t>.4.</w:t>
      </w:r>
      <w:r>
        <w:rPr>
          <w:rFonts w:ascii="宋体" w:hAnsi="宋体"/>
          <w:b/>
          <w:color w:val="FF0000"/>
          <w:sz w:val="28"/>
          <w:szCs w:val="28"/>
        </w:rPr>
        <w:t>1</w:t>
      </w:r>
      <w:r>
        <w:rPr>
          <w:rFonts w:hint="eastAsia" w:ascii="宋体" w:hAnsi="宋体"/>
          <w:b/>
          <w:color w:val="FF0000"/>
          <w:sz w:val="28"/>
          <w:szCs w:val="28"/>
        </w:rPr>
        <w:t>版本）</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rPr>
      </w:pPr>
      <w:r>
        <w:rPr>
          <w:rFonts w:hint="eastAsia" w:ascii="黑体" w:hAnsi="宋体" w:eastAsia="黑体"/>
          <w:sz w:val="24"/>
        </w:rPr>
        <w:t>1.通用条款说明</w:t>
      </w:r>
    </w:p>
    <w:p>
      <w:pPr>
        <w:ind w:firstLine="411" w:firstLineChars="196"/>
        <w:rPr>
          <w:rFonts w:ascii="宋体" w:hAnsi="宋体"/>
          <w:szCs w:val="21"/>
        </w:rPr>
      </w:pPr>
      <w:r>
        <w:rPr>
          <w:rFonts w:hint="eastAsia" w:ascii="宋体" w:hAnsi="宋体"/>
          <w:szCs w:val="21"/>
        </w:rPr>
        <w:t>1.1深圳大学招投标</w:t>
      </w:r>
      <w:r>
        <w:rPr>
          <w:rFonts w:ascii="宋体" w:hAnsi="宋体"/>
          <w:szCs w:val="21"/>
        </w:rPr>
        <w:t>管理中心</w:t>
      </w:r>
      <w:r>
        <w:rPr>
          <w:rFonts w:hint="eastAsia" w:ascii="宋体" w:hAnsi="宋体"/>
          <w:szCs w:val="21"/>
        </w:rPr>
        <w:t>发出招标文件通用条款版本，列出深圳大学采购项目进行招标采购所适用的通用条款内容。如有需要，深圳大学</w:t>
      </w:r>
      <w:r>
        <w:rPr>
          <w:rFonts w:ascii="宋体" w:hAnsi="宋体"/>
          <w:szCs w:val="21"/>
        </w:rPr>
        <w:t>招投标管理中心</w:t>
      </w:r>
      <w:r>
        <w:rPr>
          <w:rFonts w:hint="eastAsia" w:ascii="宋体" w:hAnsi="宋体"/>
          <w:szCs w:val="21"/>
        </w:rPr>
        <w:t>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 《深圳经济特区</w:t>
      </w:r>
      <w:r>
        <w:rPr>
          <w:rFonts w:ascii="宋体" w:hAnsi="宋体"/>
          <w:szCs w:val="21"/>
        </w:rPr>
        <w:t>政府采购条例实施细则</w:t>
      </w:r>
      <w:r>
        <w:rPr>
          <w:rFonts w:hint="eastAsia" w:ascii="宋体" w:hAnsi="宋体"/>
          <w:szCs w:val="21"/>
        </w:rPr>
        <w:t>》和深圳大学</w:t>
      </w:r>
      <w:r>
        <w:rPr>
          <w:rFonts w:ascii="宋体" w:hAnsi="宋体"/>
          <w:szCs w:val="21"/>
        </w:rPr>
        <w:t>的</w:t>
      </w:r>
      <w:r>
        <w:rPr>
          <w:rFonts w:hint="eastAsia" w:ascii="宋体" w:hAnsi="宋体"/>
          <w:szCs w:val="21"/>
        </w:rPr>
        <w:t>有关</w:t>
      </w:r>
      <w:r>
        <w:rPr>
          <w:rFonts w:ascii="宋体" w:hAnsi="宋体"/>
          <w:szCs w:val="21"/>
        </w:rPr>
        <w:t>规定</w:t>
      </w:r>
      <w:r>
        <w:rPr>
          <w:rFonts w:hint="eastAsia" w:ascii="宋体" w:hAnsi="宋体"/>
          <w:szCs w:val="21"/>
        </w:rPr>
        <w:t>，并参考有关法规和规定通过招标方式</w:t>
      </w:r>
      <w:r>
        <w:rPr>
          <w:rFonts w:ascii="宋体" w:hAnsi="宋体"/>
          <w:szCs w:val="21"/>
        </w:rPr>
        <w:t>确定</w:t>
      </w:r>
      <w:r>
        <w:rPr>
          <w:rFonts w:hint="eastAsia" w:ascii="宋体" w:hAnsi="宋体"/>
          <w:szCs w:val="21"/>
        </w:rPr>
        <w:t>中标供应商。</w:t>
      </w:r>
    </w:p>
    <w:p>
      <w:pPr>
        <w:spacing w:line="360" w:lineRule="auto"/>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“学校采购机构”系指深圳大学</w:t>
      </w:r>
      <w:r>
        <w:rPr>
          <w:rFonts w:ascii="宋体" w:hAnsi="宋体"/>
          <w:szCs w:val="21"/>
        </w:rPr>
        <w:t>招投标管理中心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3.2“采购人”或“采购单位”：系指深圳大学</w:t>
      </w:r>
      <w:r>
        <w:rPr>
          <w:rFonts w:ascii="宋体" w:hAnsi="宋体"/>
          <w:szCs w:val="21"/>
        </w:rPr>
        <w:t>、深圳大学下属</w:t>
      </w:r>
      <w:r>
        <w:rPr>
          <w:rFonts w:hint="eastAsia" w:ascii="宋体" w:hAnsi="宋体"/>
          <w:szCs w:val="21"/>
        </w:rPr>
        <w:t xml:space="preserve">单位； </w:t>
      </w:r>
    </w:p>
    <w:p>
      <w:pPr>
        <w:ind w:firstLine="411" w:firstLineChars="196"/>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“评审委员会”和“谈判小组”是依据《深圳经济特区政府采购条例》、《深圳经济特区政府采购条例实施细则》和</w:t>
      </w:r>
      <w:r>
        <w:rPr>
          <w:rFonts w:ascii="宋体" w:hAnsi="宋体"/>
          <w:szCs w:val="21"/>
        </w:rPr>
        <w:t>深圳大学的</w:t>
      </w:r>
      <w:r>
        <w:rPr>
          <w:rFonts w:hint="eastAsia" w:ascii="宋体" w:hAnsi="宋体"/>
          <w:szCs w:val="21"/>
        </w:rPr>
        <w:t>有关规定组建的专门负责本次招标的评审（谈判）工作的临时性机构；</w:t>
      </w:r>
    </w:p>
    <w:p>
      <w:pPr>
        <w:ind w:firstLine="411" w:firstLineChars="196"/>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ascii="宋体" w:hAnsi="宋体"/>
          <w:szCs w:val="21"/>
        </w:rPr>
        <w:t>3.6“</w:t>
      </w:r>
      <w:r>
        <w:rPr>
          <w:rFonts w:hint="eastAsia" w:ascii="宋体" w:hAnsi="宋体"/>
          <w:szCs w:val="21"/>
        </w:rPr>
        <w:t>时间</w:t>
      </w:r>
      <w:r>
        <w:rPr>
          <w:rFonts w:ascii="宋体" w:hAnsi="宋体"/>
          <w:szCs w:val="21"/>
        </w:rPr>
        <w:t>”</w:t>
      </w:r>
      <w:r>
        <w:rPr>
          <w:rFonts w:hint="eastAsia" w:ascii="宋体" w:hAnsi="宋体"/>
          <w:szCs w:val="21"/>
        </w:rPr>
        <w:t>如未特别</w:t>
      </w:r>
      <w:r>
        <w:rPr>
          <w:rFonts w:ascii="宋体" w:hAnsi="宋体"/>
          <w:szCs w:val="21"/>
        </w:rPr>
        <w:t>说明，均</w:t>
      </w:r>
      <w:r>
        <w:rPr>
          <w:rFonts w:hint="eastAsia" w:ascii="宋体" w:hAnsi="宋体"/>
          <w:szCs w:val="21"/>
        </w:rPr>
        <w:t>为</w:t>
      </w:r>
      <w:r>
        <w:rPr>
          <w:rFonts w:ascii="宋体" w:hAnsi="宋体"/>
          <w:szCs w:val="21"/>
        </w:rPr>
        <w:t>北京时间；</w:t>
      </w:r>
    </w:p>
    <w:p>
      <w:pPr>
        <w:ind w:firstLine="411" w:firstLineChars="196"/>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“合同”指由本次招标所产生的合同或合约文件；</w:t>
      </w:r>
    </w:p>
    <w:p>
      <w:pPr>
        <w:ind w:firstLine="411" w:firstLineChars="196"/>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招标文件中的标题或题名仅起引导作用，而不应视为对招标文件内容的理解和解释。</w:t>
      </w:r>
    </w:p>
    <w:p>
      <w:pPr>
        <w:spacing w:line="360" w:lineRule="auto"/>
        <w:rPr>
          <w:rFonts w:ascii="黑体" w:hAnsi="宋体" w:eastAsia="黑体"/>
          <w:sz w:val="24"/>
        </w:rPr>
      </w:pPr>
      <w:r>
        <w:rPr>
          <w:rFonts w:hint="eastAsia" w:ascii="黑体" w:hAnsi="宋体" w:eastAsia="黑体"/>
          <w:sz w:val="24"/>
        </w:rPr>
        <w:t>4. 供应商责任</w:t>
      </w:r>
    </w:p>
    <w:p>
      <w:pPr>
        <w:ind w:firstLine="411" w:firstLineChars="196"/>
        <w:rPr>
          <w:rFonts w:ascii="宋体" w:hAnsi="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rPr>
      </w:pPr>
      <w:r>
        <w:rPr>
          <w:rFonts w:hint="eastAsia" w:ascii="黑体" w:hAnsi="宋体" w:eastAsia="黑体"/>
          <w:sz w:val="24"/>
        </w:rPr>
        <w:t>5．投标人参加深圳大学采购活动的条件</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rPr>
      </w:pPr>
      <w:r>
        <w:rPr>
          <w:rFonts w:hint="eastAsia" w:ascii="黑体" w:hAnsi="宋体" w:eastAsia="黑体"/>
          <w:sz w:val="24"/>
        </w:rPr>
        <w:t>6．联合体投标</w:t>
      </w:r>
    </w:p>
    <w:p>
      <w:pPr>
        <w:ind w:firstLine="411" w:firstLineChars="196"/>
        <w:rPr>
          <w:rFonts w:ascii="宋体" w:hAnsi="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（1）投标联合体各方参加深圳大学</w:t>
      </w:r>
      <w:r>
        <w:rPr>
          <w:rFonts w:ascii="宋体" w:hAnsi="宋体"/>
        </w:rPr>
        <w:t>的</w:t>
      </w:r>
      <w:r>
        <w:rPr>
          <w:rFonts w:hint="eastAsia" w:ascii="宋体" w:hAnsi="宋体"/>
        </w:rPr>
        <w:t>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w:t>
      </w:r>
      <w:r>
        <w:rPr>
          <w:rFonts w:ascii="宋体" w:hAnsi="宋体"/>
        </w:rPr>
        <w:t>7</w:t>
      </w:r>
      <w:r>
        <w:rPr>
          <w:rFonts w:hint="eastAsia" w:ascii="宋体" w:hAnsi="宋体"/>
        </w:rPr>
        <w:t xml:space="preserve">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rPr>
      </w:pPr>
      <w:r>
        <w:rPr>
          <w:rFonts w:hint="eastAsia" w:ascii="黑体" w:hAnsi="宋体" w:eastAsia="黑体"/>
          <w:sz w:val="24"/>
        </w:rPr>
        <w:t>9．踏勘现场</w:t>
      </w:r>
    </w:p>
    <w:p>
      <w:pPr>
        <w:ind w:firstLine="411" w:firstLineChars="196"/>
        <w:rPr>
          <w:rFonts w:ascii="宋体" w:hAnsi="宋体"/>
        </w:rPr>
      </w:pPr>
      <w:r>
        <w:rPr>
          <w:rFonts w:hint="eastAsia" w:ascii="宋体" w:hAnsi="宋体"/>
        </w:rPr>
        <w:t>9.1如有需要（详见专用条款），学校</w:t>
      </w:r>
      <w:r>
        <w:rPr>
          <w:rFonts w:ascii="宋体" w:hAnsi="宋体"/>
        </w:rPr>
        <w:t>采购机构</w:t>
      </w:r>
      <w:r>
        <w:rPr>
          <w:rFonts w:hint="eastAsia" w:ascii="宋体" w:hAnsi="宋体"/>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w:t>
      </w:r>
      <w:r>
        <w:rPr>
          <w:rFonts w:ascii="宋体" w:hAnsi="宋体"/>
        </w:rPr>
        <w:t>口头承诺</w:t>
      </w:r>
      <w:r>
        <w:rPr>
          <w:rFonts w:hint="eastAsia" w:ascii="宋体" w:hAnsi="宋体"/>
        </w:rPr>
        <w:t>，未经学校采购机构在网上发布或书面通知，均作无效处理。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w:t>
      </w:r>
      <w:r>
        <w:rPr>
          <w:rFonts w:ascii="宋体" w:hAnsi="宋体"/>
          <w:szCs w:val="21"/>
        </w:rPr>
        <w:t>.3</w:t>
      </w:r>
      <w:r>
        <w:rPr>
          <w:rFonts w:hint="eastAsia" w:ascii="宋体" w:hAnsi="宋体"/>
          <w:szCs w:val="21"/>
        </w:rPr>
        <w:t>、13</w:t>
      </w:r>
      <w:r>
        <w:rPr>
          <w:rFonts w:ascii="宋体" w:hAnsi="宋体"/>
          <w:szCs w:val="21"/>
        </w:rPr>
        <w:t>.4</w:t>
      </w:r>
      <w:r>
        <w:rPr>
          <w:rFonts w:hint="eastAsia" w:ascii="宋体" w:hAnsi="宋体"/>
          <w:szCs w:val="21"/>
        </w:rPr>
        <w:t>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rPr>
      </w:pP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rPr>
      </w:pPr>
      <w:r>
        <w:rPr>
          <w:rFonts w:hint="eastAsia" w:ascii="黑体" w:hAnsi="宋体" w:eastAsia="黑体"/>
          <w:sz w:val="24"/>
        </w:rPr>
        <w:t>11．招标文件的编制与组成</w:t>
      </w:r>
    </w:p>
    <w:p>
      <w:pPr>
        <w:snapToGrid w:val="0"/>
        <w:ind w:firstLine="420" w:firstLineChars="200"/>
        <w:rPr>
          <w:rFonts w:ascii="宋体" w:hAnsi="宋体"/>
          <w:szCs w:val="21"/>
        </w:rPr>
      </w:pPr>
      <w:r>
        <w:rPr>
          <w:rFonts w:hint="eastAsia" w:ascii="宋体" w:hAnsi="宋体"/>
          <w:szCs w:val="21"/>
        </w:rPr>
        <w:t>11.1招标文件除以下内容外，学校采购机构在招标（或谈判）期间发出的答疑、</w:t>
      </w:r>
      <w:r>
        <w:rPr>
          <w:rFonts w:ascii="宋体" w:hAnsi="宋体"/>
          <w:szCs w:val="21"/>
        </w:rPr>
        <w:t>澄清</w:t>
      </w:r>
      <w:r>
        <w:rPr>
          <w:rFonts w:hint="eastAsia" w:ascii="宋体" w:hAnsi="宋体"/>
          <w:szCs w:val="21"/>
        </w:rPr>
        <w:t>或修改等</w:t>
      </w:r>
      <w:r>
        <w:rPr>
          <w:rFonts w:ascii="宋体" w:hAnsi="宋体"/>
          <w:szCs w:val="21"/>
        </w:rPr>
        <w:t>相关公告或通知内容</w:t>
      </w:r>
      <w:r>
        <w:rPr>
          <w:rFonts w:hint="eastAsia" w:ascii="宋体" w:hAnsi="宋体"/>
          <w:szCs w:val="21"/>
        </w:rPr>
        <w:t>，均是招标文件的组成部分，对投标人起约束作用；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3" w:firstLineChars="196"/>
        <w:rPr>
          <w:rFonts w:ascii="宋体" w:hAnsi="宋体"/>
          <w:b/>
          <w:szCs w:val="21"/>
        </w:rPr>
      </w:pPr>
      <w:r>
        <w:rPr>
          <w:rFonts w:hint="eastAsia" w:ascii="宋体" w:hAnsi="宋体"/>
          <w:b/>
          <w:szCs w:val="21"/>
        </w:rPr>
        <w:t>第二册  通用条款</w:t>
      </w:r>
    </w:p>
    <w:p>
      <w:pPr>
        <w:numPr>
          <w:ilvl w:val="1"/>
          <w:numId w:val="0"/>
        </w:numPr>
        <w:tabs>
          <w:tab w:val="left" w:pos="360"/>
        </w:tabs>
        <w:ind w:firstLine="1079" w:firstLineChars="514"/>
        <w:rPr>
          <w:szCs w:val="21"/>
        </w:rPr>
      </w:pPr>
      <w:r>
        <w:rPr>
          <w:rFonts w:hint="eastAsia"/>
          <w:szCs w:val="21"/>
        </w:rPr>
        <w:t>第一章总则</w:t>
      </w:r>
    </w:p>
    <w:p>
      <w:pPr>
        <w:numPr>
          <w:ilvl w:val="1"/>
          <w:numId w:val="0"/>
        </w:numPr>
        <w:tabs>
          <w:tab w:val="left" w:pos="360"/>
        </w:tabs>
        <w:ind w:firstLine="1079" w:firstLineChars="514"/>
        <w:rPr>
          <w:szCs w:val="21"/>
        </w:rPr>
      </w:pPr>
      <w:r>
        <w:rPr>
          <w:rFonts w:hint="eastAsia"/>
          <w:szCs w:val="21"/>
        </w:rPr>
        <w:t>第二章招标文件</w:t>
      </w:r>
    </w:p>
    <w:p>
      <w:pPr>
        <w:numPr>
          <w:ilvl w:val="1"/>
          <w:numId w:val="0"/>
        </w:numPr>
        <w:tabs>
          <w:tab w:val="left" w:pos="360"/>
        </w:tabs>
        <w:ind w:firstLine="1079" w:firstLineChars="514"/>
        <w:rPr>
          <w:szCs w:val="21"/>
        </w:rPr>
      </w:pPr>
      <w:r>
        <w:rPr>
          <w:rFonts w:hint="eastAsia"/>
          <w:szCs w:val="21"/>
        </w:rPr>
        <w:t>第三章投标文件的编制</w:t>
      </w:r>
    </w:p>
    <w:p>
      <w:pPr>
        <w:numPr>
          <w:ilvl w:val="1"/>
          <w:numId w:val="0"/>
        </w:numPr>
        <w:tabs>
          <w:tab w:val="left" w:pos="360"/>
        </w:tabs>
        <w:ind w:firstLine="1079" w:firstLineChars="514"/>
        <w:rPr>
          <w:szCs w:val="21"/>
        </w:rPr>
      </w:pPr>
      <w:r>
        <w:rPr>
          <w:rFonts w:hint="eastAsia"/>
          <w:szCs w:val="21"/>
        </w:rPr>
        <w:t>第四章投标文件的递交</w:t>
      </w:r>
    </w:p>
    <w:p>
      <w:pPr>
        <w:numPr>
          <w:ilvl w:val="1"/>
          <w:numId w:val="0"/>
        </w:numPr>
        <w:tabs>
          <w:tab w:val="left" w:pos="360"/>
        </w:tabs>
        <w:ind w:firstLine="1079" w:firstLineChars="514"/>
        <w:rPr>
          <w:szCs w:val="21"/>
        </w:rPr>
      </w:pPr>
      <w:r>
        <w:rPr>
          <w:rFonts w:hint="eastAsia"/>
          <w:szCs w:val="21"/>
        </w:rPr>
        <w:t>第五章开标</w:t>
      </w:r>
    </w:p>
    <w:p>
      <w:pPr>
        <w:numPr>
          <w:ilvl w:val="1"/>
          <w:numId w:val="0"/>
        </w:numPr>
        <w:tabs>
          <w:tab w:val="left" w:pos="360"/>
        </w:tabs>
        <w:ind w:firstLine="1079" w:firstLineChars="514"/>
        <w:rPr>
          <w:szCs w:val="21"/>
        </w:rPr>
      </w:pPr>
      <w:r>
        <w:rPr>
          <w:rFonts w:hint="eastAsia"/>
          <w:szCs w:val="21"/>
        </w:rPr>
        <w:t>第六章评标要求</w:t>
      </w:r>
    </w:p>
    <w:p>
      <w:pPr>
        <w:numPr>
          <w:ilvl w:val="1"/>
          <w:numId w:val="0"/>
        </w:numPr>
        <w:tabs>
          <w:tab w:val="left" w:pos="360"/>
        </w:tabs>
        <w:ind w:firstLine="1079" w:firstLineChars="514"/>
        <w:rPr>
          <w:szCs w:val="21"/>
        </w:rPr>
      </w:pPr>
      <w:r>
        <w:rPr>
          <w:rFonts w:hint="eastAsia"/>
          <w:szCs w:val="21"/>
        </w:rPr>
        <w:t>第七章评标程序及评标方法</w:t>
      </w:r>
    </w:p>
    <w:p>
      <w:pPr>
        <w:numPr>
          <w:ilvl w:val="1"/>
          <w:numId w:val="0"/>
        </w:numPr>
        <w:tabs>
          <w:tab w:val="left" w:pos="360"/>
        </w:tabs>
        <w:ind w:firstLine="1079" w:firstLineChars="514"/>
        <w:rPr>
          <w:szCs w:val="21"/>
        </w:rPr>
      </w:pPr>
      <w:r>
        <w:rPr>
          <w:rFonts w:hint="eastAsia"/>
          <w:szCs w:val="21"/>
        </w:rPr>
        <w:t>第八章定标及公示</w:t>
      </w:r>
    </w:p>
    <w:p>
      <w:pPr>
        <w:numPr>
          <w:ilvl w:val="1"/>
          <w:numId w:val="0"/>
        </w:numPr>
        <w:tabs>
          <w:tab w:val="left" w:pos="360"/>
        </w:tabs>
        <w:ind w:firstLine="1079" w:firstLineChars="514"/>
        <w:rPr>
          <w:szCs w:val="21"/>
        </w:rPr>
      </w:pPr>
      <w:r>
        <w:rPr>
          <w:rFonts w:hint="eastAsia"/>
          <w:szCs w:val="21"/>
        </w:rPr>
        <w:t>第九章公开招标失败的后续处理</w:t>
      </w:r>
    </w:p>
    <w:p>
      <w:pPr>
        <w:numPr>
          <w:ilvl w:val="1"/>
          <w:numId w:val="0"/>
        </w:numPr>
        <w:tabs>
          <w:tab w:val="left" w:pos="360"/>
        </w:tabs>
        <w:ind w:firstLine="1079" w:firstLineChars="514"/>
        <w:rPr>
          <w:szCs w:val="21"/>
        </w:rPr>
      </w:pPr>
      <w:r>
        <w:rPr>
          <w:rFonts w:hint="eastAsia"/>
          <w:szCs w:val="21"/>
        </w:rPr>
        <w:t>第十章合同的授予与备案</w:t>
      </w:r>
    </w:p>
    <w:p>
      <w:pPr>
        <w:numPr>
          <w:ilvl w:val="1"/>
          <w:numId w:val="0"/>
        </w:numPr>
        <w:tabs>
          <w:tab w:val="left" w:pos="360"/>
        </w:tabs>
        <w:ind w:firstLine="1079" w:firstLineChars="514"/>
        <w:rPr>
          <w:szCs w:val="21"/>
        </w:rPr>
      </w:pPr>
      <w:r>
        <w:rPr>
          <w:rFonts w:hint="eastAsia"/>
          <w:szCs w:val="21"/>
        </w:rPr>
        <w:t>第十一章质疑处理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rPr>
      </w:pPr>
      <w:r>
        <w:rPr>
          <w:rFonts w:hint="eastAsia" w:ascii="黑体" w:hAnsi="宋体" w:eastAsia="黑体"/>
          <w:sz w:val="24"/>
        </w:rPr>
        <w:t>12．招标文件的澄清</w:t>
      </w:r>
    </w:p>
    <w:p>
      <w:pPr>
        <w:snapToGrid w:val="0"/>
        <w:ind w:firstLine="420" w:firstLineChars="200"/>
        <w:rPr>
          <w:rFonts w:ascii="宋体" w:hAnsi="宋体"/>
          <w:szCs w:val="21"/>
        </w:rPr>
      </w:pPr>
      <w:r>
        <w:rPr>
          <w:rFonts w:hint="eastAsia" w:ascii="宋体" w:hAnsi="宋体"/>
          <w:szCs w:val="21"/>
        </w:rPr>
        <w:t>12.1投标人如对招标文件内容有疑问，必须在招标文件规定的答疑截止时间前以</w:t>
      </w:r>
      <w:r>
        <w:rPr>
          <w:rFonts w:ascii="宋体" w:hAnsi="宋体"/>
          <w:szCs w:val="21"/>
        </w:rPr>
        <w:t>书面</w:t>
      </w:r>
      <w:r>
        <w:rPr>
          <w:rFonts w:hint="eastAsia" w:ascii="宋体" w:hAnsi="宋体"/>
          <w:szCs w:val="21"/>
        </w:rPr>
        <w:t>形式提交</w:t>
      </w:r>
      <w:r>
        <w:rPr>
          <w:rFonts w:ascii="宋体" w:hAnsi="宋体"/>
          <w:szCs w:val="21"/>
        </w:rPr>
        <w:t>给</w:t>
      </w:r>
      <w:r>
        <w:rPr>
          <w:rFonts w:hint="eastAsia" w:ascii="宋体" w:hAnsi="宋体"/>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rPr>
      </w:pPr>
      <w:r>
        <w:rPr>
          <w:rFonts w:hint="eastAsia" w:ascii="黑体" w:hAnsi="宋体" w:eastAsia="黑体"/>
          <w:sz w:val="24"/>
        </w:rPr>
        <w:t>14．投标文件的语言及度量单位</w:t>
      </w:r>
    </w:p>
    <w:p>
      <w:pPr>
        <w:ind w:firstLine="411" w:firstLineChars="196"/>
        <w:rPr>
          <w:rFonts w:ascii="宋体" w:hAnsi="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rPr>
      </w:pPr>
      <w:r>
        <w:rPr>
          <w:rFonts w:hint="eastAsia" w:ascii="黑体" w:hAnsi="宋体" w:eastAsia="黑体"/>
          <w:sz w:val="24"/>
        </w:rPr>
        <w:t>15．投标文件的组成</w:t>
      </w:r>
    </w:p>
    <w:p>
      <w:pPr>
        <w:ind w:firstLine="413" w:firstLineChars="196"/>
        <w:rPr>
          <w:rFonts w:ascii="宋体" w:hAnsi="宋体"/>
          <w:b/>
          <w:szCs w:val="21"/>
        </w:rPr>
      </w:pPr>
      <w:r>
        <w:rPr>
          <w:rFonts w:hint="eastAsia" w:ascii="宋体" w:hAnsi="宋体"/>
          <w:b/>
          <w:szCs w:val="21"/>
        </w:rPr>
        <w:t>具体内容请详见本项目招标文件</w:t>
      </w:r>
      <w:r>
        <w:rPr>
          <w:rFonts w:ascii="宋体" w:hAnsi="宋体"/>
          <w:b/>
          <w:szCs w:val="21"/>
        </w:rPr>
        <w:t>第一册“</w:t>
      </w:r>
      <w:r>
        <w:rPr>
          <w:rFonts w:hint="eastAsia" w:ascii="宋体" w:hAnsi="宋体"/>
          <w:b/>
          <w:szCs w:val="21"/>
        </w:rPr>
        <w:t>专用条款</w:t>
      </w:r>
      <w:r>
        <w:rPr>
          <w:rFonts w:ascii="宋体" w:hAnsi="宋体"/>
          <w:b/>
          <w:szCs w:val="21"/>
        </w:rPr>
        <w:t>”</w:t>
      </w:r>
      <w:r>
        <w:rPr>
          <w:rFonts w:hint="eastAsia" w:ascii="宋体" w:hAnsi="宋体"/>
          <w:b/>
          <w:szCs w:val="21"/>
        </w:rPr>
        <w:t>的相关内容。</w:t>
      </w:r>
    </w:p>
    <w:p>
      <w:pPr>
        <w:spacing w:line="360" w:lineRule="auto"/>
        <w:rPr>
          <w:rFonts w:ascii="黑体" w:hAnsi="宋体" w:eastAsia="黑体"/>
          <w:sz w:val="24"/>
        </w:rPr>
      </w:pPr>
      <w:r>
        <w:rPr>
          <w:rFonts w:hint="eastAsia"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如招标文件第一册“专用条款”</w:t>
      </w:r>
      <w:r>
        <w:rPr>
          <w:rFonts w:ascii="宋体" w:hAnsi="宋体"/>
          <w:szCs w:val="21"/>
        </w:rPr>
        <w:t>无另外</w:t>
      </w:r>
      <w:r>
        <w:rPr>
          <w:rFonts w:hint="eastAsia" w:ascii="宋体" w:hAnsi="宋体"/>
          <w:szCs w:val="21"/>
        </w:rPr>
        <w:t>规定</w:t>
      </w:r>
      <w:r>
        <w:rPr>
          <w:rFonts w:ascii="宋体" w:hAnsi="宋体"/>
          <w:szCs w:val="21"/>
        </w:rPr>
        <w:t>，</w:t>
      </w:r>
      <w:r>
        <w:rPr>
          <w:rFonts w:hint="eastAsia" w:ascii="宋体" w:hAnsi="宋体"/>
          <w:szCs w:val="21"/>
        </w:rPr>
        <w:t>本项目的投标应以人民币计。</w:t>
      </w:r>
    </w:p>
    <w:p>
      <w:pPr>
        <w:spacing w:line="360" w:lineRule="auto"/>
        <w:rPr>
          <w:rFonts w:ascii="黑体" w:hAnsi="宋体" w:eastAsia="黑体"/>
          <w:sz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投标人应按照本项目</w:t>
      </w:r>
      <w:r>
        <w:rPr>
          <w:rFonts w:ascii="宋体" w:hAnsi="宋体"/>
          <w:szCs w:val="21"/>
        </w:rPr>
        <w:t>招标文</w:t>
      </w:r>
      <w:r>
        <w:rPr>
          <w:rFonts w:hint="eastAsia" w:ascii="宋体" w:hAnsi="宋体"/>
          <w:szCs w:val="21"/>
        </w:rPr>
        <w:t>件第一册“</w:t>
      </w:r>
      <w:r>
        <w:rPr>
          <w:rFonts w:ascii="宋体" w:hAnsi="宋体"/>
          <w:szCs w:val="21"/>
        </w:rPr>
        <w:t>专用条款</w:t>
      </w:r>
      <w:r>
        <w:rPr>
          <w:rFonts w:hint="eastAsia" w:ascii="宋体" w:hAnsi="宋体"/>
          <w:szCs w:val="21"/>
        </w:rPr>
        <w:t>”</w:t>
      </w:r>
      <w:r>
        <w:rPr>
          <w:rFonts w:ascii="宋体" w:hAnsi="宋体"/>
          <w:szCs w:val="21"/>
        </w:rPr>
        <w:t>的要求</w:t>
      </w:r>
      <w:r>
        <w:rPr>
          <w:rFonts w:hint="eastAsia" w:ascii="宋体" w:hAnsi="宋体"/>
          <w:szCs w:val="21"/>
        </w:rPr>
        <w:t>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hint="eastAsia" w:ascii="宋体" w:hAnsi="宋体"/>
          <w:szCs w:val="21"/>
        </w:rPr>
        <w:t>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hint="eastAsia" w:ascii="宋体" w:hAnsi="宋体"/>
          <w:szCs w:val="21"/>
        </w:rPr>
        <w:t>。</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.4</w:t>
      </w:r>
      <w:r>
        <w:rPr>
          <w:rFonts w:hint="eastAsia" w:ascii="宋体" w:hAnsi="宋体"/>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w:t>
      </w:r>
      <w:r>
        <w:rPr>
          <w:rFonts w:ascii="宋体" w:hAnsi="宋体"/>
          <w:szCs w:val="21"/>
        </w:rPr>
        <w:t>5</w:t>
      </w:r>
      <w:r>
        <w:rPr>
          <w:rFonts w:hint="eastAsia" w:ascii="宋体" w:hAnsi="宋体"/>
          <w:szCs w:val="21"/>
        </w:rPr>
        <w:t>为保证公平公正，除非另有规定或说明，投标人对同一项目投标时，不得同时提供两套或两套以上的投标方案。</w:t>
      </w:r>
    </w:p>
    <w:p>
      <w:pPr>
        <w:spacing w:line="360" w:lineRule="auto"/>
        <w:rPr>
          <w:rFonts w:ascii="黑体" w:hAnsi="宋体" w:eastAsia="黑体"/>
          <w:sz w:val="24"/>
        </w:rPr>
      </w:pPr>
      <w:r>
        <w:rPr>
          <w:rFonts w:hint="eastAsia" w:ascii="黑体" w:hAnsi="宋体" w:eastAsia="黑体"/>
          <w:sz w:val="24"/>
        </w:rPr>
        <w:t>19．投标文件其他证明文件的要求</w:t>
      </w:r>
    </w:p>
    <w:p>
      <w:pPr>
        <w:ind w:firstLine="411" w:firstLineChars="196"/>
        <w:rPr>
          <w:rFonts w:ascii="宋体" w:hAnsi="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hint="eastAsia" w:ascii="宋体" w:hAnsi="宋体"/>
          <w:szCs w:val="21"/>
        </w:rPr>
        <w:t>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rPr>
      </w:pPr>
      <w:r>
        <w:rPr>
          <w:rFonts w:hint="eastAsia" w:ascii="黑体" w:hAnsi="宋体" w:eastAsia="黑体"/>
          <w:sz w:val="24"/>
        </w:rPr>
        <w:t>20．投标有效期</w:t>
      </w:r>
    </w:p>
    <w:p>
      <w:pPr>
        <w:ind w:firstLine="411" w:firstLineChars="196"/>
        <w:rPr>
          <w:rFonts w:ascii="宋体" w:hAnsi="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中标单位的投标书有效期，截止于完成本招标文件规定的全部项目内容，并通过竣工验收及保修结束。</w:t>
      </w:r>
    </w:p>
    <w:p>
      <w:pPr>
        <w:spacing w:line="360" w:lineRule="auto"/>
        <w:rPr>
          <w:rFonts w:ascii="黑体" w:hAnsi="宋体" w:eastAsia="黑体"/>
          <w:sz w:val="24"/>
        </w:rPr>
      </w:pPr>
      <w:r>
        <w:rPr>
          <w:rFonts w:hint="eastAsia" w:ascii="黑体" w:hAnsi="宋体" w:eastAsia="黑体"/>
          <w:sz w:val="24"/>
        </w:rPr>
        <w:t>21．关于投标保证金</w:t>
      </w:r>
    </w:p>
    <w:p>
      <w:pPr>
        <w:ind w:firstLine="411" w:firstLineChars="196"/>
        <w:rPr>
          <w:rFonts w:ascii="宋体" w:hAnsi="宋体"/>
          <w:szCs w:val="21"/>
        </w:rPr>
      </w:pPr>
      <w:r>
        <w:rPr>
          <w:rFonts w:hint="eastAsia" w:ascii="宋体" w:hAnsi="宋体"/>
          <w:szCs w:val="21"/>
        </w:rPr>
        <w:t>21.1为切实减轻企业负担，降低制度性交易成本，</w:t>
      </w:r>
      <w:r>
        <w:rPr>
          <w:rFonts w:ascii="宋体" w:hAnsi="宋体"/>
          <w:szCs w:val="21"/>
        </w:rPr>
        <w:t>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w:t>
      </w:r>
      <w:r>
        <w:rPr>
          <w:rFonts w:ascii="宋体" w:hAnsi="宋体"/>
          <w:szCs w:val="21"/>
        </w:rPr>
        <w:t>.1</w:t>
      </w:r>
      <w:r>
        <w:rPr>
          <w:rFonts w:hint="eastAsia" w:ascii="宋体" w:hAnsi="宋体"/>
          <w:szCs w:val="21"/>
        </w:rPr>
        <w:t>款限制。是否另外收取投标保证金，请见本招标文件“专用条款”《对通用条款的补充内容》中的相关要求。</w:t>
      </w:r>
    </w:p>
    <w:p>
      <w:pPr>
        <w:spacing w:line="360" w:lineRule="auto"/>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23.1投标人需按</w:t>
      </w:r>
      <w:r>
        <w:rPr>
          <w:rFonts w:ascii="宋体" w:hAnsi="宋体"/>
        </w:rPr>
        <w:t>项目</w:t>
      </w:r>
      <w:r>
        <w:rPr>
          <w:rFonts w:hint="eastAsia" w:ascii="宋体" w:hAnsi="宋体"/>
        </w:rPr>
        <w:t>采购</w:t>
      </w:r>
      <w:r>
        <w:rPr>
          <w:rFonts w:ascii="宋体" w:hAnsi="宋体"/>
        </w:rPr>
        <w:t>文件要求</w:t>
      </w:r>
      <w:r>
        <w:rPr>
          <w:rFonts w:hint="eastAsia" w:ascii="宋体" w:hAnsi="宋体"/>
        </w:rPr>
        <w:t>准备所投项目的纸质投标文件正副本。</w:t>
      </w:r>
    </w:p>
    <w:p>
      <w:pPr>
        <w:ind w:firstLine="413" w:firstLineChars="196"/>
        <w:rPr>
          <w:rFonts w:ascii="宋体" w:hAnsi="宋体"/>
        </w:rPr>
      </w:pPr>
      <w:r>
        <w:rPr>
          <w:rFonts w:hint="eastAsia" w:ascii="宋体" w:hAnsi="宋体"/>
          <w:b/>
        </w:rPr>
        <w:tab/>
      </w:r>
      <w:r>
        <w:rPr>
          <w:rFonts w:ascii="宋体" w:hAnsi="宋体"/>
        </w:rPr>
        <w:t>23.2</w:t>
      </w:r>
      <w:r>
        <w:rPr>
          <w:rFonts w:hint="eastAsia" w:ascii="宋体" w:hAnsi="宋体"/>
        </w:rPr>
        <w:t>投标人在编辑投标文件时，在投标文件目录中属于本节点内容的必须在本节点中填写；填写到其他节点或附件的，评审</w:t>
      </w:r>
      <w:r>
        <w:rPr>
          <w:rFonts w:ascii="宋体" w:hAnsi="宋体"/>
        </w:rPr>
        <w:t>委员会</w:t>
      </w:r>
      <w:r>
        <w:rPr>
          <w:rFonts w:hint="eastAsia" w:ascii="宋体" w:hAnsi="宋体"/>
        </w:rPr>
        <w:t>有权</w:t>
      </w:r>
      <w:r>
        <w:rPr>
          <w:rFonts w:ascii="宋体" w:hAnsi="宋体"/>
        </w:rPr>
        <w:t>不予接受，</w:t>
      </w:r>
      <w:r>
        <w:rPr>
          <w:rFonts w:hint="eastAsia" w:ascii="宋体" w:hAnsi="宋体"/>
        </w:rPr>
        <w:t>一切后果由供应商自行承担。</w:t>
      </w:r>
    </w:p>
    <w:p>
      <w:pPr>
        <w:ind w:firstLine="411" w:firstLineChars="196"/>
        <w:rPr>
          <w:rFonts w:ascii="宋体" w:hAnsi="宋体"/>
        </w:rPr>
      </w:pPr>
      <w:r>
        <w:rPr>
          <w:rFonts w:hint="eastAsia" w:ascii="宋体" w:hAnsi="宋体"/>
        </w:rPr>
        <w:t>23.3 投标文件</w:t>
      </w:r>
      <w:r>
        <w:rPr>
          <w:rFonts w:ascii="宋体" w:hAnsi="宋体"/>
        </w:rPr>
        <w:t>要求盖章、签字的地方，</w:t>
      </w:r>
      <w:r>
        <w:rPr>
          <w:rFonts w:hint="eastAsia" w:ascii="宋体" w:hAnsi="宋体"/>
        </w:rPr>
        <w:t>应</w:t>
      </w:r>
      <w:r>
        <w:rPr>
          <w:rFonts w:ascii="宋体" w:hAnsi="宋体"/>
        </w:rPr>
        <w:t>按要求盖章、签字。评审委员会</w:t>
      </w:r>
      <w:r>
        <w:rPr>
          <w:rFonts w:hint="eastAsia" w:ascii="宋体" w:hAnsi="宋体"/>
        </w:rPr>
        <w:t>有权将缺、漏</w:t>
      </w:r>
      <w:r>
        <w:rPr>
          <w:rFonts w:ascii="宋体" w:hAnsi="宋体"/>
        </w:rPr>
        <w:t>盖章、签字</w:t>
      </w:r>
      <w:r>
        <w:rPr>
          <w:rFonts w:hint="eastAsia" w:ascii="宋体" w:hAnsi="宋体"/>
        </w:rPr>
        <w:t>的</w:t>
      </w:r>
      <w:r>
        <w:rPr>
          <w:rFonts w:ascii="宋体" w:hAnsi="宋体"/>
        </w:rPr>
        <w:t>投标文件认定为无效投标。</w:t>
      </w:r>
    </w:p>
    <w:p>
      <w:pPr>
        <w:ind w:firstLine="411" w:firstLineChars="196"/>
        <w:rPr>
          <w:rFonts w:ascii="宋体" w:hAnsi="宋体"/>
        </w:rPr>
      </w:pPr>
      <w:r>
        <w:rPr>
          <w:rFonts w:hint="eastAsia" w:ascii="宋体" w:hAnsi="宋体"/>
        </w:rPr>
        <w:t>23.</w:t>
      </w:r>
      <w:r>
        <w:rPr>
          <w:rFonts w:ascii="宋体" w:hAnsi="宋体"/>
        </w:rPr>
        <w:t xml:space="preserve">4 </w:t>
      </w:r>
      <w:r>
        <w:rPr>
          <w:rFonts w:hint="eastAsia" w:ascii="宋体" w:hAnsi="宋体"/>
        </w:rPr>
        <w:t>电报、电话、传真形式的投标概不接受。</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rPr>
      </w:pPr>
      <w:r>
        <w:rPr>
          <w:rFonts w:hint="eastAsia" w:ascii="黑体" w:hAnsi="宋体" w:eastAsia="黑体"/>
          <w:sz w:val="24"/>
        </w:rPr>
        <w:t>24．投标书的保密</w:t>
      </w:r>
    </w:p>
    <w:p>
      <w:pPr>
        <w:ind w:firstLine="411" w:firstLineChars="196"/>
        <w:rPr>
          <w:rFonts w:ascii="宋体" w:hAnsi="宋体"/>
        </w:rPr>
      </w:pPr>
      <w:r>
        <w:rPr>
          <w:rFonts w:hint="eastAsia" w:ascii="宋体" w:hAnsi="宋体"/>
        </w:rPr>
        <w:t>24.1在投标文件制作完成后，所有文件必须密封完整且加盖公章。</w:t>
      </w:r>
    </w:p>
    <w:p>
      <w:pPr>
        <w:ind w:firstLine="411" w:firstLineChars="196"/>
        <w:rPr>
          <w:rFonts w:ascii="宋体" w:hAnsi="宋体"/>
        </w:rPr>
      </w:pPr>
      <w:r>
        <w:rPr>
          <w:rFonts w:ascii="宋体" w:hAnsi="宋体"/>
        </w:rPr>
        <w:t xml:space="preserve">24.2 </w:t>
      </w:r>
      <w:r>
        <w:rPr>
          <w:rFonts w:hint="eastAsia" w:ascii="宋体" w:hAnsi="宋体"/>
        </w:rPr>
        <w:t>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1投标人</w:t>
      </w:r>
      <w:r>
        <w:rPr>
          <w:rFonts w:ascii="宋体" w:hAnsi="宋体"/>
        </w:rPr>
        <w:t>必须</w:t>
      </w:r>
      <w:r>
        <w:rPr>
          <w:rFonts w:hint="eastAsia" w:ascii="宋体" w:hAnsi="宋体"/>
        </w:rPr>
        <w:t>在</w:t>
      </w:r>
      <w:r>
        <w:rPr>
          <w:rFonts w:ascii="宋体" w:hAnsi="宋体"/>
        </w:rPr>
        <w:t>采购文件规定的投标截止时间前</w:t>
      </w:r>
      <w:r>
        <w:rPr>
          <w:rFonts w:hint="eastAsia" w:ascii="宋体" w:hAnsi="宋体"/>
        </w:rPr>
        <w:t>将</w:t>
      </w:r>
      <w:r>
        <w:rPr>
          <w:rFonts w:ascii="宋体" w:hAnsi="宋体"/>
        </w:rPr>
        <w:t>密封的投标文件递交到项目指定的地点</w:t>
      </w:r>
      <w:r>
        <w:rPr>
          <w:rFonts w:hint="eastAsia" w:ascii="宋体" w:hAnsi="宋体"/>
        </w:rPr>
        <w:t>。</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w:t>
      </w:r>
      <w:r>
        <w:rPr>
          <w:rFonts w:ascii="宋体" w:hAnsi="宋体"/>
        </w:rPr>
        <w:t>采购机构</w:t>
      </w:r>
      <w:r>
        <w:rPr>
          <w:rFonts w:hint="eastAsia" w:ascii="宋体" w:hAnsi="宋体"/>
        </w:rPr>
        <w:t>、采购人和投标人受投标截止期制约的所有权利和义务均应延长至新的截止期。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w:t>
      </w:r>
      <w:r>
        <w:rPr>
          <w:rFonts w:ascii="宋体" w:hAnsi="宋体"/>
          <w:szCs w:val="21"/>
        </w:rPr>
        <w:t>3</w:t>
      </w:r>
      <w:r>
        <w:rPr>
          <w:rFonts w:hint="eastAsia" w:ascii="宋体" w:hAnsi="宋体"/>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rPr>
      </w:pPr>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w:t>
      </w:r>
      <w:r>
        <w:rPr>
          <w:rFonts w:hint="eastAsia" w:ascii="宋体" w:hAnsi="宋体"/>
        </w:rPr>
        <w:t>提交投标文件后</w:t>
      </w:r>
      <w:r>
        <w:rPr>
          <w:rFonts w:ascii="宋体" w:hAnsi="宋体"/>
        </w:rPr>
        <w:t>可对其投标文件进行修改</w:t>
      </w:r>
      <w:r>
        <w:rPr>
          <w:rFonts w:hint="eastAsia" w:ascii="宋体" w:hAnsi="宋体"/>
        </w:rPr>
        <w:t>或</w:t>
      </w:r>
      <w:r>
        <w:rPr>
          <w:rFonts w:ascii="宋体" w:hAnsi="宋体"/>
        </w:rPr>
        <w:t>撤</w:t>
      </w:r>
      <w:r>
        <w:rPr>
          <w:rFonts w:hint="eastAsia" w:ascii="宋体" w:hAnsi="宋体"/>
        </w:rPr>
        <w:t>回</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3从投标截止期至投标人在投标书中确定的投标有效期之间的这段时间内，投标人不得撤回其投标</w:t>
      </w:r>
      <w:r>
        <w:rPr>
          <w:rFonts w:ascii="宋体" w:hAnsi="宋体"/>
        </w:rPr>
        <w:t>。</w:t>
      </w:r>
    </w:p>
    <w:p>
      <w:pPr>
        <w:ind w:firstLine="411" w:firstLineChars="196"/>
        <w:rPr>
          <w:rFonts w:ascii="宋体" w:hAnsi="宋体"/>
          <w:szCs w:val="21"/>
        </w:rPr>
      </w:pPr>
      <w:r>
        <w:rPr>
          <w:rFonts w:hint="eastAsia" w:ascii="宋体" w:hAnsi="宋体"/>
          <w:szCs w:val="21"/>
        </w:rPr>
        <w:t>27.4学校采购机构不退还投标文件，专用</w:t>
      </w:r>
      <w:r>
        <w:rPr>
          <w:rFonts w:ascii="宋体" w:hAnsi="宋体"/>
          <w:szCs w:val="21"/>
        </w:rPr>
        <w:t>条款</w:t>
      </w:r>
      <w:r>
        <w:rPr>
          <w:rFonts w:hint="eastAsia" w:ascii="宋体" w:hAnsi="宋体"/>
          <w:szCs w:val="21"/>
        </w:rPr>
        <w:t>另有规定的除外。</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1学校</w:t>
      </w:r>
      <w:r>
        <w:rPr>
          <w:rFonts w:ascii="宋体" w:hAnsi="宋体"/>
          <w:szCs w:val="21"/>
        </w:rPr>
        <w:t>采购机构</w:t>
      </w:r>
      <w:r>
        <w:rPr>
          <w:rFonts w:hint="eastAsia" w:ascii="宋体" w:hAnsi="宋体"/>
          <w:szCs w:val="21"/>
        </w:rPr>
        <w:t>将在投标截止时间后，对密封</w:t>
      </w:r>
      <w:r>
        <w:rPr>
          <w:rFonts w:ascii="宋体" w:hAnsi="宋体"/>
          <w:szCs w:val="21"/>
        </w:rPr>
        <w:t>的</w:t>
      </w:r>
      <w:r>
        <w:rPr>
          <w:rFonts w:hint="eastAsia" w:ascii="宋体" w:hAnsi="宋体"/>
          <w:szCs w:val="21"/>
        </w:rPr>
        <w:t>投标文件进行拆封，开标，并</w:t>
      </w:r>
      <w:r>
        <w:rPr>
          <w:rFonts w:ascii="宋体" w:hAnsi="宋体"/>
          <w:szCs w:val="21"/>
        </w:rPr>
        <w:t>在开标现场公布开标结果</w:t>
      </w:r>
      <w:r>
        <w:rPr>
          <w:rFonts w:hint="eastAsia" w:ascii="宋体" w:hAnsi="宋体"/>
          <w:szCs w:val="21"/>
        </w:rPr>
        <w:t>。</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w:t>
      </w:r>
      <w:r>
        <w:rPr>
          <w:rFonts w:ascii="宋体" w:hAnsi="宋体"/>
        </w:rPr>
        <w:t>5</w:t>
      </w:r>
      <w:r>
        <w:rPr>
          <w:rFonts w:hint="eastAsia" w:ascii="宋体" w:hAnsi="宋体"/>
        </w:rPr>
        <w:t>人以上（含</w:t>
      </w:r>
      <w:r>
        <w:rPr>
          <w:rFonts w:ascii="宋体" w:hAnsi="宋体"/>
        </w:rPr>
        <w:t>5</w:t>
      </w:r>
      <w:r>
        <w:rPr>
          <w:rFonts w:hint="eastAsia" w:ascii="宋体" w:hAnsi="宋体"/>
        </w:rPr>
        <w:t>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hint="eastAsia" w:ascii="宋体" w:hAnsi="宋体"/>
          <w:bCs/>
        </w:rPr>
        <w:t>）。</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hint="eastAsia" w:ascii="宋体" w:hAnsi="宋体"/>
        </w:rPr>
        <w:t>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ascii="宋体" w:hAnsi="宋体"/>
        </w:rPr>
        <w:t>32.4</w:t>
      </w:r>
      <w:r>
        <w:rPr>
          <w:rFonts w:hint="eastAsia" w:ascii="宋体" w:hAnsi="宋体"/>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w:t>
      </w:r>
      <w:r>
        <w:rPr>
          <w:rFonts w:ascii="宋体" w:hAnsi="宋体"/>
        </w:rPr>
        <w:t>5</w:t>
      </w:r>
      <w:r>
        <w:rPr>
          <w:rFonts w:hint="eastAsia" w:ascii="宋体" w:hAnsi="宋体"/>
        </w:rPr>
        <w:t>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w:t>
      </w:r>
      <w:r>
        <w:rPr>
          <w:rFonts w:ascii="宋体" w:hAnsi="宋体"/>
        </w:rPr>
        <w:t>部分投标文件</w:t>
      </w:r>
      <w:r>
        <w:rPr>
          <w:rFonts w:hint="eastAsia" w:ascii="宋体" w:hAnsi="宋体"/>
        </w:rPr>
        <w:t>相互混装；</w:t>
      </w:r>
    </w:p>
    <w:p>
      <w:pPr>
        <w:ind w:firstLine="411" w:firstLineChars="196"/>
        <w:rPr>
          <w:rFonts w:ascii="宋体" w:hAnsi="宋体"/>
        </w:rPr>
      </w:pPr>
      <w:r>
        <w:rPr>
          <w:rFonts w:hint="eastAsia" w:ascii="宋体" w:hAnsi="宋体"/>
        </w:rPr>
        <w:t>32.5.6投标</w:t>
      </w:r>
      <w:r>
        <w:rPr>
          <w:rFonts w:ascii="宋体" w:hAnsi="宋体"/>
        </w:rPr>
        <w:t>供应商之间相互约定给</w:t>
      </w:r>
      <w:r>
        <w:rPr>
          <w:rFonts w:hint="eastAsia" w:ascii="宋体" w:hAnsi="宋体"/>
        </w:rPr>
        <w:t>予</w:t>
      </w:r>
      <w:r>
        <w:rPr>
          <w:rFonts w:ascii="宋体" w:hAnsi="宋体"/>
        </w:rPr>
        <w:t>未中标的供应商利益补偿</w:t>
      </w:r>
      <w:r>
        <w:rPr>
          <w:rFonts w:hint="eastAsia" w:ascii="宋体" w:hAnsi="宋体"/>
        </w:rPr>
        <w:t>；</w:t>
      </w:r>
    </w:p>
    <w:p>
      <w:pPr>
        <w:ind w:firstLine="411" w:firstLineChars="196"/>
        <w:rPr>
          <w:rFonts w:ascii="宋体" w:hAnsi="宋体"/>
        </w:rPr>
      </w:pPr>
      <w:r>
        <w:rPr>
          <w:rFonts w:hint="eastAsia" w:ascii="宋体" w:hAnsi="宋体"/>
        </w:rPr>
        <w:t>32.5.</w:t>
      </w:r>
      <w:r>
        <w:rPr>
          <w:rFonts w:ascii="宋体" w:hAnsi="宋体"/>
        </w:rPr>
        <w:t>7</w:t>
      </w:r>
      <w:r>
        <w:rPr>
          <w:rFonts w:hint="eastAsia" w:ascii="宋体" w:hAnsi="宋体"/>
        </w:rPr>
        <w:t>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w:t>
      </w:r>
      <w:r>
        <w:rPr>
          <w:rFonts w:ascii="宋体" w:hAnsi="宋体"/>
        </w:rPr>
        <w:t>8</w:t>
      </w:r>
      <w:r>
        <w:rPr>
          <w:rFonts w:hint="eastAsia" w:ascii="宋体" w:hAnsi="宋体"/>
        </w:rPr>
        <w:t>不同投标供应商的投标文件内容存在非正常一致；</w:t>
      </w:r>
    </w:p>
    <w:p>
      <w:pPr>
        <w:ind w:firstLine="411" w:firstLineChars="196"/>
        <w:rPr>
          <w:rFonts w:ascii="宋体" w:hAnsi="宋体"/>
        </w:rPr>
      </w:pPr>
      <w:r>
        <w:rPr>
          <w:rFonts w:hint="eastAsia" w:ascii="宋体" w:hAnsi="宋体"/>
        </w:rPr>
        <w:t>32.5.</w:t>
      </w:r>
      <w:r>
        <w:rPr>
          <w:rFonts w:ascii="宋体" w:hAnsi="宋体"/>
        </w:rPr>
        <w:t>9</w:t>
      </w:r>
      <w:r>
        <w:rPr>
          <w:rFonts w:hint="eastAsia" w:ascii="宋体" w:hAnsi="宋体"/>
        </w:rPr>
        <w:t>在同一单位工作人员为两家以上（含两家）供应商进行同一项投标活动；</w:t>
      </w:r>
    </w:p>
    <w:p>
      <w:pPr>
        <w:ind w:firstLine="411" w:firstLineChars="196"/>
        <w:rPr>
          <w:rFonts w:ascii="宋体" w:hAnsi="宋体"/>
        </w:rPr>
      </w:pPr>
      <w:r>
        <w:rPr>
          <w:rFonts w:hint="eastAsia" w:ascii="宋体" w:hAnsi="宋体"/>
        </w:rPr>
        <w:t>32.5.1</w:t>
      </w:r>
      <w:r>
        <w:rPr>
          <w:rFonts w:ascii="宋体" w:hAnsi="宋体"/>
        </w:rPr>
        <w:t>0</w:t>
      </w:r>
      <w:r>
        <w:rPr>
          <w:rFonts w:hint="eastAsia" w:ascii="宋体" w:hAnsi="宋体"/>
        </w:rPr>
        <w:t>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rPr>
      </w:pPr>
      <w:r>
        <w:rPr>
          <w:rFonts w:hint="eastAsia" w:ascii="黑体" w:hAnsi="宋体" w:eastAsia="黑体"/>
          <w:sz w:val="24"/>
        </w:rPr>
        <w:t>34．错误的修正</w:t>
      </w:r>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w:t>
      </w:r>
      <w:r>
        <w:rPr>
          <w:rFonts w:ascii="宋体" w:hAnsi="宋体"/>
          <w:szCs w:val="21"/>
        </w:rPr>
        <w:t>政府采购条例实施细则</w:t>
      </w:r>
      <w:r>
        <w:rPr>
          <w:rFonts w:hint="eastAsia" w:ascii="宋体" w:hAnsi="宋体"/>
          <w:szCs w:val="21"/>
        </w:rPr>
        <w:t>》及《深圳市政府采购评审委员会和评标方法暂行规定》，参照相关法律、法规、规定，仅对通过资格性审查和符合性审查的投标文件进行综合比较与评价。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rPr>
      </w:pPr>
      <w:r>
        <w:rPr>
          <w:rFonts w:hint="eastAsia" w:ascii="黑体" w:hAnsi="宋体" w:eastAsia="黑体"/>
          <w:sz w:val="24"/>
        </w:rPr>
        <w:t>36.实地考察、演示或设备测试</w:t>
      </w:r>
    </w:p>
    <w:p>
      <w:pPr>
        <w:ind w:firstLine="411" w:firstLineChars="196"/>
        <w:rPr>
          <w:rFonts w:ascii="宋体" w:hAnsi="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rPr>
      </w:pPr>
      <w:r>
        <w:rPr>
          <w:rFonts w:hint="eastAsia" w:ascii="黑体" w:hAnsi="宋体" w:eastAsia="黑体"/>
          <w:sz w:val="24"/>
        </w:rPr>
        <w:t>37．评标方法</w:t>
      </w:r>
    </w:p>
    <w:p>
      <w:pPr>
        <w:ind w:firstLine="413" w:firstLineChars="196"/>
        <w:rPr>
          <w:rFonts w:ascii="宋体" w:hAnsi="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3"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3"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4</w:t>
      </w:r>
      <w:r>
        <w:rPr>
          <w:rFonts w:hint="eastAsia" w:ascii="宋体" w:hAnsi="宋体"/>
          <w:b/>
          <w:bCs/>
          <w:szCs w:val="21"/>
        </w:rPr>
        <w:t xml:space="preserve"> 本项目采用的评标方法见本项目招标文件第一册“专用条款”的相关内容。</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5</w:t>
      </w:r>
      <w:r>
        <w:rPr>
          <w:rFonts w:hint="eastAsia" w:ascii="宋体" w:hAnsi="宋体"/>
          <w:b/>
          <w:bCs/>
          <w:szCs w:val="21"/>
        </w:rPr>
        <w:t>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3" w:firstLineChars="196"/>
        <w:rPr>
          <w:rFonts w:ascii="宋体" w:hAnsi="宋体"/>
          <w:b/>
          <w:bCs/>
          <w:szCs w:val="21"/>
        </w:rPr>
      </w:pPr>
      <w:r>
        <w:rPr>
          <w:rFonts w:hint="eastAsia" w:ascii="宋体" w:hAnsi="宋体"/>
          <w:b/>
          <w:bCs/>
          <w:szCs w:val="21"/>
        </w:rPr>
        <w:t xml:space="preserve"> 37.</w:t>
      </w:r>
      <w:r>
        <w:rPr>
          <w:rFonts w:ascii="宋体" w:hAnsi="宋体"/>
          <w:b/>
          <w:bCs/>
          <w:szCs w:val="21"/>
        </w:rPr>
        <w:t>6</w:t>
      </w:r>
      <w:r>
        <w:rPr>
          <w:rFonts w:hint="eastAsia" w:ascii="宋体" w:hAnsi="宋体"/>
          <w:b/>
          <w:bCs/>
          <w:szCs w:val="21"/>
        </w:rPr>
        <w:t>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4出现并列的情况时，采取随机抽取的方式确定并列</w:t>
      </w:r>
      <w:r>
        <w:rPr>
          <w:rFonts w:ascii="宋体" w:hAnsi="宋体"/>
          <w:szCs w:val="21"/>
        </w:rPr>
        <w:t>的投标人的排序</w:t>
      </w:r>
      <w:r>
        <w:rPr>
          <w:rFonts w:hint="eastAsia" w:ascii="宋体" w:hAnsi="宋体"/>
          <w:szCs w:val="21"/>
        </w:rPr>
        <w:t>，具体操作办法及流程由评审委员会确定。</w:t>
      </w:r>
    </w:p>
    <w:p>
      <w:pPr>
        <w:ind w:firstLine="411" w:firstLineChars="196"/>
        <w:rPr>
          <w:rFonts w:ascii="宋体" w:hAnsi="宋体"/>
          <w:szCs w:val="21"/>
        </w:rPr>
      </w:pPr>
      <w:r>
        <w:rPr>
          <w:rFonts w:hint="eastAsia" w:ascii="宋体" w:hAnsi="宋体"/>
          <w:szCs w:val="21"/>
        </w:rPr>
        <w:t>38.</w:t>
      </w:r>
      <w:r>
        <w:rPr>
          <w:rFonts w:ascii="宋体" w:hAnsi="宋体"/>
          <w:szCs w:val="21"/>
        </w:rPr>
        <w:t>5</w:t>
      </w:r>
      <w:r>
        <w:rPr>
          <w:rFonts w:hint="eastAsia" w:ascii="宋体" w:hAnsi="宋体"/>
          <w:szCs w:val="21"/>
        </w:rPr>
        <w:t>专用条款另有规定的，按专用条款相关要求定标。</w:t>
      </w:r>
    </w:p>
    <w:p>
      <w:pPr>
        <w:spacing w:line="360" w:lineRule="auto"/>
        <w:rPr>
          <w:rFonts w:ascii="黑体" w:hAnsi="宋体" w:eastAsia="黑体"/>
          <w:sz w:val="24"/>
        </w:rPr>
      </w:pPr>
      <w:r>
        <w:rPr>
          <w:rFonts w:hint="eastAsia" w:ascii="黑体" w:hAnsi="宋体" w:eastAsia="黑体"/>
          <w:sz w:val="24"/>
        </w:rPr>
        <w:t>39．编写评标报告</w:t>
      </w:r>
    </w:p>
    <w:p>
      <w:pPr>
        <w:ind w:firstLine="411" w:firstLineChars="196"/>
        <w:rPr>
          <w:rFonts w:ascii="宋体" w:hAnsi="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40.1为体现“公开、公平、公正”的原则，评标结束后，学校采购机构将在“深圳大学</w:t>
      </w:r>
      <w:r>
        <w:rPr>
          <w:rFonts w:ascii="宋体" w:hAnsi="宋体"/>
          <w:szCs w:val="21"/>
        </w:rPr>
        <w:t>招投标管理中心</w:t>
      </w:r>
      <w:r>
        <w:rPr>
          <w:rFonts w:hint="eastAsia" w:ascii="宋体" w:hAnsi="宋体"/>
          <w:szCs w:val="21"/>
        </w:rPr>
        <w:t>网站”（</w:t>
      </w:r>
      <w:r>
        <w:fldChar w:fldCharType="begin"/>
      </w:r>
      <w:r>
        <w:instrText xml:space="preserve"> HYPERLINK "http://bidding.szu.edu.cn/" </w:instrText>
      </w:r>
      <w:r>
        <w:fldChar w:fldCharType="separate"/>
      </w:r>
      <w:r>
        <w:rPr>
          <w:rFonts w:ascii="宋体" w:hAnsi="宋体"/>
          <w:color w:val="0000FF"/>
          <w:szCs w:val="21"/>
          <w:u w:val="single"/>
        </w:rPr>
        <w:t>http://bidding.szu.edu.cn/</w:t>
      </w:r>
      <w:r>
        <w:rPr>
          <w:rFonts w:ascii="宋体" w:hAnsi="宋体"/>
          <w:color w:val="0000FF"/>
          <w:szCs w:val="21"/>
          <w:u w:val="single"/>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1中标公告公布以后,在公示</w:t>
      </w:r>
      <w:r>
        <w:rPr>
          <w:rFonts w:ascii="宋体" w:hAnsi="宋体"/>
          <w:szCs w:val="21"/>
        </w:rPr>
        <w:t>期</w:t>
      </w:r>
      <w:r>
        <w:rPr>
          <w:rFonts w:hint="eastAsia" w:ascii="宋体" w:hAnsi="宋体"/>
          <w:szCs w:val="21"/>
        </w:rPr>
        <w:t>内无有效质疑投诉,中标供应商和采购人可到学校采购机构领取《中标通知书》（咨询电话：0755—26531025，</w:t>
      </w:r>
      <w:r>
        <w:rPr>
          <w:rFonts w:ascii="宋体" w:hAnsi="宋体"/>
          <w:szCs w:val="21"/>
        </w:rPr>
        <w:t>地点：深圳大学</w:t>
      </w:r>
      <w:r>
        <w:rPr>
          <w:rFonts w:hint="eastAsia" w:ascii="宋体" w:hAnsi="宋体"/>
          <w:szCs w:val="21"/>
        </w:rPr>
        <w:t>粤海校区</w:t>
      </w:r>
      <w:r>
        <w:rPr>
          <w:rFonts w:ascii="宋体" w:hAnsi="宋体"/>
          <w:szCs w:val="21"/>
        </w:rPr>
        <w:t>汇元楼</w:t>
      </w:r>
      <w:r>
        <w:rPr>
          <w:rFonts w:hint="eastAsia" w:ascii="宋体" w:hAnsi="宋体"/>
          <w:szCs w:val="21"/>
        </w:rPr>
        <w:t>238室）。</w:t>
      </w:r>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w:t>
      </w:r>
      <w:r>
        <w:rPr>
          <w:rFonts w:ascii="宋体" w:hAnsi="宋体"/>
        </w:rPr>
        <w:t>依照</w:t>
      </w:r>
      <w:r>
        <w:rPr>
          <w:rFonts w:hint="eastAsia" w:ascii="宋体" w:hAnsi="宋体"/>
        </w:rPr>
        <w:t>学校的</w:t>
      </w:r>
      <w:r>
        <w:rPr>
          <w:rFonts w:ascii="宋体" w:hAnsi="宋体"/>
        </w:rPr>
        <w:t>有关规定申请将</w:t>
      </w:r>
      <w:r>
        <w:rPr>
          <w:rFonts w:hint="eastAsia" w:ascii="宋体" w:hAnsi="宋体"/>
        </w:rPr>
        <w:t>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w:t>
      </w:r>
      <w:r>
        <w:rPr>
          <w:rFonts w:ascii="宋体" w:hAnsi="宋体"/>
        </w:rPr>
        <w:t>采购管理办法</w:t>
      </w:r>
      <w:r>
        <w:rPr>
          <w:rFonts w:hint="eastAsia" w:ascii="宋体" w:hAnsi="宋体"/>
        </w:rPr>
        <w:t>》及</w:t>
      </w:r>
      <w:r>
        <w:rPr>
          <w:rFonts w:ascii="宋体" w:hAnsi="宋体"/>
        </w:rPr>
        <w:t>相关规定</w:t>
      </w:r>
      <w:r>
        <w:rPr>
          <w:rFonts w:hint="eastAsia" w:ascii="宋体" w:hAnsi="宋体"/>
        </w:rPr>
        <w:t>的</w:t>
      </w:r>
      <w:r>
        <w:rPr>
          <w:rFonts w:ascii="宋体" w:hAnsi="宋体"/>
        </w:rPr>
        <w:t>程序</w:t>
      </w:r>
      <w:r>
        <w:rPr>
          <w:rFonts w:hint="eastAsia" w:ascii="宋体" w:hAnsi="宋体"/>
        </w:rPr>
        <w:t>批准转为竞争性谈判或单一来源谈判方式采购的，按规定要求组织采购活动。</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3</w:t>
      </w:r>
      <w:r>
        <w:rPr>
          <w:rFonts w:hint="eastAsia" w:ascii="黑体" w:hAnsi="宋体" w:eastAsia="黑体"/>
          <w:sz w:val="24"/>
        </w:rPr>
        <w:t>．合同授予标准</w:t>
      </w:r>
    </w:p>
    <w:p>
      <w:pPr>
        <w:ind w:firstLine="411" w:firstLineChars="196"/>
        <w:rPr>
          <w:rFonts w:ascii="宋体" w:hAnsi="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4</w:t>
      </w:r>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5</w:t>
      </w:r>
      <w:r>
        <w:rPr>
          <w:rFonts w:hint="eastAsia" w:ascii="黑体" w:hAnsi="宋体" w:eastAsia="黑体"/>
          <w:sz w:val="24"/>
        </w:rPr>
        <w:t>．合同协议书的签订</w:t>
      </w:r>
    </w:p>
    <w:p>
      <w:pPr>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.1中标人将于中标通知书发出之日起1</w:t>
      </w:r>
      <w:r>
        <w:rPr>
          <w:rFonts w:ascii="宋体" w:hAnsi="宋体"/>
          <w:szCs w:val="21"/>
        </w:rPr>
        <w:t>0个工作日</w:t>
      </w:r>
      <w:r>
        <w:rPr>
          <w:rFonts w:hint="eastAsia" w:ascii="宋体" w:hAnsi="宋体"/>
          <w:szCs w:val="21"/>
        </w:rPr>
        <w:t>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.2中标人如不按本通用条款第4</w:t>
      </w:r>
      <w:r>
        <w:rPr>
          <w:rFonts w:ascii="宋体" w:hAnsi="宋体"/>
          <w:szCs w:val="21"/>
        </w:rPr>
        <w:t>5.1</w:t>
      </w:r>
      <w:r>
        <w:rPr>
          <w:rFonts w:hint="eastAsia" w:ascii="宋体" w:hAnsi="宋体"/>
          <w:szCs w:val="21"/>
        </w:rPr>
        <w:t>款的规定与采购人签订合同，学校采购机构将有充分的理由取消</w:t>
      </w:r>
      <w:r>
        <w:rPr>
          <w:rFonts w:ascii="宋体" w:hAnsi="宋体"/>
          <w:szCs w:val="21"/>
        </w:rPr>
        <w:t>中标人的</w:t>
      </w:r>
      <w:r>
        <w:rPr>
          <w:rFonts w:hint="eastAsia" w:ascii="宋体" w:hAnsi="宋体"/>
          <w:szCs w:val="21"/>
        </w:rPr>
        <w:t>中标，并计入</w:t>
      </w:r>
      <w:r>
        <w:rPr>
          <w:rFonts w:ascii="宋体" w:hAnsi="宋体"/>
          <w:szCs w:val="21"/>
        </w:rPr>
        <w:t>供应商诚信档案</w:t>
      </w:r>
      <w:r>
        <w:rPr>
          <w:rFonts w:hint="eastAsia" w:ascii="宋体" w:hAnsi="宋体"/>
          <w:szCs w:val="21"/>
        </w:rPr>
        <w:t>。</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.3中标人应当按照合同约定履行义务，完成中标项目，不得将中标项目转让（转包）给他人。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6</w:t>
      </w:r>
      <w:r>
        <w:rPr>
          <w:rFonts w:hint="eastAsia" w:ascii="黑体" w:hAnsi="宋体" w:eastAsia="黑体"/>
          <w:sz w:val="24"/>
        </w:rPr>
        <w:t>．履约担保</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.2如果中标人不能按“对</w:t>
      </w:r>
      <w:r>
        <w:rPr>
          <w:rFonts w:ascii="宋体" w:hAnsi="宋体"/>
          <w:szCs w:val="21"/>
        </w:rPr>
        <w:t>通用条款的补充内容</w:t>
      </w:r>
      <w:r>
        <w:rPr>
          <w:rFonts w:hint="eastAsia" w:ascii="宋体" w:hAnsi="宋体"/>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7</w:t>
      </w:r>
      <w:r>
        <w:rPr>
          <w:rFonts w:hint="eastAsia" w:ascii="黑体" w:hAnsi="宋体" w:eastAsia="黑体"/>
          <w:sz w:val="24"/>
        </w:rPr>
        <w:t>.合同的备案</w:t>
      </w:r>
    </w:p>
    <w:p>
      <w:pPr>
        <w:spacing w:line="0" w:lineRule="atLeast"/>
        <w:ind w:firstLine="411" w:firstLineChars="196"/>
        <w:rPr>
          <w:rFonts w:ascii="宋体" w:hAnsi="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rPr>
      </w:pPr>
      <w:r>
        <w:rPr>
          <w:rFonts w:ascii="黑体" w:hAnsi="宋体" w:eastAsia="黑体"/>
          <w:sz w:val="24"/>
        </w:rPr>
        <w:t>48</w:t>
      </w:r>
      <w:r>
        <w:rPr>
          <w:rFonts w:hint="eastAsia" w:ascii="黑体" w:hAnsi="宋体" w:eastAsia="黑体"/>
          <w:sz w:val="24"/>
        </w:rPr>
        <w:t>.履约情况的反馈</w:t>
      </w:r>
    </w:p>
    <w:p>
      <w:pPr>
        <w:spacing w:line="0" w:lineRule="atLeast"/>
        <w:ind w:firstLine="411" w:firstLineChars="196"/>
        <w:rPr>
          <w:rFonts w:ascii="宋体" w:hAnsi="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rPr>
      </w:pPr>
      <w:r>
        <w:rPr>
          <w:rFonts w:ascii="黑体" w:hAnsi="宋体" w:eastAsia="黑体"/>
          <w:sz w:val="24"/>
        </w:rPr>
        <w:t>49</w:t>
      </w:r>
      <w:r>
        <w:rPr>
          <w:rFonts w:hint="eastAsia" w:ascii="黑体" w:hAnsi="宋体" w:eastAsia="黑体"/>
          <w:sz w:val="24"/>
        </w:rPr>
        <w:t>．腐败和欺诈行为</w:t>
      </w:r>
    </w:p>
    <w:p>
      <w:pPr>
        <w:spacing w:line="0" w:lineRule="atLeast"/>
        <w:ind w:firstLine="411" w:firstLineChars="196"/>
        <w:rPr>
          <w:rFonts w:ascii="宋体" w:hAnsi="宋体"/>
          <w:szCs w:val="21"/>
        </w:rPr>
      </w:pPr>
      <w:r>
        <w:rPr>
          <w:rFonts w:ascii="宋体" w:hAnsi="宋体"/>
          <w:szCs w:val="21"/>
        </w:rPr>
        <w:t>49</w:t>
      </w:r>
      <w:r>
        <w:rPr>
          <w:rFonts w:hint="eastAsia" w:ascii="宋体" w:hAnsi="宋体"/>
          <w:szCs w:val="21"/>
        </w:rPr>
        <w:t>.1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ascii="宋体" w:hAnsi="宋体"/>
          <w:szCs w:val="21"/>
        </w:rPr>
        <w:t xml:space="preserve">49.2 </w:t>
      </w:r>
      <w:r>
        <w:rPr>
          <w:rFonts w:hint="eastAsia" w:ascii="宋体" w:hAnsi="宋体"/>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ascii="宋体" w:hAnsi="宋体"/>
          <w:szCs w:val="21"/>
        </w:rPr>
        <w:t>49.3</w:t>
      </w:r>
      <w:r>
        <w:rPr>
          <w:rFonts w:hint="eastAsia" w:ascii="宋体" w:hAnsi="宋体"/>
          <w:szCs w:val="21"/>
        </w:rPr>
        <w:t>如果评审委员会认为投标人在本合同的竞争中有腐败和欺诈行为，则拒绝接受该投标。</w:t>
      </w:r>
    </w:p>
    <w:p>
      <w:pPr>
        <w:spacing w:line="0" w:lineRule="atLeast"/>
        <w:ind w:firstLine="411" w:firstLineChars="196"/>
        <w:rPr>
          <w:rFonts w:ascii="宋体" w:hAnsi="宋体"/>
          <w:szCs w:val="21"/>
        </w:rPr>
      </w:pPr>
      <w:r>
        <w:rPr>
          <w:rFonts w:ascii="宋体" w:hAnsi="宋体"/>
          <w:szCs w:val="21"/>
        </w:rPr>
        <w:t>49.4</w:t>
      </w:r>
      <w:r>
        <w:rPr>
          <w:rFonts w:hint="eastAsia" w:ascii="宋体" w:hAnsi="宋体"/>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hint="eastAsia" w:ascii="宋体" w:hAnsi="宋体"/>
          <w:szCs w:val="21"/>
        </w:rPr>
        <w:t>。</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0</w:t>
      </w:r>
      <w:r>
        <w:rPr>
          <w:rFonts w:hint="eastAsia" w:ascii="黑体" w:hAnsi="宋体" w:eastAsia="黑体"/>
          <w:sz w:val="24"/>
        </w:rPr>
        <w:t>.质疑处理原则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.1</w:t>
      </w:r>
      <w:r>
        <w:rPr>
          <w:rFonts w:ascii="宋体" w:hAnsi="宋体"/>
          <w:szCs w:val="21"/>
        </w:rPr>
        <w:t>质疑处理遵循公平、公正、规范、高效的原则。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.2</w:t>
      </w:r>
      <w:r>
        <w:rPr>
          <w:rFonts w:ascii="宋体" w:hAnsi="宋体"/>
          <w:szCs w:val="21"/>
        </w:rPr>
        <w:t>供应商质疑实行实名制和“谁质疑，谁举证”的原则，质疑应有具体的事项及事实根据。</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1</w:t>
      </w:r>
      <w:r>
        <w:rPr>
          <w:rFonts w:hint="eastAsia" w:ascii="黑体" w:hAnsi="宋体" w:eastAsia="黑体"/>
          <w:sz w:val="24"/>
        </w:rPr>
        <w:t>.质疑的</w:t>
      </w:r>
      <w:r>
        <w:rPr>
          <w:rFonts w:ascii="黑体" w:hAnsi="宋体" w:eastAsia="黑体"/>
          <w:sz w:val="24"/>
        </w:rPr>
        <w:t>提出与答复</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.1提出质疑</w:t>
      </w:r>
    </w:p>
    <w:p>
      <w:pPr>
        <w:ind w:firstLine="411" w:firstLineChars="196"/>
        <w:rPr>
          <w:rFonts w:ascii="宋体" w:hAnsi="宋体"/>
          <w:szCs w:val="21"/>
        </w:rPr>
      </w:pPr>
      <w:r>
        <w:rPr>
          <w:rFonts w:hint="eastAsia" w:ascii="宋体" w:hAnsi="宋体"/>
          <w:szCs w:val="21"/>
        </w:rPr>
        <w:t>参与</w:t>
      </w:r>
      <w:r>
        <w:rPr>
          <w:rFonts w:ascii="宋体" w:hAnsi="宋体"/>
          <w:szCs w:val="21"/>
        </w:rPr>
        <w:t>采购活动的</w:t>
      </w:r>
      <w:r>
        <w:rPr>
          <w:rFonts w:hint="eastAsia" w:ascii="宋体" w:hAnsi="宋体"/>
          <w:szCs w:val="21"/>
        </w:rPr>
        <w:t>供应商认为自己权益在</w:t>
      </w:r>
      <w:r>
        <w:rPr>
          <w:rFonts w:ascii="宋体" w:hAnsi="宋体"/>
          <w:szCs w:val="21"/>
        </w:rPr>
        <w:t>采购活动中</w:t>
      </w:r>
      <w:r>
        <w:rPr>
          <w:rFonts w:hint="eastAsia" w:ascii="宋体" w:hAnsi="宋体"/>
          <w:szCs w:val="21"/>
        </w:rPr>
        <w:t>受到损害的，应当自知道或者应当知道其权益受到损害之日起七个工作日内向</w:t>
      </w:r>
      <w:r>
        <w:rPr>
          <w:rFonts w:ascii="宋体" w:hAnsi="宋体"/>
          <w:szCs w:val="21"/>
        </w:rPr>
        <w:t>学校采购机构</w:t>
      </w:r>
      <w:r>
        <w:rPr>
          <w:rFonts w:hint="eastAsia" w:ascii="宋体" w:hAnsi="宋体"/>
          <w:szCs w:val="21"/>
        </w:rPr>
        <w:t>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ascii="宋体" w:hAnsi="宋体"/>
          <w:szCs w:val="21"/>
        </w:rPr>
        <w:t>51.4</w:t>
      </w:r>
      <w:r>
        <w:rPr>
          <w:rFonts w:hint="eastAsia" w:ascii="宋体" w:hAnsi="宋体"/>
          <w:szCs w:val="21"/>
        </w:rPr>
        <w:t>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w:t>
      </w:r>
      <w:r>
        <w:rPr>
          <w:rFonts w:ascii="宋体" w:hAnsi="宋体"/>
          <w:szCs w:val="21"/>
        </w:rPr>
        <w:t>：深圳市</w:t>
      </w:r>
      <w:r>
        <w:rPr>
          <w:rFonts w:hint="eastAsia" w:ascii="宋体" w:hAnsi="宋体"/>
          <w:szCs w:val="21"/>
        </w:rPr>
        <w:t>南山区</w:t>
      </w:r>
      <w:r>
        <w:rPr>
          <w:rFonts w:ascii="宋体" w:hAnsi="宋体"/>
          <w:szCs w:val="21"/>
        </w:rPr>
        <w:t>南海大道</w:t>
      </w:r>
      <w:r>
        <w:rPr>
          <w:rFonts w:hint="eastAsia" w:ascii="宋体" w:hAnsi="宋体"/>
          <w:szCs w:val="21"/>
        </w:rPr>
        <w:t>3688号</w:t>
      </w:r>
      <w:r>
        <w:rPr>
          <w:rFonts w:ascii="宋体" w:hAnsi="宋体"/>
          <w:szCs w:val="21"/>
        </w:rPr>
        <w:t>深圳大学粤海校区汇元楼</w:t>
      </w:r>
      <w:r>
        <w:rPr>
          <w:rFonts w:hint="eastAsia" w:ascii="宋体" w:hAnsi="宋体"/>
          <w:szCs w:val="21"/>
        </w:rPr>
        <w:t>246室</w:t>
      </w:r>
      <w:r>
        <w:rPr>
          <w:rFonts w:ascii="宋体" w:hAnsi="宋体"/>
          <w:szCs w:val="21"/>
        </w:rPr>
        <w:t>，</w:t>
      </w:r>
      <w:r>
        <w:rPr>
          <w:rFonts w:hint="eastAsia" w:ascii="宋体" w:hAnsi="宋体"/>
          <w:szCs w:val="21"/>
        </w:rPr>
        <w:t>质疑咨询电话：0755-</w:t>
      </w:r>
      <w:r>
        <w:rPr>
          <w:rFonts w:ascii="宋体" w:hAnsi="宋体"/>
          <w:szCs w:val="21"/>
        </w:rPr>
        <w:t>26057039</w:t>
      </w:r>
      <w:r>
        <w:rPr>
          <w:rFonts w:hint="eastAsia" w:ascii="宋体" w:hAnsi="宋体"/>
          <w:szCs w:val="21"/>
        </w:rPr>
        <w:t>。</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w:t>
      </w:r>
      <w:r>
        <w:rPr>
          <w:rFonts w:ascii="宋体" w:hAnsi="宋体"/>
          <w:szCs w:val="21"/>
        </w:rPr>
        <w:t>纪检、</w:t>
      </w:r>
      <w:r>
        <w:rPr>
          <w:rFonts w:hint="eastAsia" w:ascii="宋体" w:hAnsi="宋体"/>
          <w:szCs w:val="21"/>
        </w:rPr>
        <w:t>监察</w:t>
      </w:r>
      <w:r>
        <w:rPr>
          <w:rFonts w:ascii="宋体" w:hAnsi="宋体"/>
          <w:szCs w:val="21"/>
        </w:rPr>
        <w:t>部门</w:t>
      </w:r>
      <w:r>
        <w:rPr>
          <w:rFonts w:hint="eastAsia" w:ascii="宋体" w:hAnsi="宋体"/>
          <w:szCs w:val="21"/>
        </w:rPr>
        <w:t>投诉。</w:t>
      </w:r>
    </w:p>
    <w:p>
      <w:pPr>
        <w:spacing w:line="360" w:lineRule="auto"/>
        <w:rPr>
          <w:rFonts w:ascii="黑体" w:hAnsi="宋体" w:eastAsia="黑体"/>
          <w:sz w:val="24"/>
        </w:rPr>
      </w:pPr>
      <w:r>
        <w:rPr>
          <w:rFonts w:hint="eastAsia" w:ascii="黑体" w:hAnsi="宋体" w:eastAsia="黑体"/>
          <w:sz w:val="24"/>
        </w:rPr>
        <w:t>52.质疑后续处理</w:t>
      </w:r>
    </w:p>
    <w:p>
      <w:pPr>
        <w:ind w:firstLine="411" w:firstLineChars="196"/>
        <w:rPr>
          <w:rFonts w:ascii="宋体" w:hAnsi="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jc w:val="center"/>
        <w:rPr>
          <w:rFonts w:ascii="宋体" w:hAnsi="宋体"/>
          <w:color w:val="FF0000"/>
          <w:szCs w:val="21"/>
        </w:rPr>
      </w:pPr>
    </w:p>
    <w:p>
      <w:pPr>
        <w:spacing w:line="240" w:lineRule="atLeast"/>
        <w:rPr>
          <w:rFonts w:ascii="宋体" w:hAnsi="宋体"/>
          <w:szCs w:val="21"/>
        </w:rPr>
      </w:pPr>
    </w:p>
    <w:p>
      <w:pPr>
        <w:jc w:val="center"/>
        <w:rPr>
          <w:rFonts w:ascii="宋体" w:hAnsi="宋体"/>
          <w:color w:val="FF0000"/>
          <w:szCs w:val="21"/>
        </w:rPr>
      </w:pPr>
    </w:p>
    <w:p>
      <w:pPr>
        <w:pStyle w:val="2"/>
        <w:rPr>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长美黑">
    <w:altName w:val="宋体"/>
    <w:panose1 w:val="00000000000000000000"/>
    <w:charset w:val="86"/>
    <w:family w:val="modern"/>
    <w:pitch w:val="default"/>
    <w:sig w:usb0="00000000" w:usb1="00000000" w:usb2="00000010" w:usb3="00000000" w:csb0="00040000" w:csb1="00000000"/>
  </w:font>
  <w:font w:name="文鼎中楷">
    <w:altName w:val="仿宋"/>
    <w:panose1 w:val="00000000000000000000"/>
    <w:charset w:val="86"/>
    <w:family w:val="modern"/>
    <w:pitch w:val="default"/>
    <w:sig w:usb0="00000000" w:usb1="00000000" w:usb2="00000010" w:usb3="00000000" w:csb0="00040000" w:csb1="00000000"/>
  </w:font>
  <w:font w:name="Tunga">
    <w:altName w:val="Segoe Print"/>
    <w:panose1 w:val="000004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t xml:space="preserve">- </w:t>
    </w:r>
    <w:r>
      <w:fldChar w:fldCharType="begin"/>
    </w:r>
    <w:r>
      <w:instrText xml:space="preserve"> PAGE </w:instrText>
    </w:r>
    <w:r>
      <w:fldChar w:fldCharType="separate"/>
    </w:r>
    <w:r>
      <w:t>20</w:t>
    </w:r>
    <w:r>
      <w:fldChar w:fldCharType="end"/>
    </w:r>
    <w:r>
      <w:t xml:space="preserve"> -</w:t>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rPr>
        <w:rStyle w:val="60"/>
      </w:rPr>
      <w:fldChar w:fldCharType="begin"/>
    </w:r>
    <w:r>
      <w:rPr>
        <w:rStyle w:val="60"/>
      </w:rPr>
      <w:instrText xml:space="preserve">PAGE  </w:instrText>
    </w:r>
    <w:r>
      <w:rPr>
        <w:rStyle w:val="60"/>
      </w:rPr>
      <w:fldChar w:fldCharType="separate"/>
    </w:r>
    <w:r>
      <w:rPr>
        <w:rStyle w:val="60"/>
      </w:rPr>
      <w:t>17</w:t>
    </w:r>
    <w:r>
      <w:rPr>
        <w:rStyle w:val="60"/>
      </w:rP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20211418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20211418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72"/>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3960"/>
        </w:tabs>
        <w:ind w:left="3960" w:hanging="720"/>
      </w:pPr>
      <w:rPr>
        <w:rFonts w:hint="default"/>
      </w:rPr>
    </w:lvl>
    <w:lvl w:ilvl="1" w:tentative="0">
      <w:start w:val="1"/>
      <w:numFmt w:val="lowerLetter"/>
      <w:lvlText w:val="%2)"/>
      <w:lvlJc w:val="left"/>
      <w:pPr>
        <w:tabs>
          <w:tab w:val="left" w:pos="4080"/>
        </w:tabs>
        <w:ind w:left="408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920"/>
        </w:tabs>
        <w:ind w:left="4920" w:hanging="420"/>
      </w:pPr>
    </w:lvl>
    <w:lvl w:ilvl="4" w:tentative="0">
      <w:start w:val="1"/>
      <w:numFmt w:val="lowerLetter"/>
      <w:lvlText w:val="%5)"/>
      <w:lvlJc w:val="left"/>
      <w:pPr>
        <w:tabs>
          <w:tab w:val="left" w:pos="5340"/>
        </w:tabs>
        <w:ind w:left="5340" w:hanging="420"/>
      </w:pPr>
    </w:lvl>
    <w:lvl w:ilvl="5" w:tentative="0">
      <w:start w:val="1"/>
      <w:numFmt w:val="lowerRoman"/>
      <w:lvlText w:val="%6."/>
      <w:lvlJc w:val="right"/>
      <w:pPr>
        <w:tabs>
          <w:tab w:val="left" w:pos="5760"/>
        </w:tabs>
        <w:ind w:left="5760" w:hanging="420"/>
      </w:pPr>
    </w:lvl>
    <w:lvl w:ilvl="6" w:tentative="0">
      <w:start w:val="1"/>
      <w:numFmt w:val="decimal"/>
      <w:lvlText w:val="%7."/>
      <w:lvlJc w:val="left"/>
      <w:pPr>
        <w:tabs>
          <w:tab w:val="left" w:pos="6180"/>
        </w:tabs>
        <w:ind w:left="6180" w:hanging="420"/>
      </w:pPr>
    </w:lvl>
    <w:lvl w:ilvl="7" w:tentative="0">
      <w:start w:val="1"/>
      <w:numFmt w:val="lowerLetter"/>
      <w:lvlText w:val="%8)"/>
      <w:lvlJc w:val="left"/>
      <w:pPr>
        <w:tabs>
          <w:tab w:val="left" w:pos="6600"/>
        </w:tabs>
        <w:ind w:left="6600" w:hanging="420"/>
      </w:pPr>
    </w:lvl>
    <w:lvl w:ilvl="8" w:tentative="0">
      <w:start w:val="1"/>
      <w:numFmt w:val="lowerRoman"/>
      <w:lvlText w:val="%9."/>
      <w:lvlJc w:val="right"/>
      <w:pPr>
        <w:tabs>
          <w:tab w:val="left" w:pos="7020"/>
        </w:tabs>
        <w:ind w:left="7020" w:hanging="420"/>
      </w:pPr>
    </w:lvl>
  </w:abstractNum>
  <w:abstractNum w:abstractNumId="3">
    <w:nsid w:val="3AE1101E"/>
    <w:multiLevelType w:val="multilevel"/>
    <w:tmpl w:val="3AE1101E"/>
    <w:lvl w:ilvl="0" w:tentative="0">
      <w:start w:val="1"/>
      <w:numFmt w:val="decimal"/>
      <w:lvlText w:val="%1."/>
      <w:lvlJc w:val="left"/>
      <w:pPr>
        <w:tabs>
          <w:tab w:val="left" w:pos="567"/>
        </w:tabs>
        <w:ind w:left="567" w:hanging="113"/>
      </w:pPr>
      <w:rPr>
        <w:rFonts w:hint="eastAsia"/>
      </w:rPr>
    </w:lvl>
    <w:lvl w:ilvl="1" w:tentative="0">
      <w:start w:val="1"/>
      <w:numFmt w:val="decimal"/>
      <w:suff w:val="space"/>
      <w:lvlText w:val="%1.%2"/>
      <w:lvlJc w:val="left"/>
      <w:pPr>
        <w:ind w:left="0" w:firstLine="454"/>
      </w:pPr>
      <w:rPr>
        <w:rFonts w:hint="eastAsia"/>
      </w:rPr>
    </w:lvl>
    <w:lvl w:ilvl="2" w:tentative="0">
      <w:start w:val="1"/>
      <w:numFmt w:val="lowerLetter"/>
      <w:suff w:val="space"/>
      <w:lvlText w:val="(%3) "/>
      <w:lvlJc w:val="left"/>
      <w:pPr>
        <w:ind w:left="851" w:hanging="397"/>
      </w:pPr>
      <w:rPr>
        <w:rFonts w:hint="eastAsia"/>
      </w:rPr>
    </w:lvl>
    <w:lvl w:ilvl="3" w:tentative="0">
      <w:start w:val="1"/>
      <w:numFmt w:val="decimal"/>
      <w:suff w:val="space"/>
      <w:lvlText w:val="(%4) "/>
      <w:lvlJc w:val="left"/>
      <w:pPr>
        <w:ind w:left="851" w:hanging="397"/>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56D5F"/>
    <w:multiLevelType w:val="multilevel"/>
    <w:tmpl w:val="49656D5F"/>
    <w:lvl w:ilvl="0" w:tentative="0">
      <w:start w:val="1"/>
      <w:numFmt w:val="decimal"/>
      <w:lvlText w:val="第%1条"/>
      <w:lvlJc w:val="left"/>
      <w:pPr>
        <w:tabs>
          <w:tab w:val="left" w:pos="1041"/>
        </w:tabs>
        <w:ind w:left="1041" w:hanging="750"/>
      </w:pPr>
      <w:rPr>
        <w:b/>
        <w:lang w:val="en-US"/>
      </w:rPr>
    </w:lvl>
    <w:lvl w:ilvl="1" w:tentative="0">
      <w:start w:val="1"/>
      <w:numFmt w:val="bullet"/>
      <w:lvlText w:val=""/>
      <w:lvlJc w:val="left"/>
      <w:pPr>
        <w:tabs>
          <w:tab w:val="left" w:pos="1131"/>
        </w:tabs>
        <w:ind w:left="1131" w:hanging="420"/>
      </w:pPr>
      <w:rPr>
        <w:rFonts w:hint="default" w:ascii="Wingdings" w:hAnsi="Wingdings"/>
        <w:b/>
        <w:lang w:val="en-US"/>
      </w:rPr>
    </w:lvl>
    <w:lvl w:ilvl="2" w:tentative="0">
      <w:start w:val="1"/>
      <w:numFmt w:val="lowerRoman"/>
      <w:lvlText w:val="%3."/>
      <w:lvlJc w:val="right"/>
      <w:pPr>
        <w:tabs>
          <w:tab w:val="left" w:pos="1551"/>
        </w:tabs>
        <w:ind w:left="1551" w:hanging="420"/>
      </w:pPr>
    </w:lvl>
    <w:lvl w:ilvl="3" w:tentative="0">
      <w:start w:val="1"/>
      <w:numFmt w:val="decimal"/>
      <w:lvlText w:val="%4、"/>
      <w:lvlJc w:val="left"/>
      <w:pPr>
        <w:tabs>
          <w:tab w:val="left" w:pos="1011"/>
        </w:tabs>
        <w:ind w:left="1011" w:hanging="360"/>
      </w:pPr>
    </w:lvl>
    <w:lvl w:ilvl="4" w:tentative="0">
      <w:start w:val="1"/>
      <w:numFmt w:val="lowerLetter"/>
      <w:lvlText w:val="%5)"/>
      <w:lvlJc w:val="left"/>
      <w:pPr>
        <w:tabs>
          <w:tab w:val="left" w:pos="2391"/>
        </w:tabs>
        <w:ind w:left="2391" w:hanging="420"/>
      </w:pPr>
    </w:lvl>
    <w:lvl w:ilvl="5" w:tentative="0">
      <w:start w:val="1"/>
      <w:numFmt w:val="lowerRoman"/>
      <w:lvlText w:val="%6."/>
      <w:lvlJc w:val="right"/>
      <w:pPr>
        <w:tabs>
          <w:tab w:val="left" w:pos="2811"/>
        </w:tabs>
        <w:ind w:left="2811" w:hanging="420"/>
      </w:pPr>
    </w:lvl>
    <w:lvl w:ilvl="6" w:tentative="0">
      <w:start w:val="1"/>
      <w:numFmt w:val="decimal"/>
      <w:lvlText w:val="%7."/>
      <w:lvlJc w:val="left"/>
      <w:pPr>
        <w:tabs>
          <w:tab w:val="left" w:pos="3231"/>
        </w:tabs>
        <w:ind w:left="3231" w:hanging="420"/>
      </w:pPr>
    </w:lvl>
    <w:lvl w:ilvl="7" w:tentative="0">
      <w:start w:val="1"/>
      <w:numFmt w:val="lowerLetter"/>
      <w:lvlText w:val="%8)"/>
      <w:lvlJc w:val="left"/>
      <w:pPr>
        <w:tabs>
          <w:tab w:val="left" w:pos="3651"/>
        </w:tabs>
        <w:ind w:left="3651" w:hanging="420"/>
      </w:pPr>
    </w:lvl>
    <w:lvl w:ilvl="8" w:tentative="0">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40"/>
        <w:suff w:val="space"/>
        <w:lvlText w:val="%1."/>
        <w:lvlJc w:val="left"/>
        <w:pPr>
          <w:ind w:left="833" w:hanging="113"/>
        </w:pPr>
        <w:rPr>
          <w:rFonts w:hint="eastAsia" w:ascii="Times New Roman" w:hAnsi="Times New Roman" w:eastAsia="宋体"/>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141"/>
        <w:suff w:val="space"/>
        <w:lvlText w:val="%1.%2"/>
        <w:lvlJc w:val="left"/>
        <w:pPr>
          <w:ind w:left="653" w:hanging="113"/>
        </w:pPr>
        <w:rPr>
          <w:rFonts w:hint="default" w:ascii="Times New Roman" w:hAnsi="Times New Roman" w:cs="Times New Roman"/>
          <w:b w:val="0"/>
        </w:rPr>
      </w:lvl>
    </w:lvlOverride>
    <w:lvlOverride w:ilvl="2">
      <w:lvl w:ilvl="2" w:tentative="1">
        <w:start w:val="1"/>
        <w:numFmt w:val="lowerLetter"/>
        <w:pStyle w:val="142"/>
        <w:suff w:val="space"/>
        <w:lvlText w:val="(%3) "/>
        <w:lvlJc w:val="left"/>
        <w:pPr>
          <w:ind w:left="679" w:hanging="225"/>
        </w:pPr>
        <w:rPr>
          <w:rFonts w:hint="eastAsia"/>
        </w:rPr>
      </w:lvl>
    </w:lvlOverride>
    <w:lvlOverride w:ilvl="3">
      <w:lvl w:ilvl="3" w:tentative="1">
        <w:start w:val="1"/>
        <w:numFmt w:val="decimal"/>
        <w:pStyle w:val="143"/>
        <w:suff w:val="space"/>
        <w:lvlText w:val="(%4) "/>
        <w:lvlJc w:val="left"/>
        <w:pPr>
          <w:ind w:left="765" w:hanging="397"/>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F76"/>
    <w:rsid w:val="00007FA9"/>
    <w:rsid w:val="00010102"/>
    <w:rsid w:val="00010AAF"/>
    <w:rsid w:val="000133B4"/>
    <w:rsid w:val="00014445"/>
    <w:rsid w:val="0001474D"/>
    <w:rsid w:val="00014F58"/>
    <w:rsid w:val="00015E98"/>
    <w:rsid w:val="00015EE7"/>
    <w:rsid w:val="0001716B"/>
    <w:rsid w:val="00020A4A"/>
    <w:rsid w:val="00020D99"/>
    <w:rsid w:val="000211EA"/>
    <w:rsid w:val="0002320B"/>
    <w:rsid w:val="000234B2"/>
    <w:rsid w:val="0002382E"/>
    <w:rsid w:val="0003072D"/>
    <w:rsid w:val="000315E7"/>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677"/>
    <w:rsid w:val="00052BC1"/>
    <w:rsid w:val="000535E2"/>
    <w:rsid w:val="00053715"/>
    <w:rsid w:val="000538BE"/>
    <w:rsid w:val="0005582B"/>
    <w:rsid w:val="00055C4B"/>
    <w:rsid w:val="00056419"/>
    <w:rsid w:val="00057332"/>
    <w:rsid w:val="000602D1"/>
    <w:rsid w:val="0006267A"/>
    <w:rsid w:val="0006297C"/>
    <w:rsid w:val="00063131"/>
    <w:rsid w:val="000638E3"/>
    <w:rsid w:val="000660B6"/>
    <w:rsid w:val="0006670C"/>
    <w:rsid w:val="000668CA"/>
    <w:rsid w:val="00067CAD"/>
    <w:rsid w:val="00070519"/>
    <w:rsid w:val="00070736"/>
    <w:rsid w:val="00073C1E"/>
    <w:rsid w:val="00074BE0"/>
    <w:rsid w:val="000750DC"/>
    <w:rsid w:val="00076489"/>
    <w:rsid w:val="00077188"/>
    <w:rsid w:val="000774DC"/>
    <w:rsid w:val="00077CD3"/>
    <w:rsid w:val="00080D6E"/>
    <w:rsid w:val="0008124B"/>
    <w:rsid w:val="00082211"/>
    <w:rsid w:val="00082667"/>
    <w:rsid w:val="00083DC6"/>
    <w:rsid w:val="00083E5C"/>
    <w:rsid w:val="000848B0"/>
    <w:rsid w:val="00085089"/>
    <w:rsid w:val="000869D8"/>
    <w:rsid w:val="00086FD8"/>
    <w:rsid w:val="00087ABB"/>
    <w:rsid w:val="00092176"/>
    <w:rsid w:val="00092FC7"/>
    <w:rsid w:val="00094A9F"/>
    <w:rsid w:val="00095333"/>
    <w:rsid w:val="000954D5"/>
    <w:rsid w:val="0009618D"/>
    <w:rsid w:val="0009709B"/>
    <w:rsid w:val="000A21E9"/>
    <w:rsid w:val="000A3F6D"/>
    <w:rsid w:val="000A5791"/>
    <w:rsid w:val="000A6571"/>
    <w:rsid w:val="000A6B5B"/>
    <w:rsid w:val="000B05E2"/>
    <w:rsid w:val="000B2568"/>
    <w:rsid w:val="000B381C"/>
    <w:rsid w:val="000B395A"/>
    <w:rsid w:val="000B4591"/>
    <w:rsid w:val="000B4944"/>
    <w:rsid w:val="000B600D"/>
    <w:rsid w:val="000B6961"/>
    <w:rsid w:val="000B6B59"/>
    <w:rsid w:val="000B7B54"/>
    <w:rsid w:val="000C0173"/>
    <w:rsid w:val="000C0854"/>
    <w:rsid w:val="000C1EE4"/>
    <w:rsid w:val="000C2446"/>
    <w:rsid w:val="000C3D9C"/>
    <w:rsid w:val="000C4425"/>
    <w:rsid w:val="000C5958"/>
    <w:rsid w:val="000C639C"/>
    <w:rsid w:val="000C6FD0"/>
    <w:rsid w:val="000C70F7"/>
    <w:rsid w:val="000D0BB6"/>
    <w:rsid w:val="000D1A7D"/>
    <w:rsid w:val="000D1ABF"/>
    <w:rsid w:val="000D2309"/>
    <w:rsid w:val="000D23F0"/>
    <w:rsid w:val="000D38F9"/>
    <w:rsid w:val="000D3D96"/>
    <w:rsid w:val="000D4CFC"/>
    <w:rsid w:val="000D57B3"/>
    <w:rsid w:val="000D5F48"/>
    <w:rsid w:val="000D7263"/>
    <w:rsid w:val="000E0227"/>
    <w:rsid w:val="000E4690"/>
    <w:rsid w:val="000E4DE8"/>
    <w:rsid w:val="000E5B12"/>
    <w:rsid w:val="000E6596"/>
    <w:rsid w:val="000F1E88"/>
    <w:rsid w:val="000F2065"/>
    <w:rsid w:val="000F294F"/>
    <w:rsid w:val="000F2A88"/>
    <w:rsid w:val="000F2B98"/>
    <w:rsid w:val="000F2D1B"/>
    <w:rsid w:val="000F47EC"/>
    <w:rsid w:val="000F515E"/>
    <w:rsid w:val="000F565B"/>
    <w:rsid w:val="000F5862"/>
    <w:rsid w:val="000F5F3F"/>
    <w:rsid w:val="00101A04"/>
    <w:rsid w:val="00101DD0"/>
    <w:rsid w:val="00102555"/>
    <w:rsid w:val="00102B60"/>
    <w:rsid w:val="00103CCF"/>
    <w:rsid w:val="0010441F"/>
    <w:rsid w:val="001047E8"/>
    <w:rsid w:val="00104845"/>
    <w:rsid w:val="00104D80"/>
    <w:rsid w:val="00106C9F"/>
    <w:rsid w:val="001075B1"/>
    <w:rsid w:val="001076CD"/>
    <w:rsid w:val="00107D54"/>
    <w:rsid w:val="00110378"/>
    <w:rsid w:val="0011099E"/>
    <w:rsid w:val="00111A14"/>
    <w:rsid w:val="0011225A"/>
    <w:rsid w:val="00113803"/>
    <w:rsid w:val="00115A55"/>
    <w:rsid w:val="001208AF"/>
    <w:rsid w:val="001212EF"/>
    <w:rsid w:val="001217DC"/>
    <w:rsid w:val="0012203F"/>
    <w:rsid w:val="00122A2A"/>
    <w:rsid w:val="00122EAA"/>
    <w:rsid w:val="001235F4"/>
    <w:rsid w:val="00123CC6"/>
    <w:rsid w:val="00124E1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4EFD"/>
    <w:rsid w:val="001474AE"/>
    <w:rsid w:val="0014770B"/>
    <w:rsid w:val="00147B3F"/>
    <w:rsid w:val="001516CD"/>
    <w:rsid w:val="00153E64"/>
    <w:rsid w:val="0015799D"/>
    <w:rsid w:val="00157E23"/>
    <w:rsid w:val="00157FC3"/>
    <w:rsid w:val="001611FB"/>
    <w:rsid w:val="00161C84"/>
    <w:rsid w:val="00161D0D"/>
    <w:rsid w:val="001626BD"/>
    <w:rsid w:val="00163EC1"/>
    <w:rsid w:val="00164E23"/>
    <w:rsid w:val="0016595F"/>
    <w:rsid w:val="001659D2"/>
    <w:rsid w:val="00166315"/>
    <w:rsid w:val="00166A2C"/>
    <w:rsid w:val="00167BAC"/>
    <w:rsid w:val="00177167"/>
    <w:rsid w:val="00180916"/>
    <w:rsid w:val="00180FCF"/>
    <w:rsid w:val="00181E4F"/>
    <w:rsid w:val="00181EB1"/>
    <w:rsid w:val="00182400"/>
    <w:rsid w:val="00183C79"/>
    <w:rsid w:val="00183C8B"/>
    <w:rsid w:val="00183E75"/>
    <w:rsid w:val="001845CF"/>
    <w:rsid w:val="001860A1"/>
    <w:rsid w:val="001865BB"/>
    <w:rsid w:val="00187518"/>
    <w:rsid w:val="00187941"/>
    <w:rsid w:val="00190FCD"/>
    <w:rsid w:val="00192B89"/>
    <w:rsid w:val="00194A7D"/>
    <w:rsid w:val="00194FD4"/>
    <w:rsid w:val="00196B4E"/>
    <w:rsid w:val="00197E75"/>
    <w:rsid w:val="001A027A"/>
    <w:rsid w:val="001A0D2C"/>
    <w:rsid w:val="001A0F8D"/>
    <w:rsid w:val="001A3EB9"/>
    <w:rsid w:val="001A422B"/>
    <w:rsid w:val="001A440A"/>
    <w:rsid w:val="001A4A55"/>
    <w:rsid w:val="001A576E"/>
    <w:rsid w:val="001A647E"/>
    <w:rsid w:val="001A6A4F"/>
    <w:rsid w:val="001A6E4E"/>
    <w:rsid w:val="001A7015"/>
    <w:rsid w:val="001A76B7"/>
    <w:rsid w:val="001B12AF"/>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C5"/>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675E"/>
    <w:rsid w:val="001E72E6"/>
    <w:rsid w:val="001F0349"/>
    <w:rsid w:val="001F06D1"/>
    <w:rsid w:val="001F0B74"/>
    <w:rsid w:val="001F39D9"/>
    <w:rsid w:val="001F3D5B"/>
    <w:rsid w:val="001F4EB8"/>
    <w:rsid w:val="001F5191"/>
    <w:rsid w:val="001F6287"/>
    <w:rsid w:val="001F6F6A"/>
    <w:rsid w:val="001F7595"/>
    <w:rsid w:val="0020005F"/>
    <w:rsid w:val="00200B34"/>
    <w:rsid w:val="00200B4C"/>
    <w:rsid w:val="00200F8B"/>
    <w:rsid w:val="00203267"/>
    <w:rsid w:val="0020391D"/>
    <w:rsid w:val="00204856"/>
    <w:rsid w:val="00205DF8"/>
    <w:rsid w:val="00205F9C"/>
    <w:rsid w:val="00206D04"/>
    <w:rsid w:val="0020781D"/>
    <w:rsid w:val="00210771"/>
    <w:rsid w:val="0021117A"/>
    <w:rsid w:val="00211885"/>
    <w:rsid w:val="00211AB7"/>
    <w:rsid w:val="00212373"/>
    <w:rsid w:val="00212A69"/>
    <w:rsid w:val="00214F31"/>
    <w:rsid w:val="0021558C"/>
    <w:rsid w:val="00215699"/>
    <w:rsid w:val="002159DE"/>
    <w:rsid w:val="00215E99"/>
    <w:rsid w:val="002166A6"/>
    <w:rsid w:val="00216782"/>
    <w:rsid w:val="0021693C"/>
    <w:rsid w:val="00216B63"/>
    <w:rsid w:val="00216BB6"/>
    <w:rsid w:val="00216C30"/>
    <w:rsid w:val="00217393"/>
    <w:rsid w:val="0021798E"/>
    <w:rsid w:val="0022048B"/>
    <w:rsid w:val="002212D1"/>
    <w:rsid w:val="00222261"/>
    <w:rsid w:val="002237D3"/>
    <w:rsid w:val="002252E7"/>
    <w:rsid w:val="00227D49"/>
    <w:rsid w:val="00227FC7"/>
    <w:rsid w:val="0023341A"/>
    <w:rsid w:val="0023399E"/>
    <w:rsid w:val="002368D8"/>
    <w:rsid w:val="00236E72"/>
    <w:rsid w:val="002372F4"/>
    <w:rsid w:val="002407AC"/>
    <w:rsid w:val="00243781"/>
    <w:rsid w:val="002449CB"/>
    <w:rsid w:val="00246CCD"/>
    <w:rsid w:val="002502A3"/>
    <w:rsid w:val="00250F42"/>
    <w:rsid w:val="00250F9F"/>
    <w:rsid w:val="00254B44"/>
    <w:rsid w:val="00254E99"/>
    <w:rsid w:val="00256A87"/>
    <w:rsid w:val="00257B6E"/>
    <w:rsid w:val="0026027A"/>
    <w:rsid w:val="00260423"/>
    <w:rsid w:val="00260533"/>
    <w:rsid w:val="00261A54"/>
    <w:rsid w:val="00261D37"/>
    <w:rsid w:val="0026260F"/>
    <w:rsid w:val="00262CBF"/>
    <w:rsid w:val="00263247"/>
    <w:rsid w:val="00263607"/>
    <w:rsid w:val="00264EAD"/>
    <w:rsid w:val="002656E1"/>
    <w:rsid w:val="00265CFF"/>
    <w:rsid w:val="00273278"/>
    <w:rsid w:val="00274ACC"/>
    <w:rsid w:val="00274BDB"/>
    <w:rsid w:val="00275641"/>
    <w:rsid w:val="002762AC"/>
    <w:rsid w:val="002778AB"/>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52AA"/>
    <w:rsid w:val="00296CAB"/>
    <w:rsid w:val="00296F46"/>
    <w:rsid w:val="00296F6E"/>
    <w:rsid w:val="00296F8A"/>
    <w:rsid w:val="002A15C8"/>
    <w:rsid w:val="002A180F"/>
    <w:rsid w:val="002A2291"/>
    <w:rsid w:val="002A292E"/>
    <w:rsid w:val="002A367A"/>
    <w:rsid w:val="002A425C"/>
    <w:rsid w:val="002A547D"/>
    <w:rsid w:val="002A5CFA"/>
    <w:rsid w:val="002A7597"/>
    <w:rsid w:val="002B22D4"/>
    <w:rsid w:val="002B3FD0"/>
    <w:rsid w:val="002B53AF"/>
    <w:rsid w:val="002B5C84"/>
    <w:rsid w:val="002B7969"/>
    <w:rsid w:val="002C02E8"/>
    <w:rsid w:val="002C0E76"/>
    <w:rsid w:val="002C1405"/>
    <w:rsid w:val="002C2DB8"/>
    <w:rsid w:val="002C4456"/>
    <w:rsid w:val="002D0356"/>
    <w:rsid w:val="002D07C0"/>
    <w:rsid w:val="002D14B7"/>
    <w:rsid w:val="002D3EC8"/>
    <w:rsid w:val="002D45BF"/>
    <w:rsid w:val="002D4A85"/>
    <w:rsid w:val="002D5FA6"/>
    <w:rsid w:val="002D627C"/>
    <w:rsid w:val="002D64DF"/>
    <w:rsid w:val="002D6F00"/>
    <w:rsid w:val="002D740A"/>
    <w:rsid w:val="002E2DC8"/>
    <w:rsid w:val="002E38DB"/>
    <w:rsid w:val="002E5251"/>
    <w:rsid w:val="002E603D"/>
    <w:rsid w:val="002E6AC9"/>
    <w:rsid w:val="002E6F48"/>
    <w:rsid w:val="002E7553"/>
    <w:rsid w:val="002E7B71"/>
    <w:rsid w:val="002E7BA1"/>
    <w:rsid w:val="002F1468"/>
    <w:rsid w:val="002F28B5"/>
    <w:rsid w:val="002F2B7A"/>
    <w:rsid w:val="002F2C03"/>
    <w:rsid w:val="002F3105"/>
    <w:rsid w:val="002F379C"/>
    <w:rsid w:val="002F4205"/>
    <w:rsid w:val="002F45BB"/>
    <w:rsid w:val="002F4AEB"/>
    <w:rsid w:val="002F5836"/>
    <w:rsid w:val="002F5892"/>
    <w:rsid w:val="002F60C7"/>
    <w:rsid w:val="002F72FF"/>
    <w:rsid w:val="0030110E"/>
    <w:rsid w:val="00301583"/>
    <w:rsid w:val="00301A86"/>
    <w:rsid w:val="0030463E"/>
    <w:rsid w:val="00304712"/>
    <w:rsid w:val="00304ED6"/>
    <w:rsid w:val="0030529D"/>
    <w:rsid w:val="00306285"/>
    <w:rsid w:val="003065CD"/>
    <w:rsid w:val="00307223"/>
    <w:rsid w:val="00312115"/>
    <w:rsid w:val="00312839"/>
    <w:rsid w:val="00313197"/>
    <w:rsid w:val="00314E7E"/>
    <w:rsid w:val="003152A5"/>
    <w:rsid w:val="003159B9"/>
    <w:rsid w:val="00315A06"/>
    <w:rsid w:val="00315FC8"/>
    <w:rsid w:val="00316556"/>
    <w:rsid w:val="00317D6E"/>
    <w:rsid w:val="003217E0"/>
    <w:rsid w:val="00322121"/>
    <w:rsid w:val="003225FB"/>
    <w:rsid w:val="00323A7C"/>
    <w:rsid w:val="00323C32"/>
    <w:rsid w:val="00324A1D"/>
    <w:rsid w:val="00325742"/>
    <w:rsid w:val="00326D1D"/>
    <w:rsid w:val="00327AB3"/>
    <w:rsid w:val="00327B81"/>
    <w:rsid w:val="003300E7"/>
    <w:rsid w:val="003324F3"/>
    <w:rsid w:val="00333422"/>
    <w:rsid w:val="00335992"/>
    <w:rsid w:val="003368DF"/>
    <w:rsid w:val="0033764B"/>
    <w:rsid w:val="00340778"/>
    <w:rsid w:val="00340F70"/>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46AAB"/>
    <w:rsid w:val="00350662"/>
    <w:rsid w:val="0035067B"/>
    <w:rsid w:val="00350ABA"/>
    <w:rsid w:val="00351FB4"/>
    <w:rsid w:val="003548DF"/>
    <w:rsid w:val="00354AA5"/>
    <w:rsid w:val="00355802"/>
    <w:rsid w:val="00356EEB"/>
    <w:rsid w:val="00357418"/>
    <w:rsid w:val="0035742D"/>
    <w:rsid w:val="003577D5"/>
    <w:rsid w:val="00360494"/>
    <w:rsid w:val="00363E58"/>
    <w:rsid w:val="0036404A"/>
    <w:rsid w:val="0036508D"/>
    <w:rsid w:val="003651C8"/>
    <w:rsid w:val="00365BD4"/>
    <w:rsid w:val="00366967"/>
    <w:rsid w:val="003700A3"/>
    <w:rsid w:val="003701E8"/>
    <w:rsid w:val="00370B40"/>
    <w:rsid w:val="00372078"/>
    <w:rsid w:val="00373411"/>
    <w:rsid w:val="00373681"/>
    <w:rsid w:val="00373C35"/>
    <w:rsid w:val="00373D40"/>
    <w:rsid w:val="00377A94"/>
    <w:rsid w:val="00377BE4"/>
    <w:rsid w:val="00380094"/>
    <w:rsid w:val="00382A1D"/>
    <w:rsid w:val="00383071"/>
    <w:rsid w:val="003837F4"/>
    <w:rsid w:val="00383E66"/>
    <w:rsid w:val="003846D9"/>
    <w:rsid w:val="00385D6F"/>
    <w:rsid w:val="00385F39"/>
    <w:rsid w:val="00386757"/>
    <w:rsid w:val="00386E26"/>
    <w:rsid w:val="00386F0A"/>
    <w:rsid w:val="00387C45"/>
    <w:rsid w:val="00391FAB"/>
    <w:rsid w:val="00392539"/>
    <w:rsid w:val="00392677"/>
    <w:rsid w:val="00392889"/>
    <w:rsid w:val="00394981"/>
    <w:rsid w:val="003953A8"/>
    <w:rsid w:val="00396FEA"/>
    <w:rsid w:val="0039788E"/>
    <w:rsid w:val="003A3551"/>
    <w:rsid w:val="003A38F0"/>
    <w:rsid w:val="003A4376"/>
    <w:rsid w:val="003A443D"/>
    <w:rsid w:val="003A4932"/>
    <w:rsid w:val="003A6A5A"/>
    <w:rsid w:val="003A72E9"/>
    <w:rsid w:val="003A7414"/>
    <w:rsid w:val="003B036D"/>
    <w:rsid w:val="003B236E"/>
    <w:rsid w:val="003B2DEF"/>
    <w:rsid w:val="003B51C6"/>
    <w:rsid w:val="003B59EE"/>
    <w:rsid w:val="003B5C1A"/>
    <w:rsid w:val="003B6FF1"/>
    <w:rsid w:val="003B726C"/>
    <w:rsid w:val="003B7D88"/>
    <w:rsid w:val="003C29AC"/>
    <w:rsid w:val="003C3936"/>
    <w:rsid w:val="003C3BA6"/>
    <w:rsid w:val="003C4206"/>
    <w:rsid w:val="003C4538"/>
    <w:rsid w:val="003C523B"/>
    <w:rsid w:val="003C5887"/>
    <w:rsid w:val="003C64E9"/>
    <w:rsid w:val="003C6994"/>
    <w:rsid w:val="003C6C81"/>
    <w:rsid w:val="003D1E28"/>
    <w:rsid w:val="003D2333"/>
    <w:rsid w:val="003D4C0C"/>
    <w:rsid w:val="003D5413"/>
    <w:rsid w:val="003D6E30"/>
    <w:rsid w:val="003D70B5"/>
    <w:rsid w:val="003D7B45"/>
    <w:rsid w:val="003D7CAC"/>
    <w:rsid w:val="003D7EC3"/>
    <w:rsid w:val="003E023E"/>
    <w:rsid w:val="003E03E3"/>
    <w:rsid w:val="003E05FE"/>
    <w:rsid w:val="003E21FC"/>
    <w:rsid w:val="003E3BD8"/>
    <w:rsid w:val="003E3BF9"/>
    <w:rsid w:val="003E47DE"/>
    <w:rsid w:val="003E5075"/>
    <w:rsid w:val="003F09CB"/>
    <w:rsid w:val="003F10D3"/>
    <w:rsid w:val="003F12FF"/>
    <w:rsid w:val="003F1548"/>
    <w:rsid w:val="003F2B3D"/>
    <w:rsid w:val="003F3105"/>
    <w:rsid w:val="003F4172"/>
    <w:rsid w:val="003F4249"/>
    <w:rsid w:val="003F5086"/>
    <w:rsid w:val="003F525C"/>
    <w:rsid w:val="003F550A"/>
    <w:rsid w:val="003F6612"/>
    <w:rsid w:val="003F6ECC"/>
    <w:rsid w:val="003F70FE"/>
    <w:rsid w:val="003F7F94"/>
    <w:rsid w:val="00403364"/>
    <w:rsid w:val="0040415C"/>
    <w:rsid w:val="00405CFF"/>
    <w:rsid w:val="004065CE"/>
    <w:rsid w:val="00407FDA"/>
    <w:rsid w:val="00411AE8"/>
    <w:rsid w:val="0041450E"/>
    <w:rsid w:val="00415370"/>
    <w:rsid w:val="00415781"/>
    <w:rsid w:val="00415F80"/>
    <w:rsid w:val="00416F40"/>
    <w:rsid w:val="00417769"/>
    <w:rsid w:val="00417E25"/>
    <w:rsid w:val="00417E9D"/>
    <w:rsid w:val="00421021"/>
    <w:rsid w:val="00421EF2"/>
    <w:rsid w:val="00422346"/>
    <w:rsid w:val="00422668"/>
    <w:rsid w:val="00424CC9"/>
    <w:rsid w:val="00425E0C"/>
    <w:rsid w:val="004311CE"/>
    <w:rsid w:val="00431AC1"/>
    <w:rsid w:val="004329C9"/>
    <w:rsid w:val="00432C23"/>
    <w:rsid w:val="00432CD5"/>
    <w:rsid w:val="004339E8"/>
    <w:rsid w:val="00433E78"/>
    <w:rsid w:val="004363FA"/>
    <w:rsid w:val="004364CC"/>
    <w:rsid w:val="0044033B"/>
    <w:rsid w:val="004405B0"/>
    <w:rsid w:val="00440CCD"/>
    <w:rsid w:val="004417BD"/>
    <w:rsid w:val="00441FF9"/>
    <w:rsid w:val="00442C88"/>
    <w:rsid w:val="00443128"/>
    <w:rsid w:val="0044382F"/>
    <w:rsid w:val="004442EB"/>
    <w:rsid w:val="00444910"/>
    <w:rsid w:val="00447B77"/>
    <w:rsid w:val="0045135E"/>
    <w:rsid w:val="00453062"/>
    <w:rsid w:val="00454597"/>
    <w:rsid w:val="004548E6"/>
    <w:rsid w:val="0045543A"/>
    <w:rsid w:val="004561F9"/>
    <w:rsid w:val="0045637C"/>
    <w:rsid w:val="004627B7"/>
    <w:rsid w:val="00462AA5"/>
    <w:rsid w:val="00465F04"/>
    <w:rsid w:val="004661D8"/>
    <w:rsid w:val="00466EEE"/>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13C4"/>
    <w:rsid w:val="004A201B"/>
    <w:rsid w:val="004A26D5"/>
    <w:rsid w:val="004A40DD"/>
    <w:rsid w:val="004A4377"/>
    <w:rsid w:val="004A57EB"/>
    <w:rsid w:val="004A5824"/>
    <w:rsid w:val="004B0652"/>
    <w:rsid w:val="004B0F93"/>
    <w:rsid w:val="004B1CAB"/>
    <w:rsid w:val="004B308A"/>
    <w:rsid w:val="004B31A2"/>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ED9"/>
    <w:rsid w:val="004D000F"/>
    <w:rsid w:val="004D40AF"/>
    <w:rsid w:val="004D4AE0"/>
    <w:rsid w:val="004D5B11"/>
    <w:rsid w:val="004D7BF4"/>
    <w:rsid w:val="004D7C92"/>
    <w:rsid w:val="004E0A5F"/>
    <w:rsid w:val="004E0E95"/>
    <w:rsid w:val="004E1D0E"/>
    <w:rsid w:val="004E2A8D"/>
    <w:rsid w:val="004E38B2"/>
    <w:rsid w:val="004E3936"/>
    <w:rsid w:val="004E47F9"/>
    <w:rsid w:val="004E57DE"/>
    <w:rsid w:val="004E57F7"/>
    <w:rsid w:val="004E5D9C"/>
    <w:rsid w:val="004E6B8E"/>
    <w:rsid w:val="004E7880"/>
    <w:rsid w:val="004F0543"/>
    <w:rsid w:val="004F0FE2"/>
    <w:rsid w:val="004F114F"/>
    <w:rsid w:val="004F32FF"/>
    <w:rsid w:val="004F3475"/>
    <w:rsid w:val="004F5B65"/>
    <w:rsid w:val="004F7619"/>
    <w:rsid w:val="004F786A"/>
    <w:rsid w:val="005008BE"/>
    <w:rsid w:val="00500F7A"/>
    <w:rsid w:val="005012AD"/>
    <w:rsid w:val="00502333"/>
    <w:rsid w:val="005027BB"/>
    <w:rsid w:val="00502ADE"/>
    <w:rsid w:val="005037E1"/>
    <w:rsid w:val="00503B5C"/>
    <w:rsid w:val="00503B96"/>
    <w:rsid w:val="0050456A"/>
    <w:rsid w:val="005068E1"/>
    <w:rsid w:val="00507222"/>
    <w:rsid w:val="005077C5"/>
    <w:rsid w:val="0051168A"/>
    <w:rsid w:val="00511F02"/>
    <w:rsid w:val="005122F4"/>
    <w:rsid w:val="00512FEC"/>
    <w:rsid w:val="00514E36"/>
    <w:rsid w:val="005156A6"/>
    <w:rsid w:val="00516393"/>
    <w:rsid w:val="005163CF"/>
    <w:rsid w:val="005168AE"/>
    <w:rsid w:val="005173ED"/>
    <w:rsid w:val="00520B4F"/>
    <w:rsid w:val="00524AD7"/>
    <w:rsid w:val="00525BA5"/>
    <w:rsid w:val="00526CFF"/>
    <w:rsid w:val="005274F8"/>
    <w:rsid w:val="00531D92"/>
    <w:rsid w:val="00531F39"/>
    <w:rsid w:val="00533920"/>
    <w:rsid w:val="0053480E"/>
    <w:rsid w:val="00535324"/>
    <w:rsid w:val="0053558A"/>
    <w:rsid w:val="00535B7C"/>
    <w:rsid w:val="005371C4"/>
    <w:rsid w:val="00540EF1"/>
    <w:rsid w:val="005414FB"/>
    <w:rsid w:val="0054216F"/>
    <w:rsid w:val="005422CE"/>
    <w:rsid w:val="00542B78"/>
    <w:rsid w:val="00542F18"/>
    <w:rsid w:val="005443ED"/>
    <w:rsid w:val="00544853"/>
    <w:rsid w:val="005450B1"/>
    <w:rsid w:val="005450E2"/>
    <w:rsid w:val="005451CF"/>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67934"/>
    <w:rsid w:val="005702AF"/>
    <w:rsid w:val="00570C98"/>
    <w:rsid w:val="00571D59"/>
    <w:rsid w:val="00572E3E"/>
    <w:rsid w:val="0057420B"/>
    <w:rsid w:val="00575D3B"/>
    <w:rsid w:val="00580280"/>
    <w:rsid w:val="005807A2"/>
    <w:rsid w:val="0058135A"/>
    <w:rsid w:val="0058160D"/>
    <w:rsid w:val="00583FDC"/>
    <w:rsid w:val="00584058"/>
    <w:rsid w:val="005844B5"/>
    <w:rsid w:val="00585571"/>
    <w:rsid w:val="00585B91"/>
    <w:rsid w:val="00586390"/>
    <w:rsid w:val="00586BF1"/>
    <w:rsid w:val="00587147"/>
    <w:rsid w:val="00590343"/>
    <w:rsid w:val="005903B6"/>
    <w:rsid w:val="005903E4"/>
    <w:rsid w:val="00590F0F"/>
    <w:rsid w:val="005931F7"/>
    <w:rsid w:val="00594777"/>
    <w:rsid w:val="00594826"/>
    <w:rsid w:val="005950D6"/>
    <w:rsid w:val="0059751C"/>
    <w:rsid w:val="00597919"/>
    <w:rsid w:val="005A0B9F"/>
    <w:rsid w:val="005A0C8A"/>
    <w:rsid w:val="005A3F51"/>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06"/>
    <w:rsid w:val="005C6150"/>
    <w:rsid w:val="005C635D"/>
    <w:rsid w:val="005D097F"/>
    <w:rsid w:val="005D1D9F"/>
    <w:rsid w:val="005D29A7"/>
    <w:rsid w:val="005D42B4"/>
    <w:rsid w:val="005D4AE2"/>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0A20"/>
    <w:rsid w:val="00600F56"/>
    <w:rsid w:val="00601735"/>
    <w:rsid w:val="00601E96"/>
    <w:rsid w:val="0060244B"/>
    <w:rsid w:val="00602BD2"/>
    <w:rsid w:val="00605DAE"/>
    <w:rsid w:val="00613C47"/>
    <w:rsid w:val="006148AC"/>
    <w:rsid w:val="00615497"/>
    <w:rsid w:val="00616201"/>
    <w:rsid w:val="00616225"/>
    <w:rsid w:val="00617A8B"/>
    <w:rsid w:val="00617C31"/>
    <w:rsid w:val="00622E71"/>
    <w:rsid w:val="00622EAF"/>
    <w:rsid w:val="00622FEA"/>
    <w:rsid w:val="00623CDF"/>
    <w:rsid w:val="00623DB1"/>
    <w:rsid w:val="00623F0A"/>
    <w:rsid w:val="006245F3"/>
    <w:rsid w:val="0062479D"/>
    <w:rsid w:val="006249A4"/>
    <w:rsid w:val="00626D0A"/>
    <w:rsid w:val="006278BB"/>
    <w:rsid w:val="00630C76"/>
    <w:rsid w:val="0063195B"/>
    <w:rsid w:val="006319CA"/>
    <w:rsid w:val="00634EC0"/>
    <w:rsid w:val="0063627F"/>
    <w:rsid w:val="0063643E"/>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579C5"/>
    <w:rsid w:val="0066127E"/>
    <w:rsid w:val="00661918"/>
    <w:rsid w:val="00661AF7"/>
    <w:rsid w:val="00662A5A"/>
    <w:rsid w:val="00663D65"/>
    <w:rsid w:val="00664505"/>
    <w:rsid w:val="006653D7"/>
    <w:rsid w:val="00665F5E"/>
    <w:rsid w:val="006665BA"/>
    <w:rsid w:val="006666D3"/>
    <w:rsid w:val="00666A4F"/>
    <w:rsid w:val="006703D9"/>
    <w:rsid w:val="00673C7C"/>
    <w:rsid w:val="00676233"/>
    <w:rsid w:val="00677487"/>
    <w:rsid w:val="00680936"/>
    <w:rsid w:val="00680D8C"/>
    <w:rsid w:val="00682725"/>
    <w:rsid w:val="00683164"/>
    <w:rsid w:val="00685397"/>
    <w:rsid w:val="006902D5"/>
    <w:rsid w:val="006908E4"/>
    <w:rsid w:val="0069128F"/>
    <w:rsid w:val="00692582"/>
    <w:rsid w:val="006933B6"/>
    <w:rsid w:val="00693652"/>
    <w:rsid w:val="006939E7"/>
    <w:rsid w:val="00693D3E"/>
    <w:rsid w:val="006942F7"/>
    <w:rsid w:val="006A0658"/>
    <w:rsid w:val="006A2150"/>
    <w:rsid w:val="006A241D"/>
    <w:rsid w:val="006A2D06"/>
    <w:rsid w:val="006A3288"/>
    <w:rsid w:val="006A43E6"/>
    <w:rsid w:val="006A594C"/>
    <w:rsid w:val="006A646B"/>
    <w:rsid w:val="006A70BE"/>
    <w:rsid w:val="006B059F"/>
    <w:rsid w:val="006B0A89"/>
    <w:rsid w:val="006B10FF"/>
    <w:rsid w:val="006B1A3B"/>
    <w:rsid w:val="006B4547"/>
    <w:rsid w:val="006B6F32"/>
    <w:rsid w:val="006B7130"/>
    <w:rsid w:val="006C0271"/>
    <w:rsid w:val="006C074D"/>
    <w:rsid w:val="006C1E58"/>
    <w:rsid w:val="006C3147"/>
    <w:rsid w:val="006C4150"/>
    <w:rsid w:val="006C5186"/>
    <w:rsid w:val="006C51DA"/>
    <w:rsid w:val="006C5683"/>
    <w:rsid w:val="006C5E33"/>
    <w:rsid w:val="006C5E48"/>
    <w:rsid w:val="006C6434"/>
    <w:rsid w:val="006C6CD8"/>
    <w:rsid w:val="006C7B61"/>
    <w:rsid w:val="006D013F"/>
    <w:rsid w:val="006D017F"/>
    <w:rsid w:val="006D0A53"/>
    <w:rsid w:val="006D1D3F"/>
    <w:rsid w:val="006D20A9"/>
    <w:rsid w:val="006D20B4"/>
    <w:rsid w:val="006D223D"/>
    <w:rsid w:val="006D253B"/>
    <w:rsid w:val="006D3000"/>
    <w:rsid w:val="006D30AC"/>
    <w:rsid w:val="006D30DD"/>
    <w:rsid w:val="006D56EA"/>
    <w:rsid w:val="006D57CB"/>
    <w:rsid w:val="006D6CDD"/>
    <w:rsid w:val="006D6DC0"/>
    <w:rsid w:val="006E0087"/>
    <w:rsid w:val="006E044C"/>
    <w:rsid w:val="006E04A7"/>
    <w:rsid w:val="006E4238"/>
    <w:rsid w:val="006E453A"/>
    <w:rsid w:val="006E5392"/>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6F7F33"/>
    <w:rsid w:val="00701CF4"/>
    <w:rsid w:val="00702B1B"/>
    <w:rsid w:val="00704164"/>
    <w:rsid w:val="00704BA8"/>
    <w:rsid w:val="00706A58"/>
    <w:rsid w:val="00710341"/>
    <w:rsid w:val="00710E0A"/>
    <w:rsid w:val="007110E1"/>
    <w:rsid w:val="00711B18"/>
    <w:rsid w:val="0071267A"/>
    <w:rsid w:val="007126D4"/>
    <w:rsid w:val="00712DE0"/>
    <w:rsid w:val="00712FC5"/>
    <w:rsid w:val="00713BE5"/>
    <w:rsid w:val="00713CCF"/>
    <w:rsid w:val="00714394"/>
    <w:rsid w:val="007161C6"/>
    <w:rsid w:val="00720EAA"/>
    <w:rsid w:val="00721F7E"/>
    <w:rsid w:val="00722E29"/>
    <w:rsid w:val="00724606"/>
    <w:rsid w:val="0072460D"/>
    <w:rsid w:val="00724C34"/>
    <w:rsid w:val="00724E85"/>
    <w:rsid w:val="007255BA"/>
    <w:rsid w:val="00727583"/>
    <w:rsid w:val="00730073"/>
    <w:rsid w:val="00730DDD"/>
    <w:rsid w:val="00731DE8"/>
    <w:rsid w:val="007321A6"/>
    <w:rsid w:val="00734887"/>
    <w:rsid w:val="00735CD2"/>
    <w:rsid w:val="007365B6"/>
    <w:rsid w:val="007401E2"/>
    <w:rsid w:val="007411E5"/>
    <w:rsid w:val="0074274D"/>
    <w:rsid w:val="00743A99"/>
    <w:rsid w:val="00745DDA"/>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783"/>
    <w:rsid w:val="00765DD8"/>
    <w:rsid w:val="00765EE4"/>
    <w:rsid w:val="007669D3"/>
    <w:rsid w:val="00766D36"/>
    <w:rsid w:val="007673C6"/>
    <w:rsid w:val="00767607"/>
    <w:rsid w:val="007704FE"/>
    <w:rsid w:val="007709CB"/>
    <w:rsid w:val="0077165F"/>
    <w:rsid w:val="007731BA"/>
    <w:rsid w:val="00773874"/>
    <w:rsid w:val="007743ED"/>
    <w:rsid w:val="0077447E"/>
    <w:rsid w:val="0077477A"/>
    <w:rsid w:val="007764F6"/>
    <w:rsid w:val="007770B9"/>
    <w:rsid w:val="007802D9"/>
    <w:rsid w:val="00780D88"/>
    <w:rsid w:val="00781C1F"/>
    <w:rsid w:val="007840F3"/>
    <w:rsid w:val="007850DC"/>
    <w:rsid w:val="00785491"/>
    <w:rsid w:val="007858C0"/>
    <w:rsid w:val="0078679A"/>
    <w:rsid w:val="00790739"/>
    <w:rsid w:val="0079113B"/>
    <w:rsid w:val="00791A38"/>
    <w:rsid w:val="00791EC6"/>
    <w:rsid w:val="00792447"/>
    <w:rsid w:val="00792D96"/>
    <w:rsid w:val="00794A05"/>
    <w:rsid w:val="00795C0D"/>
    <w:rsid w:val="0079694C"/>
    <w:rsid w:val="00796DBD"/>
    <w:rsid w:val="007A3977"/>
    <w:rsid w:val="007A4E17"/>
    <w:rsid w:val="007A502E"/>
    <w:rsid w:val="007A641B"/>
    <w:rsid w:val="007A643A"/>
    <w:rsid w:val="007A78DB"/>
    <w:rsid w:val="007A7F6D"/>
    <w:rsid w:val="007B0814"/>
    <w:rsid w:val="007B0FBD"/>
    <w:rsid w:val="007B1BAF"/>
    <w:rsid w:val="007B1FFC"/>
    <w:rsid w:val="007B2896"/>
    <w:rsid w:val="007B2CDD"/>
    <w:rsid w:val="007B35F7"/>
    <w:rsid w:val="007B3699"/>
    <w:rsid w:val="007B41D6"/>
    <w:rsid w:val="007B4F72"/>
    <w:rsid w:val="007B7A4A"/>
    <w:rsid w:val="007B7E88"/>
    <w:rsid w:val="007C0E04"/>
    <w:rsid w:val="007C1AEE"/>
    <w:rsid w:val="007C2476"/>
    <w:rsid w:val="007C2827"/>
    <w:rsid w:val="007C2B80"/>
    <w:rsid w:val="007C343A"/>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1C82"/>
    <w:rsid w:val="007E21FB"/>
    <w:rsid w:val="007E2E52"/>
    <w:rsid w:val="007E3953"/>
    <w:rsid w:val="007E420B"/>
    <w:rsid w:val="007E4932"/>
    <w:rsid w:val="007E502C"/>
    <w:rsid w:val="007E5BD7"/>
    <w:rsid w:val="007E5E66"/>
    <w:rsid w:val="007E6023"/>
    <w:rsid w:val="007E6062"/>
    <w:rsid w:val="007E7158"/>
    <w:rsid w:val="007E75F0"/>
    <w:rsid w:val="007E7968"/>
    <w:rsid w:val="007F013A"/>
    <w:rsid w:val="007F0F3F"/>
    <w:rsid w:val="007F12D8"/>
    <w:rsid w:val="007F2B60"/>
    <w:rsid w:val="007F2D90"/>
    <w:rsid w:val="007F4F82"/>
    <w:rsid w:val="00800231"/>
    <w:rsid w:val="00800D5F"/>
    <w:rsid w:val="00801CA0"/>
    <w:rsid w:val="00802609"/>
    <w:rsid w:val="008028E8"/>
    <w:rsid w:val="0080382C"/>
    <w:rsid w:val="0080444B"/>
    <w:rsid w:val="00804653"/>
    <w:rsid w:val="008066F8"/>
    <w:rsid w:val="00806A84"/>
    <w:rsid w:val="00807490"/>
    <w:rsid w:val="00807805"/>
    <w:rsid w:val="00807C6C"/>
    <w:rsid w:val="00810B7A"/>
    <w:rsid w:val="00813341"/>
    <w:rsid w:val="0081340B"/>
    <w:rsid w:val="008135C0"/>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193"/>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4787E"/>
    <w:rsid w:val="008503E6"/>
    <w:rsid w:val="00852A1F"/>
    <w:rsid w:val="008556CD"/>
    <w:rsid w:val="00855B06"/>
    <w:rsid w:val="00855BE7"/>
    <w:rsid w:val="00856D60"/>
    <w:rsid w:val="00857D29"/>
    <w:rsid w:val="00861974"/>
    <w:rsid w:val="0086280F"/>
    <w:rsid w:val="008629A8"/>
    <w:rsid w:val="00862DB5"/>
    <w:rsid w:val="008642B2"/>
    <w:rsid w:val="008647C9"/>
    <w:rsid w:val="008652EC"/>
    <w:rsid w:val="0086605D"/>
    <w:rsid w:val="0087026D"/>
    <w:rsid w:val="00870CB6"/>
    <w:rsid w:val="0087221C"/>
    <w:rsid w:val="00873FEA"/>
    <w:rsid w:val="0087419B"/>
    <w:rsid w:val="00874592"/>
    <w:rsid w:val="008807EE"/>
    <w:rsid w:val="00880C81"/>
    <w:rsid w:val="0088164D"/>
    <w:rsid w:val="008818F6"/>
    <w:rsid w:val="00881D87"/>
    <w:rsid w:val="0088398E"/>
    <w:rsid w:val="0088494C"/>
    <w:rsid w:val="00884C0D"/>
    <w:rsid w:val="008858D7"/>
    <w:rsid w:val="00885A03"/>
    <w:rsid w:val="00885E38"/>
    <w:rsid w:val="00887931"/>
    <w:rsid w:val="00887E02"/>
    <w:rsid w:val="00890711"/>
    <w:rsid w:val="008909F3"/>
    <w:rsid w:val="00891CCE"/>
    <w:rsid w:val="00893479"/>
    <w:rsid w:val="00895111"/>
    <w:rsid w:val="00895412"/>
    <w:rsid w:val="00896952"/>
    <w:rsid w:val="00896E9D"/>
    <w:rsid w:val="008A18C6"/>
    <w:rsid w:val="008A1C47"/>
    <w:rsid w:val="008A5290"/>
    <w:rsid w:val="008A54EE"/>
    <w:rsid w:val="008A593A"/>
    <w:rsid w:val="008A5EDF"/>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5B28"/>
    <w:rsid w:val="008D6840"/>
    <w:rsid w:val="008D704D"/>
    <w:rsid w:val="008E1E54"/>
    <w:rsid w:val="008E3C88"/>
    <w:rsid w:val="008E3E79"/>
    <w:rsid w:val="008E42A9"/>
    <w:rsid w:val="008E4592"/>
    <w:rsid w:val="008E5C6E"/>
    <w:rsid w:val="008E78F2"/>
    <w:rsid w:val="008E792D"/>
    <w:rsid w:val="008F022C"/>
    <w:rsid w:val="008F0E05"/>
    <w:rsid w:val="008F141E"/>
    <w:rsid w:val="009027D6"/>
    <w:rsid w:val="00905CA5"/>
    <w:rsid w:val="00906619"/>
    <w:rsid w:val="00907B8B"/>
    <w:rsid w:val="00907FA0"/>
    <w:rsid w:val="00912720"/>
    <w:rsid w:val="00912E40"/>
    <w:rsid w:val="00913F5B"/>
    <w:rsid w:val="009141EC"/>
    <w:rsid w:val="00915CE3"/>
    <w:rsid w:val="00916186"/>
    <w:rsid w:val="00916892"/>
    <w:rsid w:val="00917887"/>
    <w:rsid w:val="009207DB"/>
    <w:rsid w:val="00921604"/>
    <w:rsid w:val="00921632"/>
    <w:rsid w:val="00922024"/>
    <w:rsid w:val="00922AF6"/>
    <w:rsid w:val="00922B10"/>
    <w:rsid w:val="0092539A"/>
    <w:rsid w:val="00925501"/>
    <w:rsid w:val="00925E32"/>
    <w:rsid w:val="0092636D"/>
    <w:rsid w:val="00926982"/>
    <w:rsid w:val="009270C4"/>
    <w:rsid w:val="009276A7"/>
    <w:rsid w:val="00932196"/>
    <w:rsid w:val="00932E2D"/>
    <w:rsid w:val="00933A9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3E"/>
    <w:rsid w:val="00944BC7"/>
    <w:rsid w:val="00944BF0"/>
    <w:rsid w:val="00945B6A"/>
    <w:rsid w:val="00946136"/>
    <w:rsid w:val="009532DB"/>
    <w:rsid w:val="009540C1"/>
    <w:rsid w:val="00954282"/>
    <w:rsid w:val="00954427"/>
    <w:rsid w:val="00954F10"/>
    <w:rsid w:val="00955F46"/>
    <w:rsid w:val="00956786"/>
    <w:rsid w:val="00964567"/>
    <w:rsid w:val="0096797D"/>
    <w:rsid w:val="00967C69"/>
    <w:rsid w:val="00967C7E"/>
    <w:rsid w:val="00973179"/>
    <w:rsid w:val="00975595"/>
    <w:rsid w:val="00975C75"/>
    <w:rsid w:val="009761DE"/>
    <w:rsid w:val="00977D14"/>
    <w:rsid w:val="0098177A"/>
    <w:rsid w:val="00983EFD"/>
    <w:rsid w:val="0098496E"/>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1EF5"/>
    <w:rsid w:val="009C3D84"/>
    <w:rsid w:val="009C5499"/>
    <w:rsid w:val="009C7035"/>
    <w:rsid w:val="009C7B1D"/>
    <w:rsid w:val="009C7C76"/>
    <w:rsid w:val="009D03F1"/>
    <w:rsid w:val="009D18B8"/>
    <w:rsid w:val="009D1CF4"/>
    <w:rsid w:val="009D2CCD"/>
    <w:rsid w:val="009D380F"/>
    <w:rsid w:val="009D4C17"/>
    <w:rsid w:val="009D5001"/>
    <w:rsid w:val="009D549B"/>
    <w:rsid w:val="009D57A7"/>
    <w:rsid w:val="009D6F42"/>
    <w:rsid w:val="009E0D0E"/>
    <w:rsid w:val="009E1607"/>
    <w:rsid w:val="009E1BBE"/>
    <w:rsid w:val="009E23E5"/>
    <w:rsid w:val="009E37D3"/>
    <w:rsid w:val="009E5F2F"/>
    <w:rsid w:val="009E6DD0"/>
    <w:rsid w:val="009E6ED8"/>
    <w:rsid w:val="009F0861"/>
    <w:rsid w:val="009F0BD9"/>
    <w:rsid w:val="009F1677"/>
    <w:rsid w:val="009F1FD9"/>
    <w:rsid w:val="009F283D"/>
    <w:rsid w:val="009F33FA"/>
    <w:rsid w:val="009F3645"/>
    <w:rsid w:val="009F42F3"/>
    <w:rsid w:val="009F4418"/>
    <w:rsid w:val="00A00DC0"/>
    <w:rsid w:val="00A01C1F"/>
    <w:rsid w:val="00A01C98"/>
    <w:rsid w:val="00A03006"/>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52D"/>
    <w:rsid w:val="00A2778E"/>
    <w:rsid w:val="00A27A71"/>
    <w:rsid w:val="00A305B4"/>
    <w:rsid w:val="00A30AF2"/>
    <w:rsid w:val="00A31569"/>
    <w:rsid w:val="00A31CDB"/>
    <w:rsid w:val="00A32211"/>
    <w:rsid w:val="00A338D9"/>
    <w:rsid w:val="00A33C35"/>
    <w:rsid w:val="00A34109"/>
    <w:rsid w:val="00A34114"/>
    <w:rsid w:val="00A342D8"/>
    <w:rsid w:val="00A34BEA"/>
    <w:rsid w:val="00A34C81"/>
    <w:rsid w:val="00A34E19"/>
    <w:rsid w:val="00A3535B"/>
    <w:rsid w:val="00A35D87"/>
    <w:rsid w:val="00A36BD5"/>
    <w:rsid w:val="00A37A71"/>
    <w:rsid w:val="00A40D0C"/>
    <w:rsid w:val="00A41302"/>
    <w:rsid w:val="00A41C59"/>
    <w:rsid w:val="00A41C63"/>
    <w:rsid w:val="00A43EDD"/>
    <w:rsid w:val="00A44E33"/>
    <w:rsid w:val="00A46D01"/>
    <w:rsid w:val="00A47029"/>
    <w:rsid w:val="00A50299"/>
    <w:rsid w:val="00A51E24"/>
    <w:rsid w:val="00A536D5"/>
    <w:rsid w:val="00A53CEC"/>
    <w:rsid w:val="00A544F9"/>
    <w:rsid w:val="00A54D25"/>
    <w:rsid w:val="00A5510E"/>
    <w:rsid w:val="00A559F4"/>
    <w:rsid w:val="00A56547"/>
    <w:rsid w:val="00A570E0"/>
    <w:rsid w:val="00A573AE"/>
    <w:rsid w:val="00A606A0"/>
    <w:rsid w:val="00A607E1"/>
    <w:rsid w:val="00A61263"/>
    <w:rsid w:val="00A614AD"/>
    <w:rsid w:val="00A61886"/>
    <w:rsid w:val="00A61C42"/>
    <w:rsid w:val="00A61C70"/>
    <w:rsid w:val="00A625CD"/>
    <w:rsid w:val="00A62FC9"/>
    <w:rsid w:val="00A63706"/>
    <w:rsid w:val="00A63D89"/>
    <w:rsid w:val="00A65DF7"/>
    <w:rsid w:val="00A66E04"/>
    <w:rsid w:val="00A670E0"/>
    <w:rsid w:val="00A671B3"/>
    <w:rsid w:val="00A67E84"/>
    <w:rsid w:val="00A71367"/>
    <w:rsid w:val="00A73642"/>
    <w:rsid w:val="00A7588B"/>
    <w:rsid w:val="00A76063"/>
    <w:rsid w:val="00A76D61"/>
    <w:rsid w:val="00A771BF"/>
    <w:rsid w:val="00A77420"/>
    <w:rsid w:val="00A81953"/>
    <w:rsid w:val="00A84ACF"/>
    <w:rsid w:val="00A84AE2"/>
    <w:rsid w:val="00A84D78"/>
    <w:rsid w:val="00A85724"/>
    <w:rsid w:val="00A85793"/>
    <w:rsid w:val="00A85F38"/>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14D"/>
    <w:rsid w:val="00AA7247"/>
    <w:rsid w:val="00AB1222"/>
    <w:rsid w:val="00AB1287"/>
    <w:rsid w:val="00AB1CE8"/>
    <w:rsid w:val="00AB1D28"/>
    <w:rsid w:val="00AB1D98"/>
    <w:rsid w:val="00AB56B5"/>
    <w:rsid w:val="00AB5846"/>
    <w:rsid w:val="00AB68CF"/>
    <w:rsid w:val="00AB6DFC"/>
    <w:rsid w:val="00AB6F7D"/>
    <w:rsid w:val="00AB7706"/>
    <w:rsid w:val="00AC08F1"/>
    <w:rsid w:val="00AC3205"/>
    <w:rsid w:val="00AC3DB7"/>
    <w:rsid w:val="00AC50C1"/>
    <w:rsid w:val="00AC511E"/>
    <w:rsid w:val="00AC57D2"/>
    <w:rsid w:val="00AC7645"/>
    <w:rsid w:val="00AC7899"/>
    <w:rsid w:val="00AD27FC"/>
    <w:rsid w:val="00AD2AFF"/>
    <w:rsid w:val="00AD3229"/>
    <w:rsid w:val="00AD752F"/>
    <w:rsid w:val="00AE041D"/>
    <w:rsid w:val="00AE0456"/>
    <w:rsid w:val="00AE186C"/>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96C"/>
    <w:rsid w:val="00B03AB4"/>
    <w:rsid w:val="00B04BED"/>
    <w:rsid w:val="00B05B91"/>
    <w:rsid w:val="00B071C2"/>
    <w:rsid w:val="00B07625"/>
    <w:rsid w:val="00B077CC"/>
    <w:rsid w:val="00B12FD0"/>
    <w:rsid w:val="00B130DC"/>
    <w:rsid w:val="00B1482F"/>
    <w:rsid w:val="00B15A4C"/>
    <w:rsid w:val="00B15BB2"/>
    <w:rsid w:val="00B1613F"/>
    <w:rsid w:val="00B171F3"/>
    <w:rsid w:val="00B20D44"/>
    <w:rsid w:val="00B229BE"/>
    <w:rsid w:val="00B23A10"/>
    <w:rsid w:val="00B244A7"/>
    <w:rsid w:val="00B2495F"/>
    <w:rsid w:val="00B27A6D"/>
    <w:rsid w:val="00B27E4A"/>
    <w:rsid w:val="00B32EDE"/>
    <w:rsid w:val="00B34C4E"/>
    <w:rsid w:val="00B35FAA"/>
    <w:rsid w:val="00B36A9F"/>
    <w:rsid w:val="00B40356"/>
    <w:rsid w:val="00B41281"/>
    <w:rsid w:val="00B41410"/>
    <w:rsid w:val="00B42C20"/>
    <w:rsid w:val="00B42D9A"/>
    <w:rsid w:val="00B43CED"/>
    <w:rsid w:val="00B448BB"/>
    <w:rsid w:val="00B44D27"/>
    <w:rsid w:val="00B45928"/>
    <w:rsid w:val="00B459A7"/>
    <w:rsid w:val="00B45D8A"/>
    <w:rsid w:val="00B50977"/>
    <w:rsid w:val="00B5169F"/>
    <w:rsid w:val="00B539EB"/>
    <w:rsid w:val="00B5495B"/>
    <w:rsid w:val="00B55424"/>
    <w:rsid w:val="00B562E6"/>
    <w:rsid w:val="00B564E9"/>
    <w:rsid w:val="00B57324"/>
    <w:rsid w:val="00B576E1"/>
    <w:rsid w:val="00B6004E"/>
    <w:rsid w:val="00B608F1"/>
    <w:rsid w:val="00B60EE2"/>
    <w:rsid w:val="00B60F79"/>
    <w:rsid w:val="00B61B49"/>
    <w:rsid w:val="00B62E01"/>
    <w:rsid w:val="00B63B4A"/>
    <w:rsid w:val="00B63BE3"/>
    <w:rsid w:val="00B640A3"/>
    <w:rsid w:val="00B64778"/>
    <w:rsid w:val="00B64AB9"/>
    <w:rsid w:val="00B64DCB"/>
    <w:rsid w:val="00B66BDA"/>
    <w:rsid w:val="00B673CA"/>
    <w:rsid w:val="00B6741B"/>
    <w:rsid w:val="00B6753E"/>
    <w:rsid w:val="00B7117A"/>
    <w:rsid w:val="00B72053"/>
    <w:rsid w:val="00B7471D"/>
    <w:rsid w:val="00B75163"/>
    <w:rsid w:val="00B75D3F"/>
    <w:rsid w:val="00B77723"/>
    <w:rsid w:val="00B77E41"/>
    <w:rsid w:val="00B800A6"/>
    <w:rsid w:val="00B8049E"/>
    <w:rsid w:val="00B815D3"/>
    <w:rsid w:val="00B83476"/>
    <w:rsid w:val="00B843A1"/>
    <w:rsid w:val="00B8559C"/>
    <w:rsid w:val="00B861B0"/>
    <w:rsid w:val="00B8748B"/>
    <w:rsid w:val="00B906A7"/>
    <w:rsid w:val="00B90C61"/>
    <w:rsid w:val="00B91304"/>
    <w:rsid w:val="00B91818"/>
    <w:rsid w:val="00B93170"/>
    <w:rsid w:val="00B94BE5"/>
    <w:rsid w:val="00B9715C"/>
    <w:rsid w:val="00BA075F"/>
    <w:rsid w:val="00BA0A76"/>
    <w:rsid w:val="00BA0FA7"/>
    <w:rsid w:val="00BA10CE"/>
    <w:rsid w:val="00BA1787"/>
    <w:rsid w:val="00BA59BA"/>
    <w:rsid w:val="00BA5B2A"/>
    <w:rsid w:val="00BA7495"/>
    <w:rsid w:val="00BB0423"/>
    <w:rsid w:val="00BB071B"/>
    <w:rsid w:val="00BB0A78"/>
    <w:rsid w:val="00BB1613"/>
    <w:rsid w:val="00BB1D28"/>
    <w:rsid w:val="00BB3396"/>
    <w:rsid w:val="00BB3B83"/>
    <w:rsid w:val="00BB3C27"/>
    <w:rsid w:val="00BB45E1"/>
    <w:rsid w:val="00BB6593"/>
    <w:rsid w:val="00BB6ECF"/>
    <w:rsid w:val="00BB74B3"/>
    <w:rsid w:val="00BB76CE"/>
    <w:rsid w:val="00BB777A"/>
    <w:rsid w:val="00BC0452"/>
    <w:rsid w:val="00BC092B"/>
    <w:rsid w:val="00BC0CB5"/>
    <w:rsid w:val="00BC1765"/>
    <w:rsid w:val="00BC2A98"/>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D7CDE"/>
    <w:rsid w:val="00BE0A56"/>
    <w:rsid w:val="00BE0F79"/>
    <w:rsid w:val="00BE1034"/>
    <w:rsid w:val="00BE1428"/>
    <w:rsid w:val="00BE1511"/>
    <w:rsid w:val="00BE2AB1"/>
    <w:rsid w:val="00BE34DE"/>
    <w:rsid w:val="00BE4F16"/>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2E08"/>
    <w:rsid w:val="00C050A6"/>
    <w:rsid w:val="00C05239"/>
    <w:rsid w:val="00C067E0"/>
    <w:rsid w:val="00C078F8"/>
    <w:rsid w:val="00C079FE"/>
    <w:rsid w:val="00C1025D"/>
    <w:rsid w:val="00C12253"/>
    <w:rsid w:val="00C1240A"/>
    <w:rsid w:val="00C127A2"/>
    <w:rsid w:val="00C1283E"/>
    <w:rsid w:val="00C12D93"/>
    <w:rsid w:val="00C12EE2"/>
    <w:rsid w:val="00C13419"/>
    <w:rsid w:val="00C139DE"/>
    <w:rsid w:val="00C13B55"/>
    <w:rsid w:val="00C17014"/>
    <w:rsid w:val="00C206F8"/>
    <w:rsid w:val="00C21827"/>
    <w:rsid w:val="00C21A06"/>
    <w:rsid w:val="00C23520"/>
    <w:rsid w:val="00C23FB4"/>
    <w:rsid w:val="00C24DA9"/>
    <w:rsid w:val="00C25082"/>
    <w:rsid w:val="00C25E6A"/>
    <w:rsid w:val="00C25E7D"/>
    <w:rsid w:val="00C265D4"/>
    <w:rsid w:val="00C275FC"/>
    <w:rsid w:val="00C3024D"/>
    <w:rsid w:val="00C30D84"/>
    <w:rsid w:val="00C3160C"/>
    <w:rsid w:val="00C317A7"/>
    <w:rsid w:val="00C326C7"/>
    <w:rsid w:val="00C33AEC"/>
    <w:rsid w:val="00C33BC0"/>
    <w:rsid w:val="00C34182"/>
    <w:rsid w:val="00C34536"/>
    <w:rsid w:val="00C36085"/>
    <w:rsid w:val="00C36CFE"/>
    <w:rsid w:val="00C37BAC"/>
    <w:rsid w:val="00C410D2"/>
    <w:rsid w:val="00C41EFB"/>
    <w:rsid w:val="00C425FF"/>
    <w:rsid w:val="00C42A78"/>
    <w:rsid w:val="00C437D6"/>
    <w:rsid w:val="00C439D5"/>
    <w:rsid w:val="00C43BCF"/>
    <w:rsid w:val="00C450A4"/>
    <w:rsid w:val="00C45350"/>
    <w:rsid w:val="00C45C36"/>
    <w:rsid w:val="00C45E92"/>
    <w:rsid w:val="00C4601D"/>
    <w:rsid w:val="00C47478"/>
    <w:rsid w:val="00C51C5F"/>
    <w:rsid w:val="00C528F5"/>
    <w:rsid w:val="00C52DF1"/>
    <w:rsid w:val="00C53EE2"/>
    <w:rsid w:val="00C54473"/>
    <w:rsid w:val="00C554AE"/>
    <w:rsid w:val="00C55B38"/>
    <w:rsid w:val="00C55D94"/>
    <w:rsid w:val="00C564D4"/>
    <w:rsid w:val="00C57582"/>
    <w:rsid w:val="00C608EF"/>
    <w:rsid w:val="00C60D2E"/>
    <w:rsid w:val="00C612BB"/>
    <w:rsid w:val="00C612BF"/>
    <w:rsid w:val="00C612C3"/>
    <w:rsid w:val="00C6207E"/>
    <w:rsid w:val="00C62E69"/>
    <w:rsid w:val="00C64FAE"/>
    <w:rsid w:val="00C66344"/>
    <w:rsid w:val="00C674F7"/>
    <w:rsid w:val="00C70157"/>
    <w:rsid w:val="00C70244"/>
    <w:rsid w:val="00C70469"/>
    <w:rsid w:val="00C71671"/>
    <w:rsid w:val="00C71735"/>
    <w:rsid w:val="00C717CD"/>
    <w:rsid w:val="00C71B0E"/>
    <w:rsid w:val="00C721F7"/>
    <w:rsid w:val="00C743B4"/>
    <w:rsid w:val="00C745D7"/>
    <w:rsid w:val="00C74B2C"/>
    <w:rsid w:val="00C755C8"/>
    <w:rsid w:val="00C763A0"/>
    <w:rsid w:val="00C765D8"/>
    <w:rsid w:val="00C7702A"/>
    <w:rsid w:val="00C773C8"/>
    <w:rsid w:val="00C80A25"/>
    <w:rsid w:val="00C8157A"/>
    <w:rsid w:val="00C81DF7"/>
    <w:rsid w:val="00C82930"/>
    <w:rsid w:val="00C852A5"/>
    <w:rsid w:val="00C8531E"/>
    <w:rsid w:val="00C85B6C"/>
    <w:rsid w:val="00C86BFE"/>
    <w:rsid w:val="00C86D8A"/>
    <w:rsid w:val="00C87C06"/>
    <w:rsid w:val="00C87CB8"/>
    <w:rsid w:val="00C900B0"/>
    <w:rsid w:val="00C90231"/>
    <w:rsid w:val="00C9080B"/>
    <w:rsid w:val="00C90EF9"/>
    <w:rsid w:val="00C92127"/>
    <w:rsid w:val="00C92714"/>
    <w:rsid w:val="00C92949"/>
    <w:rsid w:val="00C9312F"/>
    <w:rsid w:val="00C941A5"/>
    <w:rsid w:val="00C94AD2"/>
    <w:rsid w:val="00C95ED6"/>
    <w:rsid w:val="00C9636D"/>
    <w:rsid w:val="00C97335"/>
    <w:rsid w:val="00C975C2"/>
    <w:rsid w:val="00CA0419"/>
    <w:rsid w:val="00CA086D"/>
    <w:rsid w:val="00CA1CF0"/>
    <w:rsid w:val="00CA1FB0"/>
    <w:rsid w:val="00CA2350"/>
    <w:rsid w:val="00CA24D1"/>
    <w:rsid w:val="00CA39CC"/>
    <w:rsid w:val="00CA4608"/>
    <w:rsid w:val="00CA4743"/>
    <w:rsid w:val="00CA4B0F"/>
    <w:rsid w:val="00CA4E2D"/>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0D90"/>
    <w:rsid w:val="00CD1841"/>
    <w:rsid w:val="00CD1BF1"/>
    <w:rsid w:val="00CD2A3E"/>
    <w:rsid w:val="00CD31C1"/>
    <w:rsid w:val="00CD40A4"/>
    <w:rsid w:val="00CD428D"/>
    <w:rsid w:val="00CD4704"/>
    <w:rsid w:val="00CD4B3B"/>
    <w:rsid w:val="00CD4B96"/>
    <w:rsid w:val="00CD5401"/>
    <w:rsid w:val="00CD68DD"/>
    <w:rsid w:val="00CD6C94"/>
    <w:rsid w:val="00CD7B8B"/>
    <w:rsid w:val="00CE2B04"/>
    <w:rsid w:val="00CE5298"/>
    <w:rsid w:val="00CE58EB"/>
    <w:rsid w:val="00CE5D21"/>
    <w:rsid w:val="00CE643F"/>
    <w:rsid w:val="00CE6A32"/>
    <w:rsid w:val="00CF0B47"/>
    <w:rsid w:val="00CF171F"/>
    <w:rsid w:val="00CF20D6"/>
    <w:rsid w:val="00CF35B2"/>
    <w:rsid w:val="00CF38D4"/>
    <w:rsid w:val="00CF4FF3"/>
    <w:rsid w:val="00CF6BB9"/>
    <w:rsid w:val="00D01CAB"/>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33EE"/>
    <w:rsid w:val="00D34CDE"/>
    <w:rsid w:val="00D34F8B"/>
    <w:rsid w:val="00D35BAA"/>
    <w:rsid w:val="00D35BCC"/>
    <w:rsid w:val="00D377AE"/>
    <w:rsid w:val="00D404B1"/>
    <w:rsid w:val="00D433CE"/>
    <w:rsid w:val="00D43988"/>
    <w:rsid w:val="00D445E2"/>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1A7"/>
    <w:rsid w:val="00D54EC5"/>
    <w:rsid w:val="00D5580B"/>
    <w:rsid w:val="00D55A05"/>
    <w:rsid w:val="00D602E7"/>
    <w:rsid w:val="00D61A9F"/>
    <w:rsid w:val="00D61EDD"/>
    <w:rsid w:val="00D628AF"/>
    <w:rsid w:val="00D6294B"/>
    <w:rsid w:val="00D62E31"/>
    <w:rsid w:val="00D6435C"/>
    <w:rsid w:val="00D6626E"/>
    <w:rsid w:val="00D66697"/>
    <w:rsid w:val="00D675E9"/>
    <w:rsid w:val="00D67684"/>
    <w:rsid w:val="00D67ACA"/>
    <w:rsid w:val="00D67F69"/>
    <w:rsid w:val="00D7072E"/>
    <w:rsid w:val="00D70737"/>
    <w:rsid w:val="00D70B1E"/>
    <w:rsid w:val="00D71103"/>
    <w:rsid w:val="00D71B1D"/>
    <w:rsid w:val="00D72420"/>
    <w:rsid w:val="00D72CD8"/>
    <w:rsid w:val="00D73AF1"/>
    <w:rsid w:val="00D74504"/>
    <w:rsid w:val="00D74639"/>
    <w:rsid w:val="00D74E9D"/>
    <w:rsid w:val="00D75D51"/>
    <w:rsid w:val="00D8093F"/>
    <w:rsid w:val="00D809B7"/>
    <w:rsid w:val="00D80CD2"/>
    <w:rsid w:val="00D813B0"/>
    <w:rsid w:val="00D81A57"/>
    <w:rsid w:val="00D82A4C"/>
    <w:rsid w:val="00D844E7"/>
    <w:rsid w:val="00D85683"/>
    <w:rsid w:val="00D85B8F"/>
    <w:rsid w:val="00D85DF8"/>
    <w:rsid w:val="00D86FE4"/>
    <w:rsid w:val="00D87E48"/>
    <w:rsid w:val="00D90435"/>
    <w:rsid w:val="00D90F8A"/>
    <w:rsid w:val="00D91621"/>
    <w:rsid w:val="00D951D2"/>
    <w:rsid w:val="00D9553A"/>
    <w:rsid w:val="00D97184"/>
    <w:rsid w:val="00D971AA"/>
    <w:rsid w:val="00D9740F"/>
    <w:rsid w:val="00D97BA1"/>
    <w:rsid w:val="00DA09FC"/>
    <w:rsid w:val="00DA0C3D"/>
    <w:rsid w:val="00DA2233"/>
    <w:rsid w:val="00DA35CC"/>
    <w:rsid w:val="00DA4B71"/>
    <w:rsid w:val="00DA59D2"/>
    <w:rsid w:val="00DA5D6F"/>
    <w:rsid w:val="00DA731F"/>
    <w:rsid w:val="00DB02B4"/>
    <w:rsid w:val="00DB0456"/>
    <w:rsid w:val="00DB0478"/>
    <w:rsid w:val="00DB1188"/>
    <w:rsid w:val="00DB2B7E"/>
    <w:rsid w:val="00DB323D"/>
    <w:rsid w:val="00DB36D2"/>
    <w:rsid w:val="00DB5719"/>
    <w:rsid w:val="00DB624E"/>
    <w:rsid w:val="00DB7B94"/>
    <w:rsid w:val="00DC02EA"/>
    <w:rsid w:val="00DC1CA6"/>
    <w:rsid w:val="00DC20CF"/>
    <w:rsid w:val="00DC2259"/>
    <w:rsid w:val="00DC267D"/>
    <w:rsid w:val="00DC717F"/>
    <w:rsid w:val="00DC77BF"/>
    <w:rsid w:val="00DC789B"/>
    <w:rsid w:val="00DC7E69"/>
    <w:rsid w:val="00DD3308"/>
    <w:rsid w:val="00DD3316"/>
    <w:rsid w:val="00DD3463"/>
    <w:rsid w:val="00DD38FE"/>
    <w:rsid w:val="00DD4C67"/>
    <w:rsid w:val="00DD5ADD"/>
    <w:rsid w:val="00DD5E57"/>
    <w:rsid w:val="00DD6F16"/>
    <w:rsid w:val="00DE2AE9"/>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0580"/>
    <w:rsid w:val="00E12CC2"/>
    <w:rsid w:val="00E14BCA"/>
    <w:rsid w:val="00E14EE9"/>
    <w:rsid w:val="00E15603"/>
    <w:rsid w:val="00E15816"/>
    <w:rsid w:val="00E1605A"/>
    <w:rsid w:val="00E175BC"/>
    <w:rsid w:val="00E17F53"/>
    <w:rsid w:val="00E2152E"/>
    <w:rsid w:val="00E23AF4"/>
    <w:rsid w:val="00E24195"/>
    <w:rsid w:val="00E24EC1"/>
    <w:rsid w:val="00E25124"/>
    <w:rsid w:val="00E25239"/>
    <w:rsid w:val="00E261F8"/>
    <w:rsid w:val="00E2637D"/>
    <w:rsid w:val="00E27467"/>
    <w:rsid w:val="00E30C51"/>
    <w:rsid w:val="00E324AD"/>
    <w:rsid w:val="00E3342D"/>
    <w:rsid w:val="00E33683"/>
    <w:rsid w:val="00E33734"/>
    <w:rsid w:val="00E34D8A"/>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5D3E"/>
    <w:rsid w:val="00E5635A"/>
    <w:rsid w:val="00E565C2"/>
    <w:rsid w:val="00E60269"/>
    <w:rsid w:val="00E60C32"/>
    <w:rsid w:val="00E61968"/>
    <w:rsid w:val="00E627F6"/>
    <w:rsid w:val="00E63F1D"/>
    <w:rsid w:val="00E64171"/>
    <w:rsid w:val="00E64226"/>
    <w:rsid w:val="00E646D5"/>
    <w:rsid w:val="00E659D0"/>
    <w:rsid w:val="00E66019"/>
    <w:rsid w:val="00E66300"/>
    <w:rsid w:val="00E703EF"/>
    <w:rsid w:val="00E71087"/>
    <w:rsid w:val="00E72173"/>
    <w:rsid w:val="00E72EC2"/>
    <w:rsid w:val="00E753AA"/>
    <w:rsid w:val="00E75A9D"/>
    <w:rsid w:val="00E76513"/>
    <w:rsid w:val="00E803C3"/>
    <w:rsid w:val="00E80872"/>
    <w:rsid w:val="00E815E5"/>
    <w:rsid w:val="00E81B8E"/>
    <w:rsid w:val="00E81C6E"/>
    <w:rsid w:val="00E81ED7"/>
    <w:rsid w:val="00E8219D"/>
    <w:rsid w:val="00E83201"/>
    <w:rsid w:val="00E8377F"/>
    <w:rsid w:val="00E83F05"/>
    <w:rsid w:val="00E84B71"/>
    <w:rsid w:val="00E8607A"/>
    <w:rsid w:val="00E87631"/>
    <w:rsid w:val="00E87D52"/>
    <w:rsid w:val="00E9222C"/>
    <w:rsid w:val="00E943A8"/>
    <w:rsid w:val="00E94512"/>
    <w:rsid w:val="00E9558B"/>
    <w:rsid w:val="00E95D1B"/>
    <w:rsid w:val="00E9623E"/>
    <w:rsid w:val="00E969F0"/>
    <w:rsid w:val="00E97D89"/>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279E"/>
    <w:rsid w:val="00EC3398"/>
    <w:rsid w:val="00EC34F7"/>
    <w:rsid w:val="00EC36F2"/>
    <w:rsid w:val="00EC40B3"/>
    <w:rsid w:val="00EC48D7"/>
    <w:rsid w:val="00EC4F33"/>
    <w:rsid w:val="00EC5DA4"/>
    <w:rsid w:val="00ED10A0"/>
    <w:rsid w:val="00ED11C5"/>
    <w:rsid w:val="00ED1924"/>
    <w:rsid w:val="00ED1E35"/>
    <w:rsid w:val="00ED2DB6"/>
    <w:rsid w:val="00ED4233"/>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209D"/>
    <w:rsid w:val="00F0319D"/>
    <w:rsid w:val="00F04472"/>
    <w:rsid w:val="00F04775"/>
    <w:rsid w:val="00F11979"/>
    <w:rsid w:val="00F12D86"/>
    <w:rsid w:val="00F13B05"/>
    <w:rsid w:val="00F14A46"/>
    <w:rsid w:val="00F15AF2"/>
    <w:rsid w:val="00F1774A"/>
    <w:rsid w:val="00F178AB"/>
    <w:rsid w:val="00F21290"/>
    <w:rsid w:val="00F214AA"/>
    <w:rsid w:val="00F2214E"/>
    <w:rsid w:val="00F23E19"/>
    <w:rsid w:val="00F2494D"/>
    <w:rsid w:val="00F2495E"/>
    <w:rsid w:val="00F26092"/>
    <w:rsid w:val="00F26577"/>
    <w:rsid w:val="00F307CC"/>
    <w:rsid w:val="00F30BBA"/>
    <w:rsid w:val="00F31630"/>
    <w:rsid w:val="00F3322B"/>
    <w:rsid w:val="00F339FC"/>
    <w:rsid w:val="00F34C99"/>
    <w:rsid w:val="00F34F77"/>
    <w:rsid w:val="00F370BD"/>
    <w:rsid w:val="00F42996"/>
    <w:rsid w:val="00F439BB"/>
    <w:rsid w:val="00F449D7"/>
    <w:rsid w:val="00F45292"/>
    <w:rsid w:val="00F461AE"/>
    <w:rsid w:val="00F51106"/>
    <w:rsid w:val="00F51B88"/>
    <w:rsid w:val="00F534D3"/>
    <w:rsid w:val="00F53B28"/>
    <w:rsid w:val="00F54046"/>
    <w:rsid w:val="00F5421D"/>
    <w:rsid w:val="00F545D9"/>
    <w:rsid w:val="00F5473E"/>
    <w:rsid w:val="00F54990"/>
    <w:rsid w:val="00F57C6C"/>
    <w:rsid w:val="00F60DF3"/>
    <w:rsid w:val="00F62057"/>
    <w:rsid w:val="00F64581"/>
    <w:rsid w:val="00F6470F"/>
    <w:rsid w:val="00F64DC6"/>
    <w:rsid w:val="00F65BCB"/>
    <w:rsid w:val="00F67C01"/>
    <w:rsid w:val="00F7114B"/>
    <w:rsid w:val="00F721EF"/>
    <w:rsid w:val="00F72599"/>
    <w:rsid w:val="00F72AC2"/>
    <w:rsid w:val="00F72B1D"/>
    <w:rsid w:val="00F74168"/>
    <w:rsid w:val="00F742F1"/>
    <w:rsid w:val="00F7446F"/>
    <w:rsid w:val="00F747FA"/>
    <w:rsid w:val="00F76037"/>
    <w:rsid w:val="00F77724"/>
    <w:rsid w:val="00F77839"/>
    <w:rsid w:val="00F811B9"/>
    <w:rsid w:val="00F8244B"/>
    <w:rsid w:val="00F8285E"/>
    <w:rsid w:val="00F82C7C"/>
    <w:rsid w:val="00F84DE4"/>
    <w:rsid w:val="00F871D8"/>
    <w:rsid w:val="00F9046B"/>
    <w:rsid w:val="00F91164"/>
    <w:rsid w:val="00F92B0F"/>
    <w:rsid w:val="00F93C13"/>
    <w:rsid w:val="00F93FCF"/>
    <w:rsid w:val="00F9536B"/>
    <w:rsid w:val="00F95D8C"/>
    <w:rsid w:val="00F95FBE"/>
    <w:rsid w:val="00F96825"/>
    <w:rsid w:val="00F96872"/>
    <w:rsid w:val="00F96D24"/>
    <w:rsid w:val="00FA03F3"/>
    <w:rsid w:val="00FA156A"/>
    <w:rsid w:val="00FA5580"/>
    <w:rsid w:val="00FA69C3"/>
    <w:rsid w:val="00FA6AAC"/>
    <w:rsid w:val="00FA6CBC"/>
    <w:rsid w:val="00FA6D48"/>
    <w:rsid w:val="00FA6F39"/>
    <w:rsid w:val="00FA7679"/>
    <w:rsid w:val="00FA7813"/>
    <w:rsid w:val="00FA7EC0"/>
    <w:rsid w:val="00FA7ECF"/>
    <w:rsid w:val="00FB41F4"/>
    <w:rsid w:val="00FB692F"/>
    <w:rsid w:val="00FC072E"/>
    <w:rsid w:val="00FC1C6F"/>
    <w:rsid w:val="00FC1E1F"/>
    <w:rsid w:val="00FC4165"/>
    <w:rsid w:val="00FC4FCD"/>
    <w:rsid w:val="00FC510F"/>
    <w:rsid w:val="00FC551E"/>
    <w:rsid w:val="00FC5790"/>
    <w:rsid w:val="00FC5FFE"/>
    <w:rsid w:val="00FC6617"/>
    <w:rsid w:val="00FD02D2"/>
    <w:rsid w:val="00FD039F"/>
    <w:rsid w:val="00FD03BF"/>
    <w:rsid w:val="00FD0835"/>
    <w:rsid w:val="00FD09AF"/>
    <w:rsid w:val="00FD1995"/>
    <w:rsid w:val="00FD25E1"/>
    <w:rsid w:val="00FD32CB"/>
    <w:rsid w:val="00FD4335"/>
    <w:rsid w:val="00FD4401"/>
    <w:rsid w:val="00FD4BE4"/>
    <w:rsid w:val="00FD5315"/>
    <w:rsid w:val="00FD5E1C"/>
    <w:rsid w:val="00FD6327"/>
    <w:rsid w:val="00FD70B0"/>
    <w:rsid w:val="00FE0E9D"/>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394C2D0F"/>
    <w:rsid w:val="44F802B9"/>
    <w:rsid w:val="46A80046"/>
    <w:rsid w:val="46B92D6F"/>
    <w:rsid w:val="690E41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39"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8"/>
    <w:qFormat/>
    <w:uiPriority w:val="0"/>
    <w:pPr>
      <w:spacing w:before="340" w:after="330" w:line="360" w:lineRule="auto"/>
      <w:jc w:val="center"/>
      <w:outlineLvl w:val="0"/>
    </w:pPr>
    <w:rPr>
      <w:rFonts w:eastAsia="黑体"/>
      <w:b w:val="0"/>
      <w:bCs w:val="0"/>
      <w:kern w:val="44"/>
      <w:sz w:val="48"/>
      <w:szCs w:val="48"/>
    </w:rPr>
  </w:style>
  <w:style w:type="paragraph" w:styleId="5">
    <w:name w:val="heading 2"/>
    <w:basedOn w:val="3"/>
    <w:next w:val="4"/>
    <w:link w:val="97"/>
    <w:qFormat/>
    <w:uiPriority w:val="0"/>
    <w:pPr>
      <w:adjustRightInd w:val="0"/>
      <w:jc w:val="center"/>
      <w:textAlignment w:val="baseline"/>
      <w:outlineLvl w:val="1"/>
    </w:pPr>
    <w:rPr>
      <w:bCs w:val="0"/>
      <w:kern w:val="0"/>
      <w:sz w:val="24"/>
      <w:szCs w:val="20"/>
    </w:rPr>
  </w:style>
  <w:style w:type="paragraph" w:styleId="3">
    <w:name w:val="heading 3"/>
    <w:basedOn w:val="4"/>
    <w:next w:val="1"/>
    <w:link w:val="67"/>
    <w:qFormat/>
    <w:uiPriority w:val="0"/>
    <w:pPr>
      <w:spacing w:before="260" w:after="260" w:line="240" w:lineRule="auto"/>
      <w:outlineLvl w:val="2"/>
    </w:pPr>
    <w:rPr>
      <w:rFonts w:ascii="宋体" w:hAnsi="宋体" w:eastAsia="宋体"/>
      <w:szCs w:val="32"/>
    </w:rPr>
  </w:style>
  <w:style w:type="paragraph" w:styleId="4">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20" w:lineRule="auto"/>
      <w:outlineLvl w:val="6"/>
    </w:pPr>
    <w:rPr>
      <w:b/>
      <w:sz w:val="24"/>
      <w:szCs w:val="20"/>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58">
    <w:name w:val="Default Paragraph Font"/>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9"/>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Cs w:val="21"/>
    </w:rPr>
  </w:style>
  <w:style w:type="paragraph" w:styleId="14">
    <w:name w:val="List Bullet 4"/>
    <w:basedOn w:val="1"/>
    <w:qFormat/>
    <w:uiPriority w:val="0"/>
    <w:pPr>
      <w:tabs>
        <w:tab w:val="left" w:pos="1620"/>
      </w:tabs>
      <w:ind w:left="1620" w:leftChars="600" w:hanging="360" w:hangingChars="200"/>
    </w:pPr>
  </w:style>
  <w:style w:type="paragraph" w:styleId="15">
    <w:name w:val="caption"/>
    <w:basedOn w:val="1"/>
    <w:next w:val="1"/>
    <w:qFormat/>
    <w:uiPriority w:val="0"/>
    <w:pPr>
      <w:adjustRightInd w:val="0"/>
      <w:spacing w:before="152" w:after="160" w:line="312" w:lineRule="atLeast"/>
      <w:textAlignment w:val="baseline"/>
    </w:pPr>
    <w:rPr>
      <w:rFonts w:ascii="Arial" w:hAnsi="Arial" w:eastAsia="黑体"/>
      <w:b/>
      <w:kern w:val="0"/>
      <w:szCs w:val="20"/>
    </w:rPr>
  </w:style>
  <w:style w:type="paragraph" w:styleId="16">
    <w:name w:val="List Bullet"/>
    <w:basedOn w:val="1"/>
    <w:qFormat/>
    <w:uiPriority w:val="0"/>
    <w:pPr>
      <w:numPr>
        <w:ilvl w:val="0"/>
        <w:numId w:val="1"/>
      </w:numPr>
    </w:pPr>
    <w:rPr>
      <w:szCs w:val="20"/>
    </w:rPr>
  </w:style>
  <w:style w:type="paragraph" w:styleId="17">
    <w:name w:val="Document Map"/>
    <w:basedOn w:val="1"/>
    <w:link w:val="184"/>
    <w:semiHidden/>
    <w:qFormat/>
    <w:uiPriority w:val="0"/>
    <w:pPr>
      <w:shd w:val="clear" w:color="auto" w:fill="000080"/>
    </w:pPr>
  </w:style>
  <w:style w:type="paragraph" w:styleId="18">
    <w:name w:val="annotation text"/>
    <w:basedOn w:val="1"/>
    <w:link w:val="84"/>
    <w:qFormat/>
    <w:uiPriority w:val="0"/>
    <w:pPr>
      <w:autoSpaceDE w:val="0"/>
      <w:autoSpaceDN w:val="0"/>
      <w:adjustRightInd w:val="0"/>
      <w:jc w:val="left"/>
      <w:textAlignment w:val="baseline"/>
    </w:pPr>
    <w:rPr>
      <w:rFonts w:ascii="宋体"/>
      <w:kern w:val="0"/>
      <w:sz w:val="34"/>
      <w:szCs w:val="20"/>
    </w:rPr>
  </w:style>
  <w:style w:type="paragraph" w:styleId="19">
    <w:name w:val="index 6"/>
    <w:basedOn w:val="1"/>
    <w:next w:val="1"/>
    <w:qFormat/>
    <w:uiPriority w:val="0"/>
    <w:pPr>
      <w:ind w:left="1000" w:leftChars="1000"/>
    </w:pPr>
  </w:style>
  <w:style w:type="paragraph" w:styleId="20">
    <w:name w:val="Body Text 3"/>
    <w:basedOn w:val="1"/>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style>
  <w:style w:type="paragraph" w:styleId="22">
    <w:name w:val="Body Text"/>
    <w:basedOn w:val="1"/>
    <w:link w:val="113"/>
    <w:qFormat/>
    <w:uiPriority w:val="0"/>
    <w:pPr>
      <w:spacing w:line="360" w:lineRule="auto"/>
    </w:pPr>
    <w:rPr>
      <w:b/>
      <w:bCs/>
      <w:sz w:val="24"/>
    </w:rPr>
  </w:style>
  <w:style w:type="paragraph" w:styleId="23">
    <w:name w:val="Body Text Indent"/>
    <w:basedOn w:val="1"/>
    <w:link w:val="105"/>
    <w:qFormat/>
    <w:uiPriority w:val="0"/>
    <w:pPr>
      <w:spacing w:line="360" w:lineRule="auto"/>
      <w:ind w:firstLine="420" w:firstLineChars="200"/>
    </w:pPr>
  </w:style>
  <w:style w:type="paragraph" w:styleId="24">
    <w:name w:val="List 2"/>
    <w:basedOn w:val="25"/>
    <w:qFormat/>
    <w:uiPriority w:val="0"/>
    <w:pPr>
      <w:ind w:left="1080"/>
    </w:pPr>
  </w:style>
  <w:style w:type="paragraph" w:styleId="25">
    <w:name w:val="List"/>
    <w:basedOn w:val="22"/>
    <w:qFormat/>
    <w:uiPriority w:val="0"/>
    <w:pPr>
      <w:spacing w:after="220" w:line="220" w:lineRule="atLeast"/>
      <w:ind w:left="720" w:hanging="360"/>
    </w:pPr>
    <w:rPr>
      <w:b w:val="0"/>
      <w:bCs w:val="0"/>
      <w:sz w:val="21"/>
      <w:szCs w:val="20"/>
    </w:rPr>
  </w:style>
  <w:style w:type="paragraph" w:styleId="26">
    <w:name w:val="Block Text"/>
    <w:basedOn w:val="1"/>
    <w:qFormat/>
    <w:uiPriority w:val="0"/>
    <w:pPr>
      <w:spacing w:after="120"/>
      <w:ind w:left="1440" w:leftChars="700" w:right="1440" w:rightChars="700"/>
    </w:pPr>
  </w:style>
  <w:style w:type="paragraph" w:styleId="27">
    <w:name w:val="List Bullet 2"/>
    <w:basedOn w:val="1"/>
    <w:qFormat/>
    <w:uiPriority w:val="0"/>
    <w:pPr>
      <w:tabs>
        <w:tab w:val="left" w:pos="780"/>
      </w:tabs>
      <w:ind w:left="780" w:leftChars="200" w:hanging="360" w:hangingChars="200"/>
    </w:pPr>
  </w:style>
  <w:style w:type="paragraph" w:styleId="28">
    <w:name w:val="toc 5"/>
    <w:basedOn w:val="1"/>
    <w:next w:val="1"/>
    <w:semiHidden/>
    <w:qFormat/>
    <w:uiPriority w:val="0"/>
    <w:pPr>
      <w:ind w:left="840"/>
      <w:jc w:val="left"/>
    </w:pPr>
    <w:rPr>
      <w:szCs w:val="21"/>
    </w:rPr>
  </w:style>
  <w:style w:type="paragraph" w:styleId="29">
    <w:name w:val="toc 3"/>
    <w:basedOn w:val="1"/>
    <w:next w:val="1"/>
    <w:semiHidden/>
    <w:qFormat/>
    <w:uiPriority w:val="39"/>
    <w:pPr>
      <w:ind w:left="420"/>
      <w:jc w:val="left"/>
    </w:pPr>
    <w:rPr>
      <w:i/>
      <w:iCs/>
    </w:rPr>
  </w:style>
  <w:style w:type="paragraph" w:styleId="30">
    <w:name w:val="Plain Text"/>
    <w:basedOn w:val="1"/>
    <w:link w:val="92"/>
    <w:qFormat/>
    <w:uiPriority w:val="0"/>
    <w:rPr>
      <w:rFonts w:ascii="宋体" w:hAnsi="Courier New"/>
      <w:szCs w:val="20"/>
    </w:rPr>
  </w:style>
  <w:style w:type="paragraph" w:styleId="31">
    <w:name w:val="List Bullet 5"/>
    <w:basedOn w:val="1"/>
    <w:qFormat/>
    <w:uiPriority w:val="0"/>
    <w:pPr>
      <w:tabs>
        <w:tab w:val="left" w:pos="2040"/>
      </w:tabs>
      <w:ind w:left="2040" w:leftChars="800" w:hanging="360" w:hangingChars="200"/>
    </w:pPr>
  </w:style>
  <w:style w:type="paragraph" w:styleId="32">
    <w:name w:val="toc 8"/>
    <w:basedOn w:val="1"/>
    <w:next w:val="1"/>
    <w:semiHidden/>
    <w:qFormat/>
    <w:uiPriority w:val="0"/>
    <w:pPr>
      <w:ind w:left="1470"/>
      <w:jc w:val="left"/>
    </w:pPr>
    <w:rPr>
      <w:szCs w:val="21"/>
    </w:rPr>
  </w:style>
  <w:style w:type="paragraph" w:styleId="33">
    <w:name w:val="Date"/>
    <w:basedOn w:val="1"/>
    <w:next w:val="1"/>
    <w:qFormat/>
    <w:uiPriority w:val="0"/>
    <w:rPr>
      <w:rFonts w:ascii="宋体" w:hAnsi="Courier New"/>
      <w:sz w:val="32"/>
      <w:szCs w:val="20"/>
    </w:rPr>
  </w:style>
  <w:style w:type="paragraph" w:styleId="34">
    <w:name w:val="Body Text Indent 2"/>
    <w:basedOn w:val="1"/>
    <w:qFormat/>
    <w:uiPriority w:val="0"/>
    <w:pPr>
      <w:spacing w:beforeLines="50" w:afterLines="50" w:line="120" w:lineRule="auto"/>
      <w:ind w:firstLine="840" w:firstLineChars="400"/>
      <w:jc w:val="left"/>
    </w:pPr>
    <w:rPr>
      <w:rFonts w:ascii="宋体" w:hAnsi="宋体"/>
    </w:rPr>
  </w:style>
  <w:style w:type="paragraph" w:styleId="35">
    <w:name w:val="Balloon Text"/>
    <w:basedOn w:val="1"/>
    <w:link w:val="98"/>
    <w:qFormat/>
    <w:uiPriority w:val="0"/>
    <w:rPr>
      <w:sz w:val="18"/>
      <w:szCs w:val="18"/>
    </w:rPr>
  </w:style>
  <w:style w:type="paragraph" w:styleId="36">
    <w:name w:val="footer"/>
    <w:basedOn w:val="1"/>
    <w:link w:val="101"/>
    <w:qFormat/>
    <w:uiPriority w:val="0"/>
    <w:pPr>
      <w:tabs>
        <w:tab w:val="center" w:pos="4153"/>
        <w:tab w:val="right" w:pos="8306"/>
      </w:tabs>
      <w:snapToGrid w:val="0"/>
      <w:jc w:val="left"/>
    </w:pPr>
    <w:rPr>
      <w:sz w:val="18"/>
      <w:szCs w:val="18"/>
    </w:rPr>
  </w:style>
  <w:style w:type="paragraph" w:styleId="37">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semiHidden/>
    <w:qFormat/>
    <w:uiPriority w:val="0"/>
    <w:pPr>
      <w:spacing w:before="120" w:after="120"/>
      <w:jc w:val="left"/>
    </w:pPr>
    <w:rPr>
      <w:b/>
      <w:bCs/>
      <w:caps/>
    </w:rPr>
  </w:style>
  <w:style w:type="paragraph" w:styleId="39">
    <w:name w:val="toc 4"/>
    <w:basedOn w:val="1"/>
    <w:next w:val="1"/>
    <w:semiHidden/>
    <w:qFormat/>
    <w:uiPriority w:val="0"/>
    <w:pPr>
      <w:ind w:left="630"/>
      <w:jc w:val="left"/>
    </w:pPr>
    <w:rPr>
      <w:szCs w:val="21"/>
    </w:rPr>
  </w:style>
  <w:style w:type="paragraph" w:styleId="40">
    <w:name w:val="index heading"/>
    <w:basedOn w:val="1"/>
    <w:next w:val="41"/>
    <w:qFormat/>
    <w:uiPriority w:val="0"/>
  </w:style>
  <w:style w:type="paragraph" w:styleId="41">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toc 6"/>
    <w:basedOn w:val="1"/>
    <w:next w:val="1"/>
    <w:semiHidden/>
    <w:qFormat/>
    <w:uiPriority w:val="0"/>
    <w:pPr>
      <w:ind w:left="1050"/>
      <w:jc w:val="left"/>
    </w:pPr>
    <w:rPr>
      <w:szCs w:val="21"/>
    </w:rPr>
  </w:style>
  <w:style w:type="paragraph" w:styleId="43">
    <w:name w:val="Body Text Indent 3"/>
    <w:basedOn w:val="1"/>
    <w:qFormat/>
    <w:uiPriority w:val="0"/>
    <w:pPr>
      <w:spacing w:line="360" w:lineRule="auto"/>
      <w:ind w:firstLine="482" w:firstLineChars="200"/>
    </w:pPr>
    <w:rPr>
      <w:rFonts w:ascii="宋体"/>
      <w:b/>
      <w:bCs/>
      <w:sz w:val="24"/>
    </w:rPr>
  </w:style>
  <w:style w:type="paragraph" w:styleId="44">
    <w:name w:val="toc 2"/>
    <w:basedOn w:val="1"/>
    <w:next w:val="1"/>
    <w:semiHidden/>
    <w:qFormat/>
    <w:uiPriority w:val="0"/>
    <w:pPr>
      <w:tabs>
        <w:tab w:val="right" w:leader="dot" w:pos="8296"/>
      </w:tabs>
      <w:ind w:left="210"/>
      <w:jc w:val="left"/>
    </w:pPr>
    <w:rPr>
      <w:smallCaps/>
    </w:rPr>
  </w:style>
  <w:style w:type="paragraph" w:styleId="45">
    <w:name w:val="toc 9"/>
    <w:basedOn w:val="1"/>
    <w:next w:val="1"/>
    <w:semiHidden/>
    <w:qFormat/>
    <w:uiPriority w:val="0"/>
    <w:pPr>
      <w:ind w:left="1680"/>
      <w:jc w:val="left"/>
    </w:pPr>
    <w:rPr>
      <w:szCs w:val="21"/>
    </w:rPr>
  </w:style>
  <w:style w:type="paragraph" w:styleId="46">
    <w:name w:val="Body Text 2"/>
    <w:basedOn w:val="1"/>
    <w:qFormat/>
    <w:uiPriority w:val="0"/>
    <w:pPr>
      <w:spacing w:line="360" w:lineRule="auto"/>
    </w:pPr>
    <w:rPr>
      <w:sz w:val="24"/>
    </w:r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8">
    <w:name w:val="Normal (Web)"/>
    <w:basedOn w:val="1"/>
    <w:qFormat/>
    <w:uiPriority w:val="0"/>
    <w:rPr>
      <w:sz w:val="24"/>
    </w:rPr>
  </w:style>
  <w:style w:type="paragraph" w:styleId="49">
    <w:name w:val="index 2"/>
    <w:basedOn w:val="1"/>
    <w:next w:val="1"/>
    <w:qFormat/>
    <w:uiPriority w:val="0"/>
    <w:pPr>
      <w:adjustRightInd w:val="0"/>
      <w:spacing w:line="315" w:lineRule="atLeast"/>
      <w:ind w:left="420"/>
      <w:jc w:val="left"/>
      <w:textAlignment w:val="baseline"/>
    </w:pPr>
    <w:rPr>
      <w:rFonts w:ascii="宋体"/>
      <w:kern w:val="0"/>
    </w:rPr>
  </w:style>
  <w:style w:type="paragraph" w:styleId="50">
    <w:name w:val="Title"/>
    <w:basedOn w:val="1"/>
    <w:qFormat/>
    <w:uiPriority w:val="0"/>
    <w:pPr>
      <w:spacing w:before="240" w:after="60"/>
      <w:jc w:val="center"/>
      <w:outlineLvl w:val="0"/>
    </w:pPr>
    <w:rPr>
      <w:rFonts w:ascii="Arial" w:hAnsi="Arial" w:eastAsia="隶书" w:cs="Arial"/>
      <w:b/>
      <w:bCs/>
      <w:sz w:val="32"/>
      <w:szCs w:val="32"/>
    </w:rPr>
  </w:style>
  <w:style w:type="paragraph" w:styleId="51">
    <w:name w:val="annotation subject"/>
    <w:basedOn w:val="18"/>
    <w:next w:val="18"/>
    <w:link w:val="175"/>
    <w:qFormat/>
    <w:uiPriority w:val="0"/>
    <w:pPr>
      <w:autoSpaceDE/>
      <w:autoSpaceDN/>
      <w:adjustRightInd/>
      <w:textAlignment w:val="auto"/>
    </w:pPr>
    <w:rPr>
      <w:rFonts w:ascii="Times New Roman"/>
      <w:b/>
      <w:bCs/>
      <w:kern w:val="2"/>
      <w:sz w:val="21"/>
      <w:szCs w:val="24"/>
    </w:rPr>
  </w:style>
  <w:style w:type="paragraph" w:styleId="52">
    <w:name w:val="Body Text First Indent"/>
    <w:basedOn w:val="22"/>
    <w:link w:val="114"/>
    <w:qFormat/>
    <w:uiPriority w:val="0"/>
    <w:pPr>
      <w:spacing w:after="120" w:line="240" w:lineRule="auto"/>
      <w:ind w:firstLine="420" w:firstLineChars="100"/>
    </w:pPr>
    <w:rPr>
      <w:b w:val="0"/>
      <w:bCs w:val="0"/>
      <w:sz w:val="21"/>
    </w:rPr>
  </w:style>
  <w:style w:type="paragraph" w:styleId="53">
    <w:name w:val="Body Text First Indent 2"/>
    <w:basedOn w:val="23"/>
    <w:link w:val="106"/>
    <w:qFormat/>
    <w:uiPriority w:val="0"/>
    <w:pPr>
      <w:spacing w:after="120" w:line="240" w:lineRule="auto"/>
      <w:ind w:left="420" w:firstLine="210" w:firstLineChars="0"/>
    </w:pPr>
    <w:rPr>
      <w:szCs w:val="20"/>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Theme"/>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Grid 2"/>
    <w:basedOn w:val="54"/>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color w:val="CC0000"/>
    </w:rPr>
  </w:style>
  <w:style w:type="character" w:styleId="63">
    <w:name w:val="Hyperlink"/>
    <w:qFormat/>
    <w:uiPriority w:val="0"/>
    <w:rPr>
      <w:color w:val="0000FF"/>
      <w:u w:val="single"/>
    </w:rPr>
  </w:style>
  <w:style w:type="character" w:styleId="64">
    <w:name w:val="annotation reference"/>
    <w:unhideWhenUsed/>
    <w:qFormat/>
    <w:uiPriority w:val="99"/>
    <w:rPr>
      <w:sz w:val="21"/>
      <w:szCs w:val="21"/>
    </w:rPr>
  </w:style>
  <w:style w:type="character" w:customStyle="1" w:styleId="65">
    <w:name w:val="标题 4 字符"/>
    <w:link w:val="4"/>
    <w:qFormat/>
    <w:uiPriority w:val="0"/>
    <w:rPr>
      <w:rFonts w:ascii="Arial" w:hAnsi="Arial" w:eastAsia="黑体"/>
      <w:b/>
      <w:bCs/>
      <w:kern w:val="2"/>
      <w:sz w:val="28"/>
      <w:szCs w:val="28"/>
      <w:lang w:val="en-US" w:eastAsia="zh-CN" w:bidi="ar-SA"/>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标题 3 字符"/>
    <w:link w:val="3"/>
    <w:qFormat/>
    <w:uiPriority w:val="0"/>
    <w:rPr>
      <w:rFonts w:ascii="宋体" w:hAnsi="宋体" w:eastAsia="宋体"/>
      <w:b/>
      <w:bCs/>
      <w:kern w:val="2"/>
      <w:sz w:val="28"/>
      <w:szCs w:val="32"/>
      <w:lang w:val="en-US" w:eastAsia="zh-CN" w:bidi="ar-SA"/>
    </w:rPr>
  </w:style>
  <w:style w:type="character" w:customStyle="1" w:styleId="68">
    <w:name w:val="标题 1 字符"/>
    <w:link w:val="2"/>
    <w:qFormat/>
    <w:uiPriority w:val="0"/>
    <w:rPr>
      <w:rFonts w:ascii="宋体" w:hAnsi="宋体" w:eastAsia="黑体"/>
      <w:kern w:val="44"/>
      <w:sz w:val="48"/>
      <w:szCs w:val="48"/>
    </w:rPr>
  </w:style>
  <w:style w:type="character" w:customStyle="1" w:styleId="69">
    <w:name w:val="正文缩进 字符"/>
    <w:link w:val="7"/>
    <w:qFormat/>
    <w:uiPriority w:val="0"/>
    <w:rPr>
      <w:rFonts w:eastAsia="宋体"/>
      <w:kern w:val="2"/>
      <w:sz w:val="21"/>
      <w:lang w:val="en-US" w:eastAsia="zh-CN" w:bidi="ar-SA"/>
    </w:rPr>
  </w:style>
  <w:style w:type="character" w:customStyle="1" w:styleId="70">
    <w:name w:val="已访问的超链接1"/>
    <w:qFormat/>
    <w:uiPriority w:val="0"/>
    <w:rPr>
      <w:color w:val="800080"/>
      <w:u w:val="single"/>
    </w:rPr>
  </w:style>
  <w:style w:type="character" w:customStyle="1" w:styleId="71">
    <w:name w:val="标题 3 Char"/>
    <w:qFormat/>
    <w:uiPriority w:val="0"/>
    <w:rPr>
      <w:rFonts w:ascii="黑体" w:eastAsia="黑体"/>
      <w:bCs/>
      <w:sz w:val="30"/>
    </w:rPr>
  </w:style>
  <w:style w:type="paragraph" w:customStyle="1" w:styleId="72">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7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9">
    <w:name w:val="自定义正文"/>
    <w:basedOn w:val="1"/>
    <w:uiPriority w:val="0"/>
    <w:pPr>
      <w:spacing w:afterLines="50"/>
      <w:ind w:left="600" w:leftChars="600"/>
    </w:pPr>
  </w:style>
  <w:style w:type="paragraph" w:customStyle="1" w:styleId="80">
    <w:name w:val="Char Char Char Char Char"/>
    <w:basedOn w:val="1"/>
    <w:uiPriority w:val="0"/>
    <w:rPr>
      <w:rFonts w:ascii="Tahoma" w:hAnsi="Tahoma"/>
      <w:sz w:val="24"/>
      <w:szCs w:val="20"/>
    </w:rPr>
  </w:style>
  <w:style w:type="paragraph" w:customStyle="1" w:styleId="81">
    <w:name w:val="小标题 1"/>
    <w:basedOn w:val="1"/>
    <w:uiPriority w:val="0"/>
    <w:pPr>
      <w:autoSpaceDE w:val="0"/>
      <w:autoSpaceDN w:val="0"/>
      <w:adjustRightInd w:val="0"/>
      <w:spacing w:line="360" w:lineRule="atLeast"/>
    </w:pPr>
    <w:rPr>
      <w:rFonts w:ascii="文鼎粗黑" w:eastAsia="文鼎粗黑"/>
      <w:kern w:val="0"/>
      <w:sz w:val="22"/>
      <w:szCs w:val="20"/>
    </w:rPr>
  </w:style>
  <w:style w:type="paragraph" w:customStyle="1" w:styleId="82">
    <w:name w:val="Char Char"/>
    <w:basedOn w:val="1"/>
    <w:uiPriority w:val="0"/>
    <w:rPr>
      <w:rFonts w:ascii="Tahoma" w:hAnsi="Tahoma"/>
      <w:sz w:val="24"/>
      <w:szCs w:val="20"/>
    </w:rPr>
  </w:style>
  <w:style w:type="paragraph" w:customStyle="1" w:styleId="83">
    <w:name w:val="È±Ê¡ÎÄ±¾"/>
    <w:basedOn w:val="1"/>
    <w:uiPriority w:val="0"/>
    <w:pPr>
      <w:widowControl/>
      <w:overflowPunct w:val="0"/>
      <w:autoSpaceDE w:val="0"/>
      <w:autoSpaceDN w:val="0"/>
      <w:adjustRightInd w:val="0"/>
      <w:jc w:val="left"/>
      <w:textAlignment w:val="baseline"/>
    </w:pPr>
    <w:rPr>
      <w:kern w:val="0"/>
      <w:sz w:val="24"/>
      <w:szCs w:val="20"/>
    </w:rPr>
  </w:style>
  <w:style w:type="character" w:customStyle="1" w:styleId="84">
    <w:name w:val="批注文字 字符"/>
    <w:link w:val="18"/>
    <w:uiPriority w:val="0"/>
    <w:rPr>
      <w:rFonts w:ascii="宋体" w:eastAsia="宋体"/>
      <w:sz w:val="34"/>
      <w:lang w:val="en-US" w:eastAsia="zh-CN" w:bidi="ar-SA"/>
    </w:rPr>
  </w:style>
  <w:style w:type="paragraph" w:customStyle="1" w:styleId="85">
    <w:name w:val="_Style 64"/>
    <w:basedOn w:val="1"/>
    <w:uiPriority w:val="0"/>
    <w:pPr>
      <w:widowControl/>
      <w:spacing w:after="160" w:line="240" w:lineRule="exact"/>
      <w:jc w:val="left"/>
    </w:pPr>
  </w:style>
  <w:style w:type="paragraph" w:customStyle="1" w:styleId="86">
    <w:name w:val="Char Char Char Char Char Char Char"/>
    <w:basedOn w:val="1"/>
    <w:uiPriority w:val="0"/>
    <w:pPr>
      <w:widowControl/>
      <w:spacing w:after="160" w:line="240" w:lineRule="exact"/>
      <w:jc w:val="left"/>
    </w:pPr>
  </w:style>
  <w:style w:type="character" w:customStyle="1" w:styleId="87">
    <w:name w:val="页眉 字符"/>
    <w:link w:val="37"/>
    <w:uiPriority w:val="99"/>
    <w:rPr>
      <w:rFonts w:eastAsia="宋体"/>
      <w:kern w:val="2"/>
      <w:sz w:val="18"/>
      <w:szCs w:val="18"/>
      <w:lang w:val="en-US" w:eastAsia="zh-CN" w:bidi="ar-SA"/>
    </w:rPr>
  </w:style>
  <w:style w:type="paragraph" w:customStyle="1" w:styleId="88">
    <w:name w:val="Char Char Char Char Char Char Char1"/>
    <w:basedOn w:val="1"/>
    <w:uiPriority w:val="0"/>
    <w:pPr>
      <w:widowControl/>
      <w:spacing w:after="160" w:line="240" w:lineRule="exact"/>
      <w:jc w:val="left"/>
    </w:pPr>
  </w:style>
  <w:style w:type="paragraph" w:styleId="89">
    <w:name w:val="List Paragraph"/>
    <w:basedOn w:val="1"/>
    <w:qFormat/>
    <w:uiPriority w:val="0"/>
    <w:pPr>
      <w:ind w:firstLine="420" w:firstLineChars="200"/>
    </w:pPr>
    <w:rPr>
      <w:rFonts w:ascii="Calibri" w:hAnsi="Calibri"/>
      <w:szCs w:val="22"/>
    </w:rPr>
  </w:style>
  <w:style w:type="paragraph" w:customStyle="1" w:styleId="90">
    <w:name w:val="Char Char8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92">
    <w:name w:val="纯文本 字符"/>
    <w:link w:val="30"/>
    <w:qFormat/>
    <w:uiPriority w:val="0"/>
    <w:rPr>
      <w:rFonts w:ascii="宋体" w:hAnsi="Courier New"/>
      <w:kern w:val="2"/>
      <w:sz w:val="21"/>
    </w:rPr>
  </w:style>
  <w:style w:type="paragraph" w:customStyle="1" w:styleId="93">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94">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95">
    <w:name w:val="表格内文"/>
    <w:basedOn w:val="1"/>
    <w:qFormat/>
    <w:uiPriority w:val="0"/>
    <w:pPr>
      <w:spacing w:before="60" w:after="60"/>
      <w:jc w:val="center"/>
    </w:pPr>
    <w:rPr>
      <w:rFonts w:eastAsia="文鼎CS书宋二"/>
      <w:w w:val="95"/>
      <w:sz w:val="18"/>
      <w:szCs w:val="20"/>
    </w:rPr>
  </w:style>
  <w:style w:type="paragraph" w:customStyle="1" w:styleId="96">
    <w:name w:val="内正文"/>
    <w:basedOn w:val="1"/>
    <w:qFormat/>
    <w:uiPriority w:val="0"/>
    <w:pPr>
      <w:ind w:firstLine="420"/>
    </w:pPr>
    <w:rPr>
      <w:rFonts w:eastAsia="文鼎CS书宋二"/>
      <w:szCs w:val="20"/>
    </w:rPr>
  </w:style>
  <w:style w:type="character" w:customStyle="1" w:styleId="97">
    <w:name w:val="标题 2 字符"/>
    <w:link w:val="5"/>
    <w:qFormat/>
    <w:uiPriority w:val="0"/>
    <w:rPr>
      <w:rFonts w:ascii="宋体" w:hAnsi="宋体"/>
      <w:b/>
      <w:sz w:val="24"/>
    </w:rPr>
  </w:style>
  <w:style w:type="character" w:customStyle="1" w:styleId="98">
    <w:name w:val="批注框文本 字符"/>
    <w:link w:val="35"/>
    <w:qFormat/>
    <w:uiPriority w:val="0"/>
    <w:rPr>
      <w:kern w:val="2"/>
      <w:sz w:val="18"/>
      <w:szCs w:val="18"/>
    </w:rPr>
  </w:style>
  <w:style w:type="paragraph" w:customStyle="1" w:styleId="99">
    <w:name w:val="样式1"/>
    <w:basedOn w:val="50"/>
    <w:qFormat/>
    <w:uiPriority w:val="0"/>
    <w:pPr>
      <w:spacing w:before="120" w:after="120"/>
    </w:pPr>
    <w:rPr>
      <w:rFonts w:eastAsia="黑体"/>
      <w:b w:val="0"/>
      <w:sz w:val="30"/>
      <w:szCs w:val="21"/>
    </w:rPr>
  </w:style>
  <w:style w:type="paragraph" w:customStyle="1" w:styleId="100">
    <w:name w:val="样式2"/>
    <w:basedOn w:val="50"/>
    <w:next w:val="99"/>
    <w:uiPriority w:val="0"/>
    <w:pPr>
      <w:spacing w:before="120" w:after="120"/>
    </w:pPr>
    <w:rPr>
      <w:rFonts w:eastAsia="黑体"/>
      <w:b w:val="0"/>
      <w:sz w:val="30"/>
      <w:szCs w:val="30"/>
    </w:rPr>
  </w:style>
  <w:style w:type="character" w:customStyle="1" w:styleId="101">
    <w:name w:val="页脚 字符"/>
    <w:link w:val="36"/>
    <w:qFormat/>
    <w:uiPriority w:val="0"/>
    <w:rPr>
      <w:kern w:val="2"/>
      <w:sz w:val="18"/>
      <w:szCs w:val="18"/>
    </w:rPr>
  </w:style>
  <w:style w:type="paragraph" w:customStyle="1" w:styleId="102">
    <w:name w:val="内正文篇标"/>
    <w:basedOn w:val="96"/>
    <w:qFormat/>
    <w:uiPriority w:val="0"/>
    <w:pPr>
      <w:ind w:firstLine="2354" w:firstLineChars="654"/>
      <w:jc w:val="left"/>
    </w:pPr>
    <w:rPr>
      <w:rFonts w:ascii="宋体" w:hAnsi="宋体" w:eastAsia="宋体"/>
      <w:w w:val="90"/>
      <w:sz w:val="40"/>
    </w:rPr>
  </w:style>
  <w:style w:type="paragraph" w:customStyle="1" w:styleId="103">
    <w:name w:val="内正文加粗"/>
    <w:basedOn w:val="96"/>
    <w:qFormat/>
    <w:uiPriority w:val="0"/>
    <w:pPr>
      <w:spacing w:before="60" w:after="60"/>
    </w:pPr>
    <w:rPr>
      <w:b/>
    </w:rPr>
  </w:style>
  <w:style w:type="paragraph" w:customStyle="1" w:styleId="104">
    <w:name w:val="正文未缩进"/>
    <w:basedOn w:val="1"/>
    <w:qFormat/>
    <w:uiPriority w:val="0"/>
    <w:rPr>
      <w:rFonts w:eastAsia="文鼎CS书宋二"/>
      <w:szCs w:val="20"/>
    </w:rPr>
  </w:style>
  <w:style w:type="character" w:customStyle="1" w:styleId="105">
    <w:name w:val="正文文本缩进 字符"/>
    <w:basedOn w:val="58"/>
    <w:link w:val="23"/>
    <w:qFormat/>
    <w:uiPriority w:val="0"/>
    <w:rPr>
      <w:kern w:val="2"/>
      <w:sz w:val="21"/>
      <w:szCs w:val="24"/>
    </w:rPr>
  </w:style>
  <w:style w:type="character" w:customStyle="1" w:styleId="106">
    <w:name w:val="正文文本首行缩进 2 字符"/>
    <w:basedOn w:val="105"/>
    <w:link w:val="53"/>
    <w:qFormat/>
    <w:uiPriority w:val="0"/>
    <w:rPr>
      <w:kern w:val="2"/>
      <w:sz w:val="21"/>
      <w:szCs w:val="24"/>
    </w:rPr>
  </w:style>
  <w:style w:type="paragraph" w:customStyle="1" w:styleId="107">
    <w:name w:val="小标题"/>
    <w:basedOn w:val="1"/>
    <w:qFormat/>
    <w:uiPriority w:val="0"/>
    <w:pPr>
      <w:spacing w:before="240" w:after="240"/>
      <w:jc w:val="center"/>
    </w:pPr>
    <w:rPr>
      <w:rFonts w:eastAsia="创艺简黑体"/>
      <w:b/>
      <w:w w:val="95"/>
      <w:szCs w:val="20"/>
    </w:rPr>
  </w:style>
  <w:style w:type="paragraph" w:customStyle="1" w:styleId="108">
    <w:name w:val="表格标题"/>
    <w:basedOn w:val="107"/>
    <w:qFormat/>
    <w:uiPriority w:val="0"/>
    <w:pPr>
      <w:spacing w:before="120" w:after="60"/>
    </w:pPr>
    <w:rPr>
      <w:rFonts w:eastAsia="文鼎CS大宋"/>
      <w:b w:val="0"/>
      <w:sz w:val="28"/>
    </w:rPr>
  </w:style>
  <w:style w:type="paragraph" w:customStyle="1" w:styleId="109">
    <w:name w:val="节标题"/>
    <w:basedOn w:val="1"/>
    <w:qFormat/>
    <w:uiPriority w:val="0"/>
    <w:pPr>
      <w:spacing w:before="240" w:after="240"/>
      <w:jc w:val="center"/>
    </w:pPr>
    <w:rPr>
      <w:rFonts w:eastAsia="文鼎CS长美黑"/>
      <w:w w:val="95"/>
      <w:sz w:val="32"/>
      <w:szCs w:val="20"/>
    </w:rPr>
  </w:style>
  <w:style w:type="paragraph" w:customStyle="1" w:styleId="110">
    <w:name w:val="说明"/>
    <w:basedOn w:val="107"/>
    <w:uiPriority w:val="0"/>
    <w:pPr>
      <w:spacing w:before="0" w:after="0" w:line="288" w:lineRule="auto"/>
      <w:ind w:firstLine="420"/>
      <w:jc w:val="both"/>
    </w:pPr>
    <w:rPr>
      <w:rFonts w:ascii="文鼎中楷" w:eastAsia="文鼎中楷"/>
      <w:b w:val="0"/>
    </w:rPr>
  </w:style>
  <w:style w:type="character" w:customStyle="1" w:styleId="111">
    <w:name w:val="p121"/>
    <w:qFormat/>
    <w:uiPriority w:val="0"/>
    <w:rPr>
      <w:rFonts w:hint="default"/>
      <w:sz w:val="24"/>
      <w:szCs w:val="24"/>
    </w:rPr>
  </w:style>
  <w:style w:type="paragraph" w:customStyle="1" w:styleId="112">
    <w:name w:val="Definition Term"/>
    <w:basedOn w:val="1"/>
    <w:next w:val="1"/>
    <w:qFormat/>
    <w:uiPriority w:val="0"/>
    <w:pPr>
      <w:autoSpaceDE w:val="0"/>
      <w:autoSpaceDN w:val="0"/>
      <w:adjustRightInd w:val="0"/>
      <w:jc w:val="left"/>
    </w:pPr>
    <w:rPr>
      <w:kern w:val="0"/>
      <w:sz w:val="24"/>
      <w:szCs w:val="20"/>
    </w:rPr>
  </w:style>
  <w:style w:type="character" w:customStyle="1" w:styleId="113">
    <w:name w:val="正文文本 字符"/>
    <w:basedOn w:val="58"/>
    <w:link w:val="22"/>
    <w:qFormat/>
    <w:uiPriority w:val="0"/>
    <w:rPr>
      <w:b/>
      <w:bCs/>
      <w:kern w:val="2"/>
      <w:sz w:val="24"/>
      <w:szCs w:val="24"/>
    </w:rPr>
  </w:style>
  <w:style w:type="character" w:customStyle="1" w:styleId="114">
    <w:name w:val="正文文本首行缩进 字符"/>
    <w:basedOn w:val="113"/>
    <w:link w:val="52"/>
    <w:qFormat/>
    <w:uiPriority w:val="0"/>
    <w:rPr>
      <w:b w:val="0"/>
      <w:bCs w:val="0"/>
      <w:kern w:val="2"/>
      <w:sz w:val="21"/>
      <w:szCs w:val="24"/>
    </w:rPr>
  </w:style>
  <w:style w:type="paragraph" w:customStyle="1" w:styleId="11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6">
    <w:name w:val="font7"/>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17">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18">
    <w:name w:val="xl2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unga" w:hAnsi="Tunga"/>
      <w:kern w:val="0"/>
      <w:sz w:val="22"/>
      <w:szCs w:val="22"/>
    </w:rPr>
  </w:style>
  <w:style w:type="paragraph" w:customStyle="1" w:styleId="119">
    <w:name w:val="xl26"/>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0">
    <w:name w:val="xl27"/>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1">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2">
    <w:name w:val="xl2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3">
    <w:name w:val="xl30"/>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4">
    <w:name w:val="xl3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25">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26">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7">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8">
    <w:name w:val="xl35"/>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9">
    <w:name w:val="xl36"/>
    <w:basedOn w:val="1"/>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0">
    <w:name w:val="xl37"/>
    <w:basedOn w:val="1"/>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1">
    <w:name w:val="xl3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2">
    <w:name w:val="xl39"/>
    <w:basedOn w:val="1"/>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3">
    <w:name w:val="xl4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4">
    <w:name w:val="xl4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5">
    <w:name w:val="xl42"/>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6">
    <w:name w:val="xl4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37">
    <w:name w:val="xl44"/>
    <w:basedOn w:val="1"/>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38">
    <w:name w:val="char"/>
    <w:basedOn w:val="3"/>
    <w:uiPriority w:val="0"/>
    <w:pPr>
      <w:spacing w:line="360" w:lineRule="auto"/>
      <w:ind w:firstLine="2560" w:firstLineChars="800"/>
    </w:pPr>
    <w:rPr>
      <w:b w:val="0"/>
      <w:sz w:val="32"/>
      <w:szCs w:val="20"/>
    </w:rPr>
  </w:style>
  <w:style w:type="paragraph" w:customStyle="1" w:styleId="139">
    <w:name w:val="标题4 Char"/>
    <w:basedOn w:val="1"/>
    <w:uiPriority w:val="0"/>
    <w:pPr>
      <w:spacing w:line="360" w:lineRule="auto"/>
      <w:ind w:firstLine="538" w:firstLineChars="192"/>
      <w:jc w:val="left"/>
    </w:pPr>
    <w:rPr>
      <w:rFonts w:ascii="宋体" w:hAnsi="宋体"/>
      <w:color w:val="000000"/>
      <w:sz w:val="28"/>
      <w:szCs w:val="28"/>
    </w:rPr>
  </w:style>
  <w:style w:type="paragraph" w:customStyle="1" w:styleId="140">
    <w:name w:val="投标人须知1"/>
    <w:basedOn w:val="1"/>
    <w:uiPriority w:val="0"/>
    <w:pPr>
      <w:numPr>
        <w:ilvl w:val="0"/>
        <w:numId w:val="3"/>
      </w:numPr>
      <w:spacing w:line="480" w:lineRule="auto"/>
      <w:jc w:val="left"/>
    </w:pPr>
    <w:rPr>
      <w:b/>
      <w:sz w:val="24"/>
    </w:rPr>
  </w:style>
  <w:style w:type="paragraph" w:customStyle="1" w:styleId="141">
    <w:name w:val="投标人须知2"/>
    <w:basedOn w:val="1"/>
    <w:uiPriority w:val="0"/>
    <w:pPr>
      <w:numPr>
        <w:ilvl w:val="1"/>
        <w:numId w:val="3"/>
      </w:numPr>
      <w:spacing w:line="300" w:lineRule="auto"/>
      <w:jc w:val="left"/>
    </w:pPr>
    <w:rPr>
      <w:szCs w:val="21"/>
    </w:rPr>
  </w:style>
  <w:style w:type="paragraph" w:customStyle="1" w:styleId="142">
    <w:name w:val="投标人须知3"/>
    <w:basedOn w:val="1"/>
    <w:uiPriority w:val="0"/>
    <w:pPr>
      <w:numPr>
        <w:ilvl w:val="2"/>
        <w:numId w:val="3"/>
      </w:numPr>
      <w:spacing w:line="300" w:lineRule="auto"/>
      <w:jc w:val="left"/>
    </w:pPr>
  </w:style>
  <w:style w:type="paragraph" w:customStyle="1" w:styleId="143">
    <w:name w:val="投标人须知4"/>
    <w:basedOn w:val="1"/>
    <w:uiPriority w:val="0"/>
    <w:pPr>
      <w:numPr>
        <w:ilvl w:val="3"/>
        <w:numId w:val="3"/>
      </w:numPr>
      <w:spacing w:line="300" w:lineRule="auto"/>
      <w:ind w:left="794" w:hanging="340"/>
      <w:jc w:val="left"/>
    </w:pPr>
  </w:style>
  <w:style w:type="paragraph" w:customStyle="1" w:styleId="144">
    <w:name w:val="样式 投标人须知1 + (符号) 宋体"/>
    <w:basedOn w:val="140"/>
    <w:uiPriority w:val="0"/>
    <w:pPr>
      <w:numPr>
        <w:numId w:val="0"/>
      </w:numPr>
      <w:tabs>
        <w:tab w:val="left" w:pos="360"/>
      </w:tabs>
      <w:ind w:left="360" w:hanging="360"/>
      <w:outlineLvl w:val="1"/>
    </w:pPr>
    <w:rPr>
      <w:bCs/>
    </w:rPr>
  </w:style>
  <w:style w:type="paragraph" w:customStyle="1" w:styleId="145">
    <w:name w:val="Char Char Char Char Char1 Char Char Char Char Char Char Char Char Char Char"/>
    <w:basedOn w:val="1"/>
    <w:uiPriority w:val="0"/>
    <w:rPr>
      <w:rFonts w:ascii="仿宋_GB2312" w:eastAsia="仿宋_GB2312"/>
      <w:b/>
      <w:sz w:val="32"/>
      <w:szCs w:val="32"/>
    </w:rPr>
  </w:style>
  <w:style w:type="paragraph" w:customStyle="1" w:styleId="146">
    <w:name w:val="表格内文1"/>
    <w:basedOn w:val="95"/>
    <w:uiPriority w:val="0"/>
  </w:style>
  <w:style w:type="paragraph" w:customStyle="1" w:styleId="147">
    <w:name w:val="001"/>
    <w:basedOn w:val="148"/>
    <w:uiPriority w:val="0"/>
  </w:style>
  <w:style w:type="paragraph" w:customStyle="1" w:styleId="148">
    <w:name w:val="05"/>
    <w:basedOn w:val="149"/>
    <w:uiPriority w:val="0"/>
  </w:style>
  <w:style w:type="paragraph" w:customStyle="1" w:styleId="149">
    <w:name w:val="01"/>
    <w:basedOn w:val="150"/>
    <w:uiPriority w:val="0"/>
  </w:style>
  <w:style w:type="paragraph" w:customStyle="1" w:styleId="150">
    <w:name w:val="表格内文2"/>
    <w:basedOn w:val="95"/>
    <w:uiPriority w:val="0"/>
  </w:style>
  <w:style w:type="paragraph" w:customStyle="1" w:styleId="151">
    <w:name w:val="002"/>
    <w:basedOn w:val="96"/>
    <w:uiPriority w:val="0"/>
    <w:pPr>
      <w:spacing w:before="62" w:after="62"/>
      <w:jc w:val="center"/>
    </w:pPr>
  </w:style>
  <w:style w:type="paragraph" w:customStyle="1" w:styleId="152">
    <w:name w:val="表格下注"/>
    <w:basedOn w:val="96"/>
    <w:uiPriority w:val="0"/>
    <w:pPr>
      <w:ind w:left="798" w:hanging="378"/>
    </w:pPr>
    <w:rPr>
      <w:sz w:val="18"/>
    </w:rPr>
  </w:style>
  <w:style w:type="paragraph" w:customStyle="1" w:styleId="153">
    <w:name w:val="正文A"/>
    <w:basedOn w:val="96"/>
    <w:uiPriority w:val="0"/>
    <w:pPr>
      <w:tabs>
        <w:tab w:val="center" w:pos="3780"/>
        <w:tab w:val="left" w:pos="7140"/>
      </w:tabs>
      <w:spacing w:before="120"/>
      <w:ind w:right="196"/>
      <w:jc w:val="right"/>
    </w:pPr>
    <w:rPr>
      <w:rFonts w:eastAsia="宋体"/>
      <w:b/>
      <w:bCs/>
      <w:w w:val="95"/>
    </w:rPr>
  </w:style>
  <w:style w:type="paragraph" w:customStyle="1" w:styleId="154">
    <w:name w:val="font8"/>
    <w:basedOn w:val="1"/>
    <w:uiPriority w:val="0"/>
    <w:pPr>
      <w:widowControl/>
      <w:spacing w:before="100" w:beforeAutospacing="1" w:after="100" w:afterAutospacing="1"/>
      <w:jc w:val="left"/>
    </w:pPr>
    <w:rPr>
      <w:rFonts w:hint="eastAsia" w:ascii="宋体" w:hAnsi="宋体"/>
      <w:b/>
      <w:bCs/>
      <w:kern w:val="0"/>
      <w:sz w:val="20"/>
      <w:szCs w:val="20"/>
      <w:u w:val="single"/>
    </w:rPr>
  </w:style>
  <w:style w:type="paragraph" w:customStyle="1" w:styleId="155">
    <w:name w:val="font9"/>
    <w:basedOn w:val="1"/>
    <w:uiPriority w:val="0"/>
    <w:pPr>
      <w:widowControl/>
      <w:spacing w:before="100" w:beforeAutospacing="1" w:after="100" w:afterAutospacing="1"/>
      <w:jc w:val="left"/>
    </w:pPr>
    <w:rPr>
      <w:rFonts w:hint="eastAsia" w:ascii="宋体" w:hAnsi="宋体"/>
      <w:kern w:val="0"/>
      <w:sz w:val="20"/>
      <w:szCs w:val="20"/>
      <w:u w:val="single"/>
    </w:rPr>
  </w:style>
  <w:style w:type="paragraph" w:customStyle="1" w:styleId="156">
    <w:name w:val="font10"/>
    <w:basedOn w:val="1"/>
    <w:uiPriority w:val="0"/>
    <w:pPr>
      <w:widowControl/>
      <w:spacing w:before="100" w:beforeAutospacing="1" w:after="100" w:afterAutospacing="1"/>
      <w:jc w:val="left"/>
    </w:pPr>
    <w:rPr>
      <w:b/>
      <w:bCs/>
      <w:kern w:val="0"/>
      <w:sz w:val="20"/>
      <w:szCs w:val="20"/>
      <w:u w:val="single"/>
    </w:rPr>
  </w:style>
  <w:style w:type="paragraph" w:customStyle="1" w:styleId="157">
    <w:name w:val="font11"/>
    <w:basedOn w:val="1"/>
    <w:uiPriority w:val="0"/>
    <w:pPr>
      <w:widowControl/>
      <w:spacing w:before="100" w:beforeAutospacing="1" w:after="100" w:afterAutospacing="1"/>
      <w:jc w:val="left"/>
    </w:pPr>
    <w:rPr>
      <w:kern w:val="0"/>
      <w:sz w:val="20"/>
      <w:szCs w:val="20"/>
    </w:rPr>
  </w:style>
  <w:style w:type="paragraph" w:customStyle="1" w:styleId="158">
    <w:name w:val="font12"/>
    <w:basedOn w:val="1"/>
    <w:uiPriority w:val="0"/>
    <w:pPr>
      <w:widowControl/>
      <w:spacing w:before="100" w:beforeAutospacing="1" w:after="100" w:afterAutospacing="1"/>
      <w:jc w:val="left"/>
    </w:pPr>
    <w:rPr>
      <w:kern w:val="0"/>
      <w:sz w:val="20"/>
      <w:szCs w:val="20"/>
    </w:rPr>
  </w:style>
  <w:style w:type="paragraph" w:customStyle="1" w:styleId="159">
    <w:name w:val="xl22"/>
    <w:basedOn w:val="1"/>
    <w:uiPriority w:val="0"/>
    <w:pPr>
      <w:widowControl/>
      <w:spacing w:before="100" w:beforeAutospacing="1" w:after="100" w:afterAutospacing="1"/>
      <w:jc w:val="center"/>
      <w:textAlignment w:val="center"/>
    </w:pPr>
    <w:rPr>
      <w:rFonts w:ascii="宋体" w:hAnsi="宋体"/>
      <w:b/>
      <w:bCs/>
      <w:kern w:val="0"/>
      <w:sz w:val="28"/>
      <w:szCs w:val="28"/>
    </w:rPr>
  </w:style>
  <w:style w:type="paragraph" w:customStyle="1" w:styleId="160">
    <w:name w:val="xl23"/>
    <w:basedOn w:val="1"/>
    <w:uiPriority w:val="0"/>
    <w:pPr>
      <w:widowControl/>
      <w:spacing w:before="100" w:beforeAutospacing="1" w:after="100" w:afterAutospacing="1"/>
      <w:jc w:val="center"/>
      <w:textAlignment w:val="center"/>
    </w:pPr>
    <w:rPr>
      <w:rFonts w:hint="eastAsia" w:ascii="黑体" w:hAnsi="宋体" w:eastAsia="黑体"/>
      <w:kern w:val="0"/>
      <w:sz w:val="22"/>
      <w:szCs w:val="22"/>
    </w:rPr>
  </w:style>
  <w:style w:type="paragraph" w:customStyle="1" w:styleId="161">
    <w:name w:val="xl45"/>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62">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63">
    <w:name w:val="xl47"/>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4">
    <w:name w:val="xl48"/>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5">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6">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7">
    <w:name w:val="样式 三号 加粗 居中"/>
    <w:basedOn w:val="50"/>
    <w:uiPriority w:val="0"/>
    <w:rPr>
      <w:rFonts w:eastAsia="宋体" w:cs="宋体"/>
      <w:b w:val="0"/>
      <w:bCs w:val="0"/>
    </w:rPr>
  </w:style>
  <w:style w:type="paragraph" w:customStyle="1" w:styleId="168">
    <w:name w:val="样式 章标题"/>
    <w:basedOn w:val="50"/>
    <w:uiPriority w:val="0"/>
    <w:pPr>
      <w:tabs>
        <w:tab w:val="left" w:pos="1590"/>
      </w:tabs>
      <w:ind w:left="1590" w:hanging="1590"/>
    </w:pPr>
    <w:rPr>
      <w:rFonts w:eastAsia="宋体"/>
      <w:b w:val="0"/>
      <w:bCs w:val="0"/>
    </w:rPr>
  </w:style>
  <w:style w:type="paragraph" w:customStyle="1" w:styleId="169">
    <w:name w:val="样式 章标题 20 加粗 居中"/>
    <w:basedOn w:val="168"/>
    <w:uiPriority w:val="0"/>
    <w:rPr>
      <w:rFonts w:cs="宋体"/>
      <w:b/>
      <w:bCs/>
      <w:sz w:val="40"/>
    </w:rPr>
  </w:style>
  <w:style w:type="paragraph" w:customStyle="1" w:styleId="170">
    <w:name w:val="样式 章标题 + 宋体 加粗 倾斜 黑色"/>
    <w:basedOn w:val="5"/>
    <w:uiPriority w:val="0"/>
    <w:pPr>
      <w:keepNext w:val="0"/>
      <w:keepLines w:val="0"/>
      <w:adjustRightInd/>
      <w:spacing w:before="480" w:after="120"/>
      <w:textAlignment w:val="auto"/>
      <w:outlineLvl w:val="9"/>
    </w:pPr>
    <w:rPr>
      <w:bCs/>
      <w:i/>
      <w:iCs/>
      <w:color w:val="000000"/>
      <w:w w:val="80"/>
      <w:kern w:val="2"/>
      <w:sz w:val="40"/>
    </w:rPr>
  </w:style>
  <w:style w:type="paragraph" w:customStyle="1" w:styleId="171">
    <w:name w:val="样式 小标题 + 宋体 黑色 首行缩进:  0.74 厘米"/>
    <w:basedOn w:val="22"/>
    <w:uiPriority w:val="0"/>
    <w:pPr>
      <w:spacing w:after="120" w:line="240" w:lineRule="auto"/>
      <w:ind w:firstLine="420"/>
    </w:pPr>
    <w:rPr>
      <w:rFonts w:ascii="宋体" w:hAnsi="宋体" w:cs="宋体"/>
      <w:b w:val="0"/>
      <w:bCs w:val="0"/>
      <w:color w:val="000000"/>
      <w:sz w:val="21"/>
      <w:szCs w:val="20"/>
    </w:rPr>
  </w:style>
  <w:style w:type="paragraph" w:customStyle="1" w:styleId="172">
    <w:name w:val="样式 小标题 + (中文) 宋体 加粗 黑色 段前: 0 磅 段后: 0 磅 行距: 多倍行距 1.25 字行"/>
    <w:basedOn w:val="107"/>
    <w:next w:val="22"/>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3">
    <w:name w:val="样式 小标题 + (中文) 宋体 加粗 黑色 段前: 0 磅 段后: 0 磅 行距: 多倍行距 1.25 字行1"/>
    <w:basedOn w:val="107"/>
    <w:next w:val="53"/>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4">
    <w:name w:val="样式 样式 小标题 + (中文) 宋体 加粗 黑色 段前: 0 磅 段后: 0 磅 行距: 多倍行距 1.25 字行1 + 非加..."/>
    <w:basedOn w:val="173"/>
    <w:next w:val="53"/>
    <w:uiPriority w:val="0"/>
    <w:pPr>
      <w:ind w:firstLine="420"/>
    </w:pPr>
    <w:rPr>
      <w:b w:val="0"/>
      <w:bCs w:val="0"/>
    </w:rPr>
  </w:style>
  <w:style w:type="character" w:customStyle="1" w:styleId="175">
    <w:name w:val="批注主题 字符"/>
    <w:link w:val="51"/>
    <w:uiPriority w:val="0"/>
    <w:rPr>
      <w:b/>
      <w:bCs/>
      <w:kern w:val="2"/>
      <w:sz w:val="21"/>
      <w:szCs w:val="24"/>
    </w:rPr>
  </w:style>
  <w:style w:type="paragraph" w:customStyle="1" w:styleId="176">
    <w:name w:val="前言、引言标题"/>
    <w:next w:val="1"/>
    <w:uiPriority w:val="0"/>
    <w:pPr>
      <w:shd w:val="clear" w:color="FFFFFF" w:fill="FFFFFF"/>
      <w:tabs>
        <w:tab w:val="left" w:pos="360"/>
        <w:tab w:val="left" w:pos="760"/>
      </w:tabs>
      <w:spacing w:before="640" w:after="560"/>
      <w:ind w:left="717" w:hanging="317"/>
      <w:jc w:val="center"/>
      <w:outlineLvl w:val="0"/>
    </w:pPr>
    <w:rPr>
      <w:rFonts w:ascii="黑体" w:hAnsi="Times New Roman" w:eastAsia="黑体" w:cs="Times New Roman"/>
      <w:sz w:val="32"/>
      <w:lang w:val="en-US" w:eastAsia="zh-CN" w:bidi="ar-SA"/>
    </w:rPr>
  </w:style>
  <w:style w:type="paragraph" w:customStyle="1" w:styleId="177">
    <w:name w:val="列项●（二级）"/>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178">
    <w:name w:val="二级条标题"/>
    <w:basedOn w:val="1"/>
    <w:next w:val="1"/>
    <w:uiPriority w:val="0"/>
    <w:pPr>
      <w:widowControl/>
      <w:tabs>
        <w:tab w:val="left" w:pos="1680"/>
      </w:tabs>
      <w:ind w:left="1680" w:hanging="420"/>
      <w:jc w:val="left"/>
      <w:outlineLvl w:val="3"/>
    </w:pPr>
    <w:rPr>
      <w:rFonts w:eastAsia="黑体"/>
      <w:kern w:val="0"/>
      <w:szCs w:val="20"/>
    </w:rPr>
  </w:style>
  <w:style w:type="character" w:customStyle="1" w:styleId="179">
    <w:name w:val="fo Char"/>
    <w:uiPriority w:val="0"/>
    <w:rPr>
      <w:rFonts w:eastAsia="宋体"/>
      <w:kern w:val="2"/>
      <w:sz w:val="18"/>
      <w:szCs w:val="18"/>
      <w:lang w:val="en-US" w:eastAsia="zh-CN" w:bidi="ar-SA"/>
    </w:rPr>
  </w:style>
  <w:style w:type="paragraph" w:styleId="180">
    <w:name w:val="Intense Quote"/>
    <w:basedOn w:val="1"/>
    <w:next w:val="1"/>
    <w:link w:val="181"/>
    <w:qFormat/>
    <w:uiPriority w:val="0"/>
    <w:pPr>
      <w:pBdr>
        <w:bottom w:val="single" w:color="4F81BD" w:sz="4" w:space="4"/>
      </w:pBdr>
      <w:spacing w:before="200" w:after="280"/>
      <w:ind w:left="936" w:right="936"/>
    </w:pPr>
    <w:rPr>
      <w:b/>
      <w:bCs/>
      <w:i/>
      <w:iCs/>
      <w:color w:val="4F81BD"/>
    </w:rPr>
  </w:style>
  <w:style w:type="character" w:customStyle="1" w:styleId="181">
    <w:name w:val="明显引用 字符"/>
    <w:basedOn w:val="58"/>
    <w:link w:val="180"/>
    <w:uiPriority w:val="0"/>
    <w:rPr>
      <w:b/>
      <w:bCs/>
      <w:i/>
      <w:iCs/>
      <w:color w:val="4F81BD"/>
      <w:kern w:val="2"/>
      <w:sz w:val="21"/>
      <w:szCs w:val="24"/>
    </w:rPr>
  </w:style>
  <w:style w:type="character" w:customStyle="1" w:styleId="182">
    <w:name w:val="Char Char3"/>
    <w:locked/>
    <w:uiPriority w:val="0"/>
    <w:rPr>
      <w:rFonts w:ascii="Arial" w:hAnsi="Arial" w:eastAsia="黑体"/>
      <w:b/>
      <w:bCs/>
      <w:kern w:val="2"/>
      <w:sz w:val="32"/>
      <w:szCs w:val="32"/>
      <w:lang w:val="en-US" w:eastAsia="zh-CN" w:bidi="ar-SA"/>
    </w:rPr>
  </w:style>
  <w:style w:type="character" w:customStyle="1" w:styleId="183">
    <w:name w:val="Char Char1"/>
    <w:locked/>
    <w:uiPriority w:val="0"/>
    <w:rPr>
      <w:rFonts w:ascii="宋体" w:hAnsi="宋体" w:eastAsia="宋体"/>
      <w:kern w:val="2"/>
      <w:sz w:val="18"/>
      <w:szCs w:val="18"/>
      <w:lang w:val="en-US" w:eastAsia="zh-CN" w:bidi="ar-SA"/>
    </w:rPr>
  </w:style>
  <w:style w:type="character" w:customStyle="1" w:styleId="184">
    <w:name w:val="文档结构图 字符"/>
    <w:link w:val="17"/>
    <w:semiHidden/>
    <w:locked/>
    <w:uiPriority w:val="0"/>
    <w:rPr>
      <w:kern w:val="2"/>
      <w:sz w:val="21"/>
      <w:szCs w:val="24"/>
      <w:shd w:val="clear" w:color="auto" w:fill="000080"/>
    </w:rPr>
  </w:style>
  <w:style w:type="character" w:customStyle="1" w:styleId="185">
    <w:name w:val="Char Char2"/>
    <w:uiPriority w:val="0"/>
    <w:rPr>
      <w:rFonts w:eastAsia="宋体"/>
      <w:kern w:val="2"/>
      <w:sz w:val="18"/>
      <w:szCs w:val="18"/>
      <w:lang w:val="en-US" w:eastAsia="zh-CN" w:bidi="ar-SA"/>
    </w:rPr>
  </w:style>
  <w:style w:type="paragraph" w:customStyle="1" w:styleId="186">
    <w:name w:val="Char1 Char Char Char Char Char Char Char Char Char Char Char Char"/>
    <w:basedOn w:val="1"/>
    <w:uiPriority w:val="0"/>
    <w:rPr>
      <w:rFonts w:ascii="仿宋_GB2312" w:eastAsia="仿宋_GB2312"/>
      <w:b/>
      <w:sz w:val="32"/>
      <w:szCs w:val="32"/>
    </w:rPr>
  </w:style>
  <w:style w:type="character" w:customStyle="1" w:styleId="187">
    <w:name w:val="Char Char9"/>
    <w:uiPriority w:val="0"/>
    <w:rPr>
      <w:rFonts w:eastAsia="宋体"/>
      <w:b/>
      <w:bCs/>
      <w:kern w:val="2"/>
      <w:sz w:val="24"/>
      <w:szCs w:val="24"/>
      <w:lang w:val="en-US" w:eastAsia="zh-CN" w:bidi="ar-SA"/>
    </w:rPr>
  </w:style>
  <w:style w:type="paragraph" w:customStyle="1" w:styleId="188">
    <w:name w:val="缩进正文"/>
    <w:basedOn w:val="1"/>
    <w:link w:val="189"/>
    <w:uiPriority w:val="0"/>
    <w:pPr>
      <w:ind w:firstLine="560" w:firstLineChars="200"/>
    </w:pPr>
    <w:rPr>
      <w:rFonts w:eastAsia="仿宋_GB2312" w:cs="宋体"/>
      <w:sz w:val="28"/>
      <w:szCs w:val="20"/>
    </w:rPr>
  </w:style>
  <w:style w:type="character" w:customStyle="1" w:styleId="189">
    <w:name w:val="缩进正文 Char"/>
    <w:link w:val="188"/>
    <w:uiPriority w:val="0"/>
    <w:rPr>
      <w:rFonts w:eastAsia="仿宋_GB2312" w:cs="宋体"/>
      <w:kern w:val="2"/>
      <w:sz w:val="28"/>
    </w:rPr>
  </w:style>
  <w:style w:type="paragraph" w:customStyle="1" w:styleId="190">
    <w:name w:val="TOC 标题1"/>
    <w:basedOn w:val="2"/>
    <w:next w:val="1"/>
    <w:qFormat/>
    <w:uiPriority w:val="39"/>
    <w:pPr>
      <w:widowControl/>
      <w:spacing w:before="480" w:after="0" w:line="276" w:lineRule="auto"/>
      <w:jc w:val="left"/>
      <w:outlineLvl w:val="9"/>
    </w:pPr>
    <w:rPr>
      <w:rFonts w:ascii="Cambria" w:hAnsi="Cambria" w:eastAsia="宋体"/>
      <w:bCs/>
      <w:color w:val="365F91"/>
      <w:kern w:val="0"/>
      <w:sz w:val="44"/>
      <w:szCs w:val="28"/>
    </w:rPr>
  </w:style>
  <w:style w:type="paragraph" w:customStyle="1" w:styleId="191">
    <w:name w:val="Char1"/>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92">
    <w:name w:val="H2 Char1"/>
    <w:uiPriority w:val="0"/>
    <w:rPr>
      <w:rFonts w:ascii="宋体" w:hAnsi="宋体" w:eastAsia="宋体"/>
      <w:b/>
      <w:bCs/>
      <w:sz w:val="24"/>
      <w:lang w:val="en-US" w:eastAsia="zh-CN" w:bidi="ar-SA"/>
    </w:rPr>
  </w:style>
  <w:style w:type="character" w:customStyle="1" w:styleId="193">
    <w:name w:val="EHPT Char1"/>
    <w:uiPriority w:val="0"/>
    <w:rPr>
      <w:rFonts w:eastAsia="宋体"/>
      <w:b/>
      <w:bCs/>
      <w:kern w:val="2"/>
      <w:sz w:val="24"/>
      <w:szCs w:val="24"/>
      <w:lang w:val="en-US" w:eastAsia="zh-CN" w:bidi="ar-SA"/>
    </w:rPr>
  </w:style>
  <w:style w:type="character" w:customStyle="1" w:styleId="194">
    <w:name w:val="批注框文本 Char"/>
    <w:semiHidden/>
    <w:uiPriority w:val="0"/>
    <w:rPr>
      <w:rFonts w:ascii="Times New Roman" w:hAnsi="Times New Roman"/>
      <w:kern w:val="2"/>
      <w:sz w:val="18"/>
      <w:szCs w:val="18"/>
    </w:rPr>
  </w:style>
  <w:style w:type="character" w:customStyle="1" w:styleId="195">
    <w:name w:val="正文1"/>
    <w:uiPriority w:val="0"/>
    <w:rPr>
      <w:rFonts w:hint="eastAsia" w:ascii="宋体" w:hAnsi="宋体" w:eastAsia="宋体"/>
      <w:color w:val="000000"/>
      <w:sz w:val="24"/>
      <w:szCs w:val="24"/>
    </w:rPr>
  </w:style>
  <w:style w:type="paragraph" w:customStyle="1" w:styleId="196">
    <w:name w:val="默认段落字体 Para Char Char Char Char Char Char Char Char Char"/>
    <w:basedOn w:val="1"/>
    <w:uiPriority w:val="0"/>
    <w:rPr>
      <w:rFonts w:ascii="Tahoma" w:hAnsi="Tahoma"/>
      <w:sz w:val="24"/>
      <w:szCs w:val="20"/>
    </w:rPr>
  </w:style>
  <w:style w:type="paragraph" w:customStyle="1" w:styleId="19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8">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199">
    <w:name w:val="批注文字 Char1"/>
    <w:qFormat/>
    <w:uiPriority w:val="0"/>
    <w:rPr>
      <w:rFonts w:ascii="Times New Roman" w:hAnsi="Times New Roman" w:eastAsia="宋体" w:cs="Times New Roman"/>
      <w:szCs w:val="24"/>
    </w:rPr>
  </w:style>
  <w:style w:type="paragraph" w:customStyle="1" w:styleId="200">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470D2-78F1-4E8D-8748-E7AE6879E04A}">
  <ds:schemaRefs/>
</ds:datastoreItem>
</file>

<file path=docProps/app.xml><?xml version="1.0" encoding="utf-8"?>
<Properties xmlns="http://schemas.openxmlformats.org/officeDocument/2006/extended-properties" xmlns:vt="http://schemas.openxmlformats.org/officeDocument/2006/docPropsVTypes">
  <Template>Normal</Template>
  <Company>深圳市清华斯维尔软件科技有限公司</Company>
  <Pages>47</Pages>
  <Words>5645</Words>
  <Characters>32182</Characters>
  <Lines>268</Lines>
  <Paragraphs>75</Paragraphs>
  <TotalTime>1</TotalTime>
  <ScaleCrop>false</ScaleCrop>
  <LinksUpToDate>false</LinksUpToDate>
  <CharactersWithSpaces>37752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2021-06-07T08:46:00Z</dcterms:created>
  <dc:creator>thsware</dc:creator>
  <cp:lastModifiedBy>41747</cp:lastModifiedBy>
  <cp:lastPrinted>2015-02-16T02:37:00Z</cp:lastPrinted>
  <dcterms:modified xsi:type="dcterms:W3CDTF">2021-08-05T09:11:48Z</dcterms:modified>
  <dc:title>招  标　文　件</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