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color w:val="0000FF"/>
          <w:sz w:val="52"/>
          <w:szCs w:val="52"/>
        </w:rPr>
      </w:pPr>
    </w:p>
    <w:p>
      <w:pPr>
        <w:jc w:val="center"/>
        <w:rPr>
          <w:rFonts w:ascii="宋体" w:hAnsi="宋体" w:eastAsia="宋体" w:cs="Times New Roman"/>
          <w:color w:val="0000FF"/>
          <w:sz w:val="52"/>
          <w:szCs w:val="52"/>
        </w:rPr>
      </w:pPr>
      <w:r>
        <w:rPr>
          <w:rFonts w:hint="eastAsia" w:ascii="宋体" w:hAnsi="宋体" w:eastAsia="宋体" w:cs="Times New Roman"/>
          <w:color w:val="0000FF"/>
          <w:sz w:val="52"/>
          <w:szCs w:val="52"/>
        </w:rPr>
        <w:t>深圳大学</w:t>
      </w:r>
    </w:p>
    <w:p>
      <w:pPr>
        <w:jc w:val="center"/>
        <w:rPr>
          <w:rFonts w:ascii="宋体" w:hAnsi="宋体" w:eastAsia="宋体" w:cs="Times New Roman"/>
          <w:color w:val="FF0000"/>
          <w:sz w:val="52"/>
          <w:szCs w:val="52"/>
        </w:rPr>
      </w:pPr>
    </w:p>
    <w:p>
      <w:pPr>
        <w:jc w:val="center"/>
        <w:rPr>
          <w:rFonts w:ascii="宋体" w:hAnsi="宋体" w:eastAsia="宋体" w:cs="Times New Roman"/>
          <w:color w:val="FF0000"/>
          <w:sz w:val="52"/>
          <w:szCs w:val="52"/>
        </w:rPr>
      </w:pPr>
      <w:r>
        <w:rPr>
          <w:rFonts w:hint="eastAsia" w:ascii="宋体" w:hAnsi="宋体" w:eastAsia="宋体" w:cs="Times New Roman"/>
          <w:color w:val="FF0000"/>
          <w:sz w:val="52"/>
          <w:szCs w:val="52"/>
        </w:rPr>
        <w:t xml:space="preserve"> 丽湖校区二期独栋餐厅二层和三层餐饮服务外包经营</w:t>
      </w:r>
    </w:p>
    <w:p>
      <w:pPr>
        <w:jc w:val="center"/>
        <w:rPr>
          <w:rFonts w:ascii="宋体" w:hAnsi="宋体" w:eastAsia="宋体" w:cs="Times New Roman"/>
          <w:color w:val="FF0000"/>
          <w:sz w:val="52"/>
          <w:szCs w:val="52"/>
        </w:rPr>
      </w:pPr>
    </w:p>
    <w:p>
      <w:pPr>
        <w:jc w:val="center"/>
        <w:rPr>
          <w:rFonts w:ascii="宋体" w:hAnsi="宋体" w:eastAsia="宋体" w:cs="Times New Roman"/>
          <w:color w:val="0000FF"/>
          <w:sz w:val="52"/>
          <w:szCs w:val="52"/>
        </w:rPr>
      </w:pPr>
      <w:r>
        <w:rPr>
          <w:rFonts w:hint="eastAsia" w:ascii="宋体" w:hAnsi="宋体" w:eastAsia="宋体" w:cs="Times New Roman"/>
          <w:color w:val="0000FF"/>
          <w:sz w:val="52"/>
          <w:szCs w:val="52"/>
        </w:rPr>
        <w:t>服务</w:t>
      </w:r>
      <w:r>
        <w:rPr>
          <w:rFonts w:ascii="宋体" w:hAnsi="宋体" w:eastAsia="宋体" w:cs="Times New Roman"/>
          <w:color w:val="0000FF"/>
          <w:sz w:val="52"/>
          <w:szCs w:val="52"/>
        </w:rPr>
        <w:t>项目</w:t>
      </w:r>
    </w:p>
    <w:p>
      <w:pPr>
        <w:jc w:val="center"/>
        <w:rPr>
          <w:rFonts w:ascii="宋体" w:hAnsi="宋体" w:eastAsia="宋体" w:cs="Times New Roman"/>
          <w:b/>
          <w:color w:val="000000"/>
          <w:sz w:val="90"/>
          <w:szCs w:val="24"/>
        </w:rPr>
      </w:pPr>
      <w:r>
        <w:rPr>
          <w:rFonts w:hint="eastAsia" w:ascii="宋体" w:hAnsi="宋体" w:eastAsia="宋体" w:cs="Times New Roman"/>
          <w:b/>
          <w:color w:val="000000"/>
          <w:sz w:val="90"/>
          <w:szCs w:val="24"/>
        </w:rPr>
        <w:t>采 购 文 件</w:t>
      </w:r>
    </w:p>
    <w:p>
      <w:pPr>
        <w:jc w:val="center"/>
        <w:rPr>
          <w:rFonts w:ascii="宋体" w:hAnsi="宋体" w:eastAsia="宋体" w:cs="Times New Roman"/>
          <w:color w:val="000000"/>
          <w:sz w:val="30"/>
          <w:szCs w:val="24"/>
        </w:rPr>
      </w:pPr>
      <w:r>
        <w:rPr>
          <w:rFonts w:hint="eastAsia" w:ascii="宋体" w:hAnsi="宋体" w:eastAsia="宋体" w:cs="Times New Roman"/>
          <w:color w:val="000000"/>
          <w:sz w:val="30"/>
          <w:szCs w:val="24"/>
        </w:rPr>
        <w:t>（项目编号：</w:t>
      </w:r>
      <w:r>
        <w:rPr>
          <w:rFonts w:hint="eastAsia" w:ascii="宋体" w:hAnsi="宋体" w:eastAsia="宋体" w:cs="Times New Roman"/>
          <w:color w:val="FF0000"/>
          <w:sz w:val="30"/>
          <w:szCs w:val="24"/>
        </w:rPr>
        <w:t>SZUCG20210199FW</w:t>
      </w:r>
      <w:r>
        <w:rPr>
          <w:rFonts w:hint="eastAsia" w:ascii="宋体" w:hAnsi="宋体" w:eastAsia="宋体" w:cs="Times New Roman"/>
          <w:color w:val="000000"/>
          <w:sz w:val="30"/>
          <w:szCs w:val="24"/>
        </w:rPr>
        <w:t>）</w:t>
      </w:r>
    </w:p>
    <w:p>
      <w:pPr>
        <w:jc w:val="center"/>
        <w:rPr>
          <w:rFonts w:ascii="宋体" w:hAnsi="宋体" w:eastAsia="宋体" w:cs="Times New Roman"/>
          <w:color w:val="000000"/>
          <w:sz w:val="90"/>
          <w:szCs w:val="24"/>
        </w:rPr>
      </w:pPr>
    </w:p>
    <w:p>
      <w:pPr>
        <w:jc w:val="center"/>
        <w:rPr>
          <w:rFonts w:ascii="宋体" w:hAnsi="宋体" w:eastAsia="宋体" w:cs="Times New Roman"/>
          <w:color w:val="000000"/>
          <w:sz w:val="90"/>
          <w:szCs w:val="24"/>
        </w:rPr>
      </w:pPr>
    </w:p>
    <w:p>
      <w:pPr>
        <w:jc w:val="center"/>
        <w:rPr>
          <w:rFonts w:ascii="宋体" w:hAnsi="宋体" w:eastAsia="宋体" w:cs="Times New Roman"/>
          <w:color w:val="000000"/>
          <w:sz w:val="90"/>
          <w:szCs w:val="24"/>
        </w:rPr>
      </w:pPr>
    </w:p>
    <w:p>
      <w:pPr>
        <w:jc w:val="center"/>
        <w:rPr>
          <w:rFonts w:ascii="宋体" w:hAnsi="宋体" w:eastAsia="宋体" w:cs="Times New Roman"/>
          <w:color w:val="000000"/>
          <w:sz w:val="30"/>
          <w:szCs w:val="24"/>
        </w:rPr>
      </w:pPr>
      <w:r>
        <w:rPr>
          <w:rFonts w:hint="eastAsia" w:ascii="宋体" w:hAnsi="宋体" w:eastAsia="宋体" w:cs="Times New Roman"/>
          <w:color w:val="000000"/>
          <w:sz w:val="30"/>
          <w:szCs w:val="24"/>
        </w:rPr>
        <w:t>深圳大学招投标管理中心</w:t>
      </w:r>
    </w:p>
    <w:p>
      <w:pPr>
        <w:jc w:val="center"/>
        <w:rPr>
          <w:rFonts w:ascii="宋体" w:hAnsi="宋体" w:eastAsia="宋体" w:cs="Times New Roman"/>
          <w:color w:val="000000"/>
          <w:sz w:val="30"/>
          <w:szCs w:val="24"/>
        </w:rPr>
      </w:pPr>
      <w:r>
        <w:rPr>
          <w:rFonts w:hint="eastAsia" w:ascii="宋体" w:hAnsi="宋体" w:eastAsia="宋体" w:cs="Times New Roman"/>
          <w:color w:val="FF0000"/>
          <w:sz w:val="30"/>
          <w:szCs w:val="24"/>
        </w:rPr>
        <w:t>二零二一年</w:t>
      </w:r>
      <w:r>
        <w:rPr>
          <w:rFonts w:hint="eastAsia" w:ascii="宋体" w:hAnsi="宋体" w:eastAsia="宋体" w:cs="Times New Roman"/>
          <w:color w:val="FF0000"/>
          <w:sz w:val="30"/>
          <w:szCs w:val="24"/>
          <w:lang w:val="en-US" w:eastAsia="zh-CN"/>
        </w:rPr>
        <w:t>五</w:t>
      </w:r>
      <w:r>
        <w:rPr>
          <w:rFonts w:hint="eastAsia" w:ascii="宋体" w:hAnsi="宋体" w:eastAsia="宋体" w:cs="Times New Roman"/>
          <w:color w:val="FF0000"/>
          <w:sz w:val="30"/>
          <w:szCs w:val="24"/>
        </w:rPr>
        <w:t>月</w:t>
      </w:r>
    </w:p>
    <w:p>
      <w:pPr>
        <w:keepNext/>
        <w:keepLines/>
        <w:spacing w:before="340" w:after="330" w:line="360" w:lineRule="auto"/>
        <w:jc w:val="center"/>
        <w:outlineLvl w:val="0"/>
        <w:rPr>
          <w:rFonts w:ascii="宋体" w:hAnsi="宋体" w:eastAsia="黑体" w:cs="Times New Roman"/>
          <w:b/>
          <w:bCs/>
          <w:kern w:val="44"/>
          <w:sz w:val="36"/>
          <w:szCs w:val="44"/>
        </w:rPr>
      </w:pPr>
      <w:r>
        <w:rPr>
          <w:rFonts w:hint="eastAsia" w:ascii="宋体" w:hAnsi="宋体" w:eastAsia="黑体" w:cs="Times New Roman"/>
          <w:b/>
          <w:bCs/>
          <w:kern w:val="44"/>
          <w:sz w:val="36"/>
          <w:szCs w:val="44"/>
        </w:rPr>
        <w:t>关键信息</w:t>
      </w:r>
    </w:p>
    <w:p>
      <w:pPr>
        <w:keepNext/>
        <w:keepLines/>
        <w:spacing w:before="340" w:after="330" w:line="360" w:lineRule="auto"/>
        <w:outlineLvl w:val="0"/>
        <w:rPr>
          <w:rFonts w:ascii="Times New Roman" w:hAnsi="Times New Roman" w:eastAsia="宋体" w:cs="Times New Roman"/>
          <w:szCs w:val="24"/>
        </w:rPr>
      </w:pPr>
    </w:p>
    <w:p>
      <w:pPr>
        <w:keepNext/>
        <w:keepLines/>
        <w:adjustRightInd w:val="0"/>
        <w:spacing w:before="260" w:after="260"/>
        <w:jc w:val="center"/>
        <w:textAlignment w:val="baseline"/>
        <w:outlineLvl w:val="1"/>
        <w:rPr>
          <w:rFonts w:ascii="宋体" w:hAnsi="宋体" w:eastAsia="宋体" w:cs="Times New Roman"/>
          <w:b/>
          <w:bCs/>
          <w:kern w:val="0"/>
          <w:sz w:val="24"/>
          <w:szCs w:val="20"/>
        </w:rPr>
      </w:pPr>
      <w:r>
        <w:rPr>
          <w:rFonts w:hint="eastAsia" w:ascii="宋体" w:hAnsi="宋体" w:eastAsia="宋体" w:cs="Times New Roman"/>
          <w:b/>
          <w:bCs/>
          <w:kern w:val="0"/>
          <w:sz w:val="24"/>
          <w:szCs w:val="20"/>
        </w:rPr>
        <w:t>项目信息</w:t>
      </w:r>
    </w:p>
    <w:p>
      <w:pPr>
        <w:rPr>
          <w:rFonts w:ascii="宋体" w:hAnsi="宋体" w:eastAsia="宋体" w:cs="Times New Roman"/>
          <w:sz w:val="32"/>
          <w:szCs w:val="24"/>
        </w:rPr>
      </w:pPr>
      <w:r>
        <w:rPr>
          <w:rFonts w:ascii="宋体" w:hAnsi="宋体" w:eastAsia="宋体" w:cs="Times New Roman"/>
          <w:sz w:val="32"/>
          <w:szCs w:val="24"/>
        </w:rPr>
        <w:t xml:space="preserve">      项目编号：  </w:t>
      </w:r>
      <w:r>
        <w:rPr>
          <w:rFonts w:hint="eastAsia" w:ascii="宋体" w:hAnsi="宋体" w:eastAsia="宋体" w:cs="Times New Roman"/>
          <w:sz w:val="32"/>
          <w:szCs w:val="24"/>
        </w:rPr>
        <w:t>SZUCG20210199FW</w:t>
      </w:r>
    </w:p>
    <w:p>
      <w:pPr>
        <w:ind w:left="2880" w:hanging="2880" w:hangingChars="900"/>
        <w:rPr>
          <w:rFonts w:ascii="宋体" w:hAnsi="宋体" w:eastAsia="宋体" w:cs="Times New Roman"/>
          <w:sz w:val="32"/>
          <w:szCs w:val="24"/>
        </w:rPr>
      </w:pPr>
      <w:r>
        <w:rPr>
          <w:rFonts w:ascii="宋体" w:hAnsi="宋体" w:eastAsia="宋体" w:cs="Times New Roman"/>
          <w:sz w:val="32"/>
          <w:szCs w:val="24"/>
        </w:rPr>
        <w:t xml:space="preserve">      项目名称：  </w:t>
      </w:r>
      <w:r>
        <w:rPr>
          <w:rFonts w:hint="eastAsia" w:ascii="宋体" w:hAnsi="宋体" w:eastAsia="宋体" w:cs="Times New Roman"/>
          <w:sz w:val="32"/>
          <w:szCs w:val="24"/>
        </w:rPr>
        <w:t>丽湖校区二期独栋餐厅二层和三层餐饮服务外包经营</w:t>
      </w:r>
    </w:p>
    <w:p>
      <w:pPr>
        <w:rPr>
          <w:rFonts w:ascii="宋体" w:hAnsi="宋体" w:eastAsia="宋体" w:cs="Times New Roman"/>
          <w:sz w:val="32"/>
          <w:szCs w:val="24"/>
        </w:rPr>
      </w:pPr>
      <w:r>
        <w:rPr>
          <w:rFonts w:ascii="宋体" w:hAnsi="宋体" w:eastAsia="宋体" w:cs="Times New Roman"/>
          <w:sz w:val="32"/>
          <w:szCs w:val="24"/>
        </w:rPr>
        <w:t xml:space="preserve">      项目类型：  服务类</w:t>
      </w:r>
    </w:p>
    <w:p>
      <w:pPr>
        <w:rPr>
          <w:rFonts w:ascii="宋体" w:hAnsi="宋体" w:eastAsia="宋体" w:cs="Times New Roman"/>
          <w:sz w:val="32"/>
          <w:szCs w:val="24"/>
        </w:rPr>
      </w:pPr>
      <w:r>
        <w:rPr>
          <w:rFonts w:ascii="宋体" w:hAnsi="宋体" w:eastAsia="宋体" w:cs="Times New Roman"/>
          <w:sz w:val="32"/>
          <w:szCs w:val="24"/>
        </w:rPr>
        <w:t xml:space="preserve">      采购方式：  公开招标</w:t>
      </w:r>
    </w:p>
    <w:p>
      <w:pPr>
        <w:rPr>
          <w:rFonts w:ascii="宋体" w:hAnsi="宋体" w:eastAsia="宋体" w:cs="Times New Roman"/>
          <w:sz w:val="32"/>
          <w:szCs w:val="24"/>
        </w:rPr>
      </w:pPr>
      <w:r>
        <w:rPr>
          <w:rFonts w:ascii="宋体" w:hAnsi="宋体" w:eastAsia="宋体" w:cs="Times New Roman"/>
          <w:sz w:val="32"/>
          <w:szCs w:val="24"/>
        </w:rPr>
        <w:t xml:space="preserve">      货币类型：  人民币</w:t>
      </w:r>
    </w:p>
    <w:p>
      <w:pPr>
        <w:rPr>
          <w:rFonts w:ascii="宋体" w:hAnsi="宋体" w:eastAsia="宋体" w:cs="Times New Roman"/>
          <w:sz w:val="32"/>
          <w:szCs w:val="24"/>
        </w:rPr>
      </w:pPr>
    </w:p>
    <w:p>
      <w:pPr>
        <w:keepNext/>
        <w:keepLines/>
        <w:adjustRightInd w:val="0"/>
        <w:spacing w:before="260" w:after="260"/>
        <w:jc w:val="center"/>
        <w:textAlignment w:val="baseline"/>
        <w:outlineLvl w:val="1"/>
        <w:rPr>
          <w:rFonts w:ascii="宋体" w:hAnsi="宋体" w:eastAsia="宋体" w:cs="Times New Roman"/>
          <w:b/>
          <w:bCs/>
          <w:kern w:val="0"/>
          <w:sz w:val="36"/>
          <w:szCs w:val="20"/>
        </w:rPr>
      </w:pPr>
      <w:r>
        <w:rPr>
          <w:rFonts w:hint="eastAsia" w:ascii="宋体" w:hAnsi="宋体" w:eastAsia="宋体" w:cs="Times New Roman"/>
          <w:b/>
          <w:bCs/>
          <w:kern w:val="0"/>
          <w:sz w:val="36"/>
          <w:szCs w:val="20"/>
        </w:rPr>
        <w:t>投标文件初审表</w:t>
      </w:r>
    </w:p>
    <w:p>
      <w:pPr>
        <w:jc w:val="center"/>
        <w:rPr>
          <w:rFonts w:ascii="Times New Roman" w:hAnsi="Times New Roman" w:eastAsia="宋体" w:cs="Times New Roman"/>
          <w:b/>
          <w:szCs w:val="24"/>
        </w:rPr>
      </w:pPr>
      <w:r>
        <w:rPr>
          <w:rFonts w:hint="eastAsia" w:ascii="Times New Roman" w:hAnsi="Times New Roman" w:eastAsia="宋体" w:cs="Times New Roman"/>
          <w:b/>
          <w:szCs w:val="24"/>
        </w:rPr>
        <w:t>（凡有下列情形之一的，投标文件无效，投标作投标</w:t>
      </w:r>
      <w:r>
        <w:rPr>
          <w:rFonts w:ascii="Times New Roman" w:hAnsi="Times New Roman" w:eastAsia="宋体" w:cs="Times New Roman"/>
          <w:b/>
          <w:szCs w:val="24"/>
        </w:rPr>
        <w:t>无效</w:t>
      </w:r>
      <w:r>
        <w:rPr>
          <w:rFonts w:hint="eastAsia" w:ascii="Times New Roman" w:hAnsi="Times New Roman" w:eastAsia="宋体" w:cs="Times New Roman"/>
          <w:b/>
          <w:szCs w:val="24"/>
        </w:rPr>
        <w:t>处理）</w:t>
      </w:r>
    </w:p>
    <w:tbl>
      <w:tblPr>
        <w:tblStyle w:val="4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6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jc w:val="center"/>
              <w:rPr>
                <w:rFonts w:ascii="Times New Roman" w:hAnsi="Times New Roman" w:eastAsia="宋体" w:cs="Times New Roman"/>
                <w:szCs w:val="24"/>
              </w:rPr>
            </w:pPr>
            <w:r>
              <w:rPr>
                <w:rFonts w:hint="eastAsia" w:ascii="Times New Roman" w:hAnsi="Times New Roman" w:eastAsia="宋体" w:cs="Times New Roman"/>
                <w:szCs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1</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投标人不具备招标文件所列的资格要求，并未提交相应的资格证明资料（详见招标公告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jc w:val="center"/>
              <w:rPr>
                <w:rFonts w:ascii="Times New Roman" w:hAnsi="Times New Roman" w:eastAsia="宋体" w:cs="Times New Roman"/>
                <w:szCs w:val="24"/>
              </w:rPr>
            </w:pPr>
            <w:r>
              <w:rPr>
                <w:rFonts w:hint="eastAsia" w:ascii="Times New Roman" w:hAnsi="Times New Roman" w:eastAsia="宋体" w:cs="Times New Roman"/>
                <w:szCs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2</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ascii="Times New Roman" w:hAnsi="Times New Roman" w:eastAsia="宋体" w:cs="Times New Roman"/>
                <w:szCs w:val="24"/>
              </w:rPr>
              <w:t>3</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招标文件未规定允许有替代方案时，对同一服务投标时，提供两套以上的投标方案；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hint="eastAsia" w:ascii="Times New Roman" w:hAnsi="Times New Roman" w:eastAsia="宋体" w:cs="Times New Roman"/>
                <w:szCs w:val="24"/>
              </w:rPr>
              <w:t>4</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投标文件载明的招标项目服务期限不满足招标文件要求；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hint="eastAsia" w:ascii="Times New Roman" w:hAnsi="Times New Roman" w:eastAsia="宋体" w:cs="Times New Roman"/>
                <w:szCs w:val="24"/>
              </w:rPr>
              <w:t>5</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所投投标方案、服务内容在质量、技术、方案等方面没有实质性满足招标文件要求的（是否实质性满足招标文件要求，由评标委员会来做出评判）；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hint="eastAsia" w:ascii="Times New Roman" w:hAnsi="Times New Roman" w:eastAsia="宋体" w:cs="Times New Roman"/>
                <w:szCs w:val="24"/>
              </w:rPr>
              <w:t>6</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未按招标文件所提供的样式填写投标函，或未按招标文件对投标文件组成的要求提供投标文件的（投标文件组成不完整）；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hint="eastAsia" w:ascii="Times New Roman" w:hAnsi="Times New Roman" w:eastAsia="宋体" w:cs="Times New Roman"/>
                <w:szCs w:val="24"/>
              </w:rPr>
              <w:t>7</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对招标文件规定的服务清单项目及数量进行修改；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rPr>
                <w:rFonts w:ascii="Times New Roman" w:hAnsi="Times New Roman" w:eastAsia="宋体" w:cs="Times New Roman"/>
                <w:szCs w:val="24"/>
              </w:rPr>
            </w:pPr>
            <w:r>
              <w:rPr>
                <w:rFonts w:hint="eastAsia" w:ascii="Times New Roman" w:hAnsi="Times New Roman" w:eastAsia="宋体" w:cs="Times New Roman"/>
                <w:szCs w:val="24"/>
              </w:rPr>
              <w:t>8</w:t>
            </w:r>
          </w:p>
        </w:tc>
        <w:tc>
          <w:tcPr>
            <w:tcW w:w="6907" w:type="dxa"/>
          </w:tcPr>
          <w:p>
            <w:pPr>
              <w:rPr>
                <w:rFonts w:ascii="Times New Roman" w:hAnsi="Times New Roman" w:eastAsia="宋体" w:cs="Times New Roman"/>
                <w:szCs w:val="24"/>
              </w:rPr>
            </w:pPr>
            <w:r>
              <w:rPr>
                <w:rFonts w:hint="eastAsia" w:ascii="Times New Roman" w:hAnsi="Times New Roman" w:eastAsia="宋体" w:cs="Times New Roman"/>
                <w:szCs w:val="24"/>
              </w:rPr>
              <w:t>法律、法规规定的其他情形。</w:t>
            </w:r>
          </w:p>
        </w:tc>
      </w:tr>
    </w:tbl>
    <w:p>
      <w:pPr>
        <w:rPr>
          <w:rFonts w:ascii="Times New Roman" w:hAnsi="Times New Roman" w:eastAsia="宋体" w:cs="Times New Roman"/>
          <w:szCs w:val="24"/>
        </w:rPr>
      </w:pPr>
      <w:r>
        <w:rPr>
          <w:rFonts w:hint="eastAsia" w:ascii="Times New Roman" w:hAnsi="Times New Roman" w:eastAsia="宋体" w:cs="Times New Roman"/>
          <w:szCs w:val="24"/>
        </w:rPr>
        <w:t>《资格性审查表》和《符合性审查表》初审不通过，按投标无效处理。</w:t>
      </w:r>
    </w:p>
    <w:p>
      <w:pPr>
        <w:keepNext/>
        <w:keepLines/>
        <w:adjustRightInd w:val="0"/>
        <w:spacing w:before="260" w:after="260"/>
        <w:jc w:val="center"/>
        <w:textAlignment w:val="baseline"/>
        <w:outlineLvl w:val="1"/>
        <w:rPr>
          <w:rFonts w:ascii="宋体" w:hAnsi="宋体" w:eastAsia="宋体" w:cs="Times New Roman"/>
          <w:b/>
          <w:bCs/>
          <w:kern w:val="0"/>
          <w:sz w:val="36"/>
          <w:szCs w:val="20"/>
        </w:rPr>
      </w:pPr>
      <w:r>
        <w:rPr>
          <w:rFonts w:ascii="宋体" w:hAnsi="宋体" w:eastAsia="宋体" w:cs="Times New Roman"/>
          <w:b/>
          <w:bCs/>
          <w:kern w:val="0"/>
          <w:sz w:val="36"/>
          <w:szCs w:val="20"/>
        </w:rPr>
        <w:t>评标信息</w:t>
      </w:r>
    </w:p>
    <w:p>
      <w:pPr>
        <w:ind w:firstLine="411" w:firstLineChars="196"/>
        <w:rPr>
          <w:rStyle w:val="48"/>
          <w:rFonts w:ascii="宋体" w:hAnsi="Times New Roman" w:eastAsia="宋体" w:cs="Times New Roman"/>
          <w:kern w:val="0"/>
        </w:rPr>
      </w:pPr>
      <w:r>
        <w:rPr>
          <w:rStyle w:val="48"/>
          <w:rFonts w:hint="eastAsia" w:ascii="宋体" w:hAnsi="Times New Roman" w:eastAsia="宋体" w:cs="Times New Roman"/>
          <w:kern w:val="0"/>
        </w:rPr>
        <w:t>评标方法说明：本项目为资格标，不评比价格因素，投标人无需报价。</w:t>
      </w:r>
    </w:p>
    <w:p>
      <w:pPr>
        <w:ind w:firstLine="411" w:firstLineChars="196"/>
        <w:rPr>
          <w:rStyle w:val="48"/>
          <w:rFonts w:ascii="宋体" w:hAnsi="Times New Roman" w:eastAsia="宋体" w:cs="Times New Roman"/>
          <w:kern w:val="0"/>
        </w:rPr>
      </w:pPr>
      <w:r>
        <w:rPr>
          <w:rStyle w:val="48"/>
          <w:rFonts w:hint="eastAsia" w:ascii="宋体" w:hAnsi="Times New Roman" w:eastAsia="宋体" w:cs="Times New Roman"/>
          <w:kern w:val="0"/>
        </w:rPr>
        <w:t>按照招标文件中规定的评标方法和标准，对资格性、符合性审查合格的投标文件计算得分。并按照投标文件得分进行排序，投标文件得分前三名的投标人进入终审环节。终审将由</w:t>
      </w:r>
      <w:r>
        <w:rPr>
          <w:rStyle w:val="48"/>
          <w:rFonts w:hint="eastAsia" w:ascii="宋体" w:hAnsi="Times New Roman" w:eastAsia="宋体" w:cs="Times New Roman"/>
          <w:kern w:val="0"/>
          <w:lang w:val="en-US" w:eastAsia="zh-CN"/>
        </w:rPr>
        <w:t>评标委员会</w:t>
      </w:r>
      <w:r>
        <w:rPr>
          <w:rStyle w:val="48"/>
          <w:rFonts w:hint="eastAsia" w:ascii="宋体" w:hAnsi="Times New Roman" w:eastAsia="宋体" w:cs="Times New Roman"/>
          <w:kern w:val="0"/>
        </w:rPr>
        <w:t>前往得分前三名投标人在深圳市内或周边实际运营的食堂现场进行考察，根据考察情况最终形成报告上报学校定标领导小组确定最终排名。排名第1 名的投标人即为本次招标项目的中标人（如果第一名放弃经营，则从剩下候选人中按排名依次递补）。</w:t>
      </w:r>
    </w:p>
    <w:p>
      <w:pPr>
        <w:ind w:firstLine="411" w:firstLineChars="196"/>
        <w:rPr>
          <w:rStyle w:val="48"/>
          <w:rFonts w:ascii="宋体" w:hAnsi="Times New Roman" w:eastAsia="宋体" w:cs="Times New Roman"/>
          <w:kern w:val="0"/>
        </w:rPr>
      </w:pPr>
      <w:r>
        <w:rPr>
          <w:rStyle w:val="48"/>
          <w:rFonts w:hint="eastAsia" w:ascii="宋体" w:hAnsi="Times New Roman" w:eastAsia="宋体" w:cs="Times New Roman"/>
          <w:kern w:val="0"/>
        </w:rPr>
        <w:t>注：如果投标人在深圳市内暂无实际运营的食堂，则根据就近原则提供距离深圳市最近的。但考虑到疫情防控需求，以及现场考察的距离、交通及便利性因素，投标人如提供较远地区食堂案例，则需根据学校要求另行安排考察方式。</w:t>
      </w:r>
    </w:p>
    <w:p>
      <w:pPr>
        <w:pStyle w:val="2"/>
        <w:ind w:firstLine="211"/>
        <w:jc w:val="center"/>
        <w:rPr>
          <w:color w:val="FF0000"/>
        </w:rPr>
      </w:pPr>
    </w:p>
    <w:tbl>
      <w:tblPr>
        <w:tblStyle w:val="4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655"/>
        <w:gridCol w:w="2358"/>
        <w:gridCol w:w="765"/>
        <w:gridCol w:w="1124"/>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序号</w:t>
            </w:r>
          </w:p>
        </w:tc>
        <w:tc>
          <w:tcPr>
            <w:tcW w:w="4902"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评分项</w:t>
            </w:r>
          </w:p>
        </w:tc>
        <w:tc>
          <w:tcPr>
            <w:tcW w:w="330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w:t>
            </w:r>
          </w:p>
        </w:tc>
        <w:tc>
          <w:tcPr>
            <w:tcW w:w="4902"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技术部分</w:t>
            </w:r>
          </w:p>
        </w:tc>
        <w:tc>
          <w:tcPr>
            <w:tcW w:w="330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837" w:type="dxa"/>
            <w:vMerge w:val="restart"/>
            <w:tcBorders>
              <w:top w:val="single" w:color="auto" w:sz="4" w:space="0"/>
              <w:left w:val="single" w:color="auto" w:sz="4" w:space="0"/>
              <w:right w:val="single" w:color="auto" w:sz="4" w:space="0"/>
            </w:tcBorders>
          </w:tcPr>
          <w:p>
            <w:pPr>
              <w:jc w:val="center"/>
              <w:rPr>
                <w:rFonts w:ascii="宋体" w:hAnsi="宋体"/>
                <w:szCs w:val="21"/>
              </w:rPr>
            </w:pPr>
          </w:p>
        </w:tc>
        <w:tc>
          <w:tcPr>
            <w:tcW w:w="65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序号</w:t>
            </w:r>
          </w:p>
        </w:tc>
        <w:tc>
          <w:tcPr>
            <w:tcW w:w="235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评分因素</w:t>
            </w:r>
          </w:p>
        </w:tc>
        <w:tc>
          <w:tcPr>
            <w:tcW w:w="76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权重</w:t>
            </w:r>
          </w:p>
        </w:tc>
        <w:tc>
          <w:tcPr>
            <w:tcW w:w="112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评分方式</w:t>
            </w:r>
          </w:p>
        </w:tc>
        <w:tc>
          <w:tcPr>
            <w:tcW w:w="330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0" w:type="auto"/>
            <w:vMerge w:val="continue"/>
            <w:tcBorders>
              <w:left w:val="single" w:color="auto" w:sz="4" w:space="0"/>
              <w:right w:val="single" w:color="auto" w:sz="4" w:space="0"/>
            </w:tcBorders>
            <w:vAlign w:val="center"/>
          </w:tcPr>
          <w:p>
            <w:pPr>
              <w:widowControl/>
              <w:jc w:val="left"/>
              <w:rPr>
                <w:rFonts w:ascii="宋体" w:hAnsi="宋体"/>
                <w:szCs w:val="21"/>
              </w:rPr>
            </w:pPr>
          </w:p>
        </w:tc>
        <w:tc>
          <w:tcPr>
            <w:tcW w:w="65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1</w:t>
            </w:r>
          </w:p>
        </w:tc>
        <w:tc>
          <w:tcPr>
            <w:tcW w:w="235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实施方案（工作措施、工作方法、工作手段、工作流程）</w:t>
            </w:r>
          </w:p>
        </w:tc>
        <w:tc>
          <w:tcPr>
            <w:tcW w:w="76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16</w:t>
            </w:r>
          </w:p>
        </w:tc>
        <w:tc>
          <w:tcPr>
            <w:tcW w:w="112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1"/>
              </w:rPr>
            </w:pPr>
            <w:r>
              <w:rPr>
                <w:rFonts w:hint="eastAsia" w:ascii="Times New Roman" w:hAnsi="Times New Roman" w:eastAsia="宋体" w:cs="Times New Roman"/>
                <w:szCs w:val="21"/>
              </w:rPr>
              <w:t>针对高校师生目标人群的特点和需求，制订</w:t>
            </w:r>
            <w:r>
              <w:rPr>
                <w:rFonts w:hint="eastAsia" w:ascii="Times New Roman" w:hAnsi="Times New Roman" w:eastAsia="宋体" w:cs="Times New Roman"/>
                <w:b/>
                <w:szCs w:val="21"/>
              </w:rPr>
              <w:t>考察方案</w:t>
            </w:r>
            <w:r>
              <w:rPr>
                <w:rFonts w:hint="eastAsia" w:ascii="Times New Roman" w:hAnsi="Times New Roman" w:eastAsia="宋体" w:cs="Times New Roman"/>
                <w:szCs w:val="21"/>
              </w:rPr>
              <w:t>：</w:t>
            </w:r>
            <w:r>
              <w:rPr>
                <w:rFonts w:hint="eastAsia" w:ascii="Times New Roman" w:hAnsi="Times New Roman" w:eastAsia="宋体" w:cs="Times New Roman"/>
                <w:szCs w:val="21"/>
              </w:rPr>
              <w:br w:type="textWrapping"/>
            </w:r>
            <w:r>
              <w:rPr>
                <w:rFonts w:hint="eastAsia" w:ascii="Times New Roman" w:hAnsi="Times New Roman" w:eastAsia="宋体" w:cs="Times New Roman"/>
                <w:szCs w:val="21"/>
              </w:rPr>
              <w:t>1.人员配置及管理方案：人员配备合理、符合本项目需求各岗位设置及分工明确。员工的仪容仪表、业务规范实行制度化管理。方案具备合理及可操作管理绩效的考核、培训等内容；</w:t>
            </w:r>
            <w:r>
              <w:rPr>
                <w:rFonts w:hint="eastAsia" w:ascii="Times New Roman" w:hAnsi="Times New Roman" w:eastAsia="宋体" w:cs="Times New Roman"/>
                <w:szCs w:val="21"/>
              </w:rPr>
              <w:br w:type="textWrapping"/>
            </w:r>
            <w:r>
              <w:rPr>
                <w:rFonts w:hint="eastAsia" w:ascii="Times New Roman" w:hAnsi="Times New Roman" w:eastAsia="宋体" w:cs="Times New Roman"/>
                <w:szCs w:val="21"/>
              </w:rPr>
              <w:t>2.原材料采购方案：原材料货源为长期稳定的合作商；采购流程科学，具有溯源系统；</w:t>
            </w:r>
            <w:r>
              <w:rPr>
                <w:rFonts w:hint="eastAsia" w:ascii="Times New Roman" w:hAnsi="Times New Roman" w:eastAsia="宋体" w:cs="Times New Roman"/>
                <w:szCs w:val="21"/>
              </w:rPr>
              <w:br w:type="textWrapping"/>
            </w:r>
            <w:r>
              <w:rPr>
                <w:rFonts w:hint="eastAsia" w:ascii="Times New Roman" w:hAnsi="Times New Roman" w:eastAsia="宋体" w:cs="Times New Roman"/>
                <w:szCs w:val="21"/>
              </w:rPr>
              <w:t>3.食品安全管理方案：方案符合国家相关安全要求，能结合高校项目现场操作流程及菜品种类制定，且据有针对性；</w:t>
            </w:r>
            <w:r>
              <w:rPr>
                <w:rFonts w:hint="eastAsia" w:ascii="Times New Roman" w:hAnsi="Times New Roman" w:eastAsia="宋体" w:cs="Times New Roman"/>
                <w:szCs w:val="21"/>
              </w:rPr>
              <w:br w:type="textWrapping"/>
            </w:r>
            <w:r>
              <w:rPr>
                <w:rFonts w:hint="eastAsia" w:ascii="Times New Roman" w:hAnsi="Times New Roman" w:eastAsia="宋体" w:cs="Times New Roman"/>
                <w:szCs w:val="21"/>
              </w:rPr>
              <w:t>4.服务品质管控方案：方案需具有实用性、可操作性，应包含各区域设备的维修维护、出品质量考核、师生满意度考核等内容；</w:t>
            </w:r>
            <w:r>
              <w:rPr>
                <w:rFonts w:hint="eastAsia" w:ascii="Times New Roman" w:hAnsi="Times New Roman" w:eastAsia="宋体" w:cs="Times New Roman"/>
                <w:szCs w:val="21"/>
              </w:rPr>
              <w:br w:type="textWrapping"/>
            </w:r>
            <w:r>
              <w:rPr>
                <w:rFonts w:hint="eastAsia" w:ascii="Times New Roman" w:hAnsi="Times New Roman" w:eastAsia="宋体" w:cs="Times New Roman"/>
                <w:szCs w:val="21"/>
              </w:rPr>
              <w:t>5.投诉处理方案：方案需有明确的责任制度和处罚机制，需体现及时性、有效性；</w:t>
            </w:r>
            <w:r>
              <w:rPr>
                <w:rFonts w:hint="eastAsia" w:ascii="Times New Roman" w:hAnsi="Times New Roman" w:eastAsia="宋体" w:cs="Times New Roman"/>
                <w:szCs w:val="21"/>
              </w:rPr>
              <w:br w:type="textWrapping"/>
            </w:r>
            <w:r>
              <w:rPr>
                <w:rFonts w:hint="eastAsia" w:ascii="Times New Roman" w:hAnsi="Times New Roman" w:eastAsia="宋体" w:cs="Times New Roman"/>
                <w:szCs w:val="21"/>
              </w:rPr>
              <w:t>6.装修升级方案：考察是否能提供满足学校需求的窗口及就餐区域的装修设计图纸</w:t>
            </w:r>
            <w:r>
              <w:rPr>
                <w:rFonts w:hint="eastAsia" w:ascii="Times New Roman" w:hAnsi="Times New Roman" w:eastAsia="宋体" w:cs="Times New Roman"/>
                <w:szCs w:val="21"/>
                <w:highlight w:val="yellow"/>
              </w:rPr>
              <w:t>。(装修设计方案中应包括：A3彩色效果图、材料说明、设计图、尺寸说明、灯光与配置；效果图上所有标识尺寸应与场地实际尺寸相符，项目按效果图验收)</w:t>
            </w:r>
            <w:r>
              <w:rPr>
                <w:rFonts w:hint="eastAsia" w:ascii="Times New Roman" w:hAnsi="Times New Roman" w:eastAsia="宋体" w:cs="Times New Roman"/>
                <w:color w:val="FF0000"/>
                <w:szCs w:val="21"/>
              </w:rPr>
              <w:t>（本项目</w:t>
            </w:r>
            <w:r>
              <w:rPr>
                <w:rFonts w:ascii="Times New Roman" w:hAnsi="Times New Roman" w:eastAsia="宋体" w:cs="Times New Roman"/>
                <w:color w:val="FF0000"/>
                <w:szCs w:val="21"/>
              </w:rPr>
              <w:t>提供“</w:t>
            </w:r>
            <w:r>
              <w:rPr>
                <w:rFonts w:hint="eastAsia" w:ascii="Times New Roman" w:hAnsi="Times New Roman" w:eastAsia="宋体" w:cs="Times New Roman"/>
                <w:color w:val="FF0000"/>
                <w:szCs w:val="21"/>
              </w:rPr>
              <w:t>附件</w:t>
            </w:r>
            <w:r>
              <w:rPr>
                <w:rFonts w:hint="eastAsia" w:ascii="Times New Roman" w:hAnsi="Times New Roman" w:eastAsia="宋体" w:cs="Times New Roman"/>
                <w:color w:val="FF0000"/>
                <w:szCs w:val="21"/>
                <w:lang w:val="en-US" w:eastAsia="zh-CN"/>
              </w:rPr>
              <w:t xml:space="preserve">1 </w:t>
            </w:r>
            <w:r>
              <w:rPr>
                <w:rFonts w:hint="eastAsia" w:ascii="Times New Roman" w:hAnsi="Times New Roman" w:eastAsia="宋体" w:cs="Times New Roman"/>
                <w:color w:val="FF0000"/>
                <w:szCs w:val="21"/>
              </w:rPr>
              <w:t>独栋餐厅平面图</w:t>
            </w:r>
            <w:r>
              <w:rPr>
                <w:rFonts w:ascii="Times New Roman" w:hAnsi="Times New Roman" w:eastAsia="宋体" w:cs="Times New Roman"/>
                <w:color w:val="FF0000"/>
                <w:szCs w:val="21"/>
              </w:rPr>
              <w:t>”</w:t>
            </w:r>
            <w:r>
              <w:rPr>
                <w:rFonts w:hint="eastAsia" w:ascii="Times New Roman" w:hAnsi="Times New Roman" w:eastAsia="宋体" w:cs="Times New Roman"/>
                <w:color w:val="FF0000"/>
                <w:szCs w:val="21"/>
              </w:rPr>
              <w:t>）</w:t>
            </w:r>
          </w:p>
          <w:p>
            <w:pPr>
              <w:numPr>
                <w:ilvl w:val="0"/>
                <w:numId w:val="7"/>
              </w:numPr>
              <w:rPr>
                <w:rFonts w:ascii="Times New Roman" w:hAnsi="Times New Roman" w:eastAsia="宋体" w:cs="Times New Roman"/>
                <w:szCs w:val="21"/>
              </w:rPr>
            </w:pPr>
            <w:r>
              <w:rPr>
                <w:rFonts w:hint="eastAsia" w:ascii="Times New Roman" w:hAnsi="Times New Roman" w:eastAsia="宋体" w:cs="Times New Roman"/>
                <w:szCs w:val="21"/>
              </w:rPr>
              <w:t>净菜配送入校方案：保证卫生、安全、科学原则，符合国家标准。</w:t>
            </w:r>
          </w:p>
          <w:p>
            <w:pPr>
              <w:pStyle w:val="2"/>
              <w:ind w:firstLine="0" w:firstLineChars="0"/>
            </w:pPr>
          </w:p>
          <w:p>
            <w:pPr>
              <w:rPr>
                <w:rFonts w:ascii="Times New Roman" w:hAnsi="Times New Roman" w:eastAsia="宋体" w:cs="Times New Roman"/>
                <w:szCs w:val="21"/>
              </w:rPr>
            </w:pPr>
            <w:r>
              <w:rPr>
                <w:rFonts w:hint="eastAsia" w:ascii="Times New Roman" w:hAnsi="Times New Roman" w:eastAsia="宋体" w:cs="Times New Roman"/>
                <w:szCs w:val="21"/>
              </w:rPr>
              <w:t xml:space="preserve">评价为优：实施方案很全面，细致、可操作性非常强，得满16分； </w:t>
            </w:r>
          </w:p>
          <w:p>
            <w:pPr>
              <w:rPr>
                <w:rFonts w:ascii="Times New Roman" w:hAnsi="Times New Roman" w:eastAsia="宋体" w:cs="Times New Roman"/>
                <w:szCs w:val="21"/>
              </w:rPr>
            </w:pPr>
            <w:r>
              <w:rPr>
                <w:rFonts w:hint="eastAsia" w:ascii="Times New Roman" w:hAnsi="Times New Roman" w:eastAsia="宋体" w:cs="Times New Roman"/>
                <w:szCs w:val="21"/>
              </w:rPr>
              <w:t xml:space="preserve">评价为良：实施方案全面、较为细致、具有一定可操作性，得10分； </w:t>
            </w:r>
          </w:p>
          <w:p>
            <w:pPr>
              <w:rPr>
                <w:rFonts w:ascii="Times New Roman" w:hAnsi="Times New Roman" w:eastAsia="宋体" w:cs="Times New Roman"/>
                <w:szCs w:val="21"/>
              </w:rPr>
            </w:pPr>
            <w:r>
              <w:rPr>
                <w:rFonts w:hint="eastAsia" w:ascii="Times New Roman" w:hAnsi="Times New Roman" w:eastAsia="宋体" w:cs="Times New Roman"/>
                <w:szCs w:val="21"/>
              </w:rPr>
              <w:t xml:space="preserve">评价为中：实施方案较为笼统，不全面，可操作性一般，得6分； </w:t>
            </w:r>
          </w:p>
          <w:p>
            <w:pPr>
              <w:rPr>
                <w:rFonts w:ascii="Times New Roman" w:hAnsi="Times New Roman" w:eastAsia="宋体" w:cs="Times New Roman"/>
                <w:szCs w:val="21"/>
              </w:rPr>
            </w:pPr>
            <w:r>
              <w:rPr>
                <w:rFonts w:hint="eastAsia" w:ascii="Times New Roman" w:hAnsi="Times New Roman" w:eastAsia="宋体" w:cs="Times New Roman"/>
                <w:szCs w:val="21"/>
              </w:rPr>
              <w:t>评价为差：未提供实施方案，或不具有可操作性，不得分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0" w:type="auto"/>
            <w:vMerge w:val="continue"/>
            <w:tcBorders>
              <w:left w:val="single" w:color="auto" w:sz="4" w:space="0"/>
              <w:right w:val="single" w:color="auto" w:sz="4" w:space="0"/>
            </w:tcBorders>
            <w:vAlign w:val="center"/>
          </w:tcPr>
          <w:p>
            <w:pPr>
              <w:widowControl/>
              <w:jc w:val="left"/>
              <w:rPr>
                <w:rFonts w:ascii="宋体" w:hAnsi="宋体"/>
                <w:szCs w:val="21"/>
              </w:rPr>
            </w:pPr>
          </w:p>
        </w:tc>
        <w:tc>
          <w:tcPr>
            <w:tcW w:w="65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2</w:t>
            </w:r>
          </w:p>
        </w:tc>
        <w:tc>
          <w:tcPr>
            <w:tcW w:w="2358" w:type="dxa"/>
            <w:tcBorders>
              <w:top w:val="single" w:color="auto" w:sz="4" w:space="0"/>
              <w:left w:val="single" w:color="auto" w:sz="4" w:space="0"/>
              <w:bottom w:val="single" w:color="auto" w:sz="4" w:space="0"/>
              <w:right w:val="single" w:color="auto" w:sz="4" w:space="0"/>
            </w:tcBorders>
          </w:tcPr>
          <w:p>
            <w:pPr>
              <w:ind w:left="525" w:hanging="525" w:hangingChars="250"/>
              <w:rPr>
                <w:rFonts w:ascii="宋体" w:hAnsi="宋体"/>
                <w:szCs w:val="21"/>
              </w:rPr>
            </w:pPr>
            <w:r>
              <w:rPr>
                <w:rFonts w:hint="eastAsia" w:ascii="宋体" w:hAnsi="宋体"/>
                <w:szCs w:val="21"/>
              </w:rPr>
              <w:t>项目重点难点分析、应对措施及相关的合理化建议</w:t>
            </w:r>
          </w:p>
        </w:tc>
        <w:tc>
          <w:tcPr>
            <w:tcW w:w="76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12</w:t>
            </w:r>
          </w:p>
        </w:tc>
        <w:tc>
          <w:tcPr>
            <w:tcW w:w="112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1"/>
              </w:rPr>
            </w:pPr>
            <w:r>
              <w:rPr>
                <w:rFonts w:hint="eastAsia" w:ascii="Times New Roman" w:hAnsi="Times New Roman" w:eastAsia="宋体" w:cs="Times New Roman"/>
                <w:szCs w:val="21"/>
              </w:rPr>
              <w:t>评审内容：</w:t>
            </w:r>
          </w:p>
          <w:p>
            <w:pPr>
              <w:rPr>
                <w:rFonts w:ascii="Times New Roman" w:hAnsi="Times New Roman" w:eastAsia="宋体" w:cs="Times New Roman"/>
                <w:szCs w:val="21"/>
              </w:rPr>
            </w:pPr>
            <w:r>
              <w:rPr>
                <w:rFonts w:hint="eastAsia" w:ascii="Times New Roman" w:hAnsi="Times New Roman" w:eastAsia="宋体" w:cs="Times New Roman"/>
                <w:szCs w:val="21"/>
              </w:rPr>
              <w:t>1.考察菜品总体方案，总体方案包含种类、口味搭配及份量价格。考察能否提供品种丰富的菜品，菜式口味及其价格份量是否符合高校特点和需求，要求有至少要有自选餐、地方区域代表性美食、国际常见餐食、素食等。需提供详细的菜品明细（包括菜品名称、主要用料、单价、重量等）。</w:t>
            </w:r>
          </w:p>
          <w:p>
            <w:pPr>
              <w:rPr>
                <w:rFonts w:ascii="Times New Roman" w:hAnsi="Times New Roman" w:eastAsia="宋体" w:cs="Times New Roman"/>
                <w:szCs w:val="21"/>
              </w:rPr>
            </w:pPr>
            <w:r>
              <w:rPr>
                <w:rFonts w:hint="eastAsia" w:ascii="Times New Roman" w:hAnsi="Times New Roman" w:eastAsia="宋体" w:cs="Times New Roman"/>
                <w:szCs w:val="21"/>
              </w:rPr>
              <w:t>2.考察菜品定期更换方案，更换方案要求能满足5000人餐厅用餐口味选择。</w:t>
            </w:r>
          </w:p>
          <w:p>
            <w:pPr>
              <w:rPr>
                <w:rFonts w:ascii="Times New Roman" w:hAnsi="Times New Roman" w:eastAsia="宋体" w:cs="Times New Roman"/>
                <w:szCs w:val="21"/>
              </w:rPr>
            </w:pPr>
            <w:r>
              <w:rPr>
                <w:rFonts w:hint="eastAsia" w:ascii="Times New Roman" w:hAnsi="Times New Roman" w:eastAsia="宋体" w:cs="Times New Roman"/>
                <w:szCs w:val="21"/>
              </w:rPr>
              <w:t>3.考察师生对菜品提出建议或投诉的反馈和改善机制。要求对师生的当场建议或投诉，当场回复并解决；网上或书信的建议或投诉，24小时内回复并解决。</w:t>
            </w:r>
          </w:p>
          <w:p>
            <w:pPr>
              <w:rPr>
                <w:rFonts w:ascii="Times New Roman" w:hAnsi="Times New Roman" w:eastAsia="宋体" w:cs="Times New Roman"/>
                <w:szCs w:val="21"/>
              </w:rPr>
            </w:pPr>
            <w:r>
              <w:rPr>
                <w:rFonts w:hint="eastAsia" w:ascii="Times New Roman" w:hAnsi="Times New Roman" w:eastAsia="宋体" w:cs="Times New Roman"/>
                <w:szCs w:val="21"/>
              </w:rPr>
              <w:t>评分原则：</w:t>
            </w:r>
          </w:p>
          <w:p>
            <w:pPr>
              <w:rPr>
                <w:rFonts w:ascii="Times New Roman" w:hAnsi="Times New Roman" w:eastAsia="宋体" w:cs="Times New Roman"/>
                <w:szCs w:val="21"/>
              </w:rPr>
            </w:pPr>
            <w:r>
              <w:rPr>
                <w:rFonts w:hint="eastAsia" w:ascii="Times New Roman" w:hAnsi="Times New Roman" w:eastAsia="宋体" w:cs="Times New Roman"/>
                <w:szCs w:val="21"/>
              </w:rPr>
              <w:t>根据招标文件的需求和投标文件响应情况，分档评分：</w:t>
            </w:r>
          </w:p>
          <w:p>
            <w:pPr>
              <w:rPr>
                <w:rFonts w:ascii="Times New Roman" w:hAnsi="Times New Roman" w:eastAsia="宋体" w:cs="Times New Roman"/>
                <w:szCs w:val="21"/>
              </w:rPr>
            </w:pPr>
            <w:r>
              <w:rPr>
                <w:rFonts w:hint="eastAsia" w:ascii="Times New Roman" w:hAnsi="Times New Roman" w:eastAsia="宋体" w:cs="Times New Roman"/>
                <w:szCs w:val="21"/>
              </w:rPr>
              <w:t>评价为优：菜品总体方案完全符合高校特点和需求，菜品定期更换方案合理全面，建议或投诉的反馈和改善机制合理完善，得12分；</w:t>
            </w:r>
          </w:p>
          <w:p>
            <w:pPr>
              <w:rPr>
                <w:rFonts w:ascii="Times New Roman" w:hAnsi="Times New Roman" w:eastAsia="宋体" w:cs="Times New Roman"/>
                <w:szCs w:val="21"/>
              </w:rPr>
            </w:pPr>
            <w:r>
              <w:rPr>
                <w:rFonts w:hint="eastAsia" w:ascii="Times New Roman" w:hAnsi="Times New Roman" w:eastAsia="宋体" w:cs="Times New Roman"/>
                <w:szCs w:val="21"/>
              </w:rPr>
              <w:t>评价为良：菜品总体方案基本符合高校特点和需求，菜品定期更换方案基本合理，建议或投诉的反馈和改善机制基本合理，得9分；</w:t>
            </w:r>
          </w:p>
          <w:p>
            <w:pPr>
              <w:rPr>
                <w:rFonts w:ascii="Times New Roman" w:hAnsi="Times New Roman" w:eastAsia="宋体" w:cs="Times New Roman"/>
                <w:szCs w:val="21"/>
              </w:rPr>
            </w:pPr>
            <w:r>
              <w:rPr>
                <w:rFonts w:hint="eastAsia" w:ascii="Times New Roman" w:hAnsi="Times New Roman" w:eastAsia="宋体" w:cs="Times New Roman"/>
                <w:szCs w:val="21"/>
              </w:rPr>
              <w:t xml:space="preserve">评价为中：菜品总体方案，菜品定期更换方案，建议或投诉的反馈和改善机制其中有一项一般，得6分； </w:t>
            </w:r>
          </w:p>
          <w:p>
            <w:pPr>
              <w:rPr>
                <w:rFonts w:ascii="Times New Roman" w:hAnsi="Times New Roman" w:eastAsia="宋体" w:cs="Times New Roman"/>
                <w:szCs w:val="21"/>
              </w:rPr>
            </w:pPr>
            <w:r>
              <w:rPr>
                <w:rFonts w:hint="eastAsia" w:ascii="Times New Roman" w:hAnsi="Times New Roman" w:eastAsia="宋体" w:cs="Times New Roman"/>
                <w:szCs w:val="21"/>
              </w:rPr>
              <w:t>评价为差：缺少菜品总体方案，菜品定期更换方案，建议或投诉的反馈和改善机制中其中的一项，不得分。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0" w:type="auto"/>
            <w:vMerge w:val="continue"/>
            <w:tcBorders>
              <w:left w:val="single" w:color="auto" w:sz="4" w:space="0"/>
              <w:right w:val="single" w:color="auto" w:sz="4" w:space="0"/>
            </w:tcBorders>
            <w:vAlign w:val="center"/>
          </w:tcPr>
          <w:p>
            <w:pPr>
              <w:widowControl/>
              <w:jc w:val="left"/>
              <w:rPr>
                <w:rFonts w:ascii="宋体" w:hAnsi="宋体"/>
                <w:szCs w:val="21"/>
              </w:rPr>
            </w:pPr>
          </w:p>
        </w:tc>
        <w:tc>
          <w:tcPr>
            <w:tcW w:w="65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3</w:t>
            </w:r>
          </w:p>
        </w:tc>
        <w:tc>
          <w:tcPr>
            <w:tcW w:w="235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质量（完成时间、安全、环保）保障措施及方案</w:t>
            </w:r>
          </w:p>
        </w:tc>
        <w:tc>
          <w:tcPr>
            <w:tcW w:w="76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6</w:t>
            </w:r>
          </w:p>
        </w:tc>
        <w:tc>
          <w:tcPr>
            <w:tcW w:w="112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1"/>
              </w:rPr>
            </w:pPr>
            <w:r>
              <w:rPr>
                <w:rFonts w:hint="eastAsia" w:ascii="Times New Roman" w:hAnsi="Times New Roman" w:eastAsia="宋体" w:cs="Times New Roman"/>
                <w:szCs w:val="21"/>
              </w:rPr>
              <w:t>评审内容：</w:t>
            </w:r>
          </w:p>
          <w:p>
            <w:pPr>
              <w:rPr>
                <w:rFonts w:ascii="Times New Roman" w:hAnsi="Times New Roman" w:eastAsia="宋体" w:cs="Times New Roman"/>
                <w:szCs w:val="21"/>
              </w:rPr>
            </w:pPr>
            <w:r>
              <w:rPr>
                <w:rFonts w:hint="eastAsia" w:ascii="Times New Roman" w:hAnsi="Times New Roman" w:eastAsia="宋体" w:cs="Times New Roman"/>
                <w:szCs w:val="21"/>
              </w:rPr>
              <w:t>考察内容：餐厅及员工卫生培训内容、消防安全管理方案、节能环保方案、食品卫生方案、食品留样、餐具分类及洗消毒方案、餐余垃圾回收处理方案、餐厅应急保障预案（食物中毒应急预案、停水电煤气供餐应急预案、大型活动及公共事件饮食应急保障预案、投诉处理流程等）。</w:t>
            </w:r>
          </w:p>
          <w:p>
            <w:pPr>
              <w:rPr>
                <w:rFonts w:ascii="Times New Roman" w:hAnsi="Times New Roman" w:eastAsia="宋体" w:cs="Times New Roman"/>
                <w:szCs w:val="21"/>
              </w:rPr>
            </w:pPr>
            <w:r>
              <w:rPr>
                <w:rFonts w:hint="eastAsia" w:ascii="Times New Roman" w:hAnsi="Times New Roman" w:eastAsia="宋体" w:cs="Times New Roman"/>
                <w:szCs w:val="21"/>
              </w:rPr>
              <w:t>评分原则：</w:t>
            </w:r>
          </w:p>
          <w:p>
            <w:pPr>
              <w:rPr>
                <w:rFonts w:ascii="Times New Roman" w:hAnsi="Times New Roman" w:eastAsia="宋体" w:cs="Times New Roman"/>
                <w:szCs w:val="21"/>
              </w:rPr>
            </w:pPr>
            <w:r>
              <w:rPr>
                <w:rFonts w:hint="eastAsia" w:ascii="Times New Roman" w:hAnsi="Times New Roman" w:eastAsia="宋体" w:cs="Times New Roman"/>
                <w:szCs w:val="21"/>
              </w:rPr>
              <w:t>根据招标文件的需求和投标文件响应情况，分档评分：</w:t>
            </w:r>
          </w:p>
          <w:p>
            <w:pPr>
              <w:rPr>
                <w:rFonts w:ascii="Times New Roman" w:hAnsi="Times New Roman" w:eastAsia="宋体" w:cs="Times New Roman"/>
                <w:szCs w:val="21"/>
              </w:rPr>
            </w:pPr>
            <w:r>
              <w:rPr>
                <w:rFonts w:hint="eastAsia" w:ascii="Times New Roman" w:hAnsi="Times New Roman" w:eastAsia="宋体" w:cs="Times New Roman"/>
                <w:szCs w:val="21"/>
              </w:rPr>
              <w:t xml:space="preserve">评价为优：食品卫生方案措施及方案合理全面、消防安全保障措施及方案合理完善、环保保障措施及方案合理全面，应急保障响应预案合理及时，得6分； </w:t>
            </w:r>
          </w:p>
          <w:p>
            <w:pPr>
              <w:rPr>
                <w:rFonts w:ascii="Times New Roman" w:hAnsi="Times New Roman" w:eastAsia="宋体" w:cs="Times New Roman"/>
                <w:szCs w:val="21"/>
              </w:rPr>
            </w:pPr>
            <w:r>
              <w:rPr>
                <w:rFonts w:hint="eastAsia" w:ascii="Times New Roman" w:hAnsi="Times New Roman" w:eastAsia="宋体" w:cs="Times New Roman"/>
                <w:szCs w:val="21"/>
              </w:rPr>
              <w:t xml:space="preserve">评价为良：食品卫生方案措施及方案基本合理全面、消防安全保障措施及方案基本合理、环保保障措施及方案基本合理，应急保障响应预案基本及格，得4分； </w:t>
            </w:r>
          </w:p>
          <w:p>
            <w:pPr>
              <w:rPr>
                <w:rFonts w:ascii="Times New Roman" w:hAnsi="Times New Roman" w:eastAsia="宋体" w:cs="Times New Roman"/>
                <w:szCs w:val="21"/>
              </w:rPr>
            </w:pPr>
            <w:r>
              <w:rPr>
                <w:rFonts w:hint="eastAsia" w:ascii="Times New Roman" w:hAnsi="Times New Roman" w:eastAsia="宋体" w:cs="Times New Roman"/>
                <w:szCs w:val="21"/>
              </w:rPr>
              <w:t xml:space="preserve">评价为中：食品卫生方案措施及方案、消防安全保障措施及方案、环保保障措施及方案，应急保障响应预案中有一项一般，得2分； </w:t>
            </w:r>
          </w:p>
          <w:p>
            <w:pPr>
              <w:pStyle w:val="2"/>
              <w:ind w:firstLine="211"/>
            </w:pPr>
            <w:r>
              <w:rPr>
                <w:b w:val="0"/>
                <w:bCs w:val="0"/>
                <w:szCs w:val="21"/>
              </w:rPr>
              <w:t>评价为差：</w:t>
            </w:r>
            <w:r>
              <w:rPr>
                <w:rFonts w:hint="eastAsia"/>
                <w:b w:val="0"/>
                <w:bCs w:val="0"/>
                <w:szCs w:val="21"/>
              </w:rPr>
              <w:t>缺少食品卫生方案</w:t>
            </w:r>
            <w:r>
              <w:rPr>
                <w:b w:val="0"/>
                <w:bCs w:val="0"/>
                <w:szCs w:val="21"/>
              </w:rPr>
              <w:t>措施及方案、</w:t>
            </w:r>
            <w:r>
              <w:rPr>
                <w:rFonts w:hint="eastAsia" w:ascii="宋体" w:hAnsi="宋体" w:cs="Calibri"/>
                <w:b w:val="0"/>
                <w:bCs w:val="0"/>
                <w:szCs w:val="21"/>
                <w:u w:color="000000"/>
              </w:rPr>
              <w:t>消防安全</w:t>
            </w:r>
            <w:r>
              <w:rPr>
                <w:b w:val="0"/>
                <w:bCs w:val="0"/>
                <w:szCs w:val="21"/>
              </w:rPr>
              <w:t>保障措施及方案、环保保障措施及方案，</w:t>
            </w:r>
            <w:r>
              <w:rPr>
                <w:rFonts w:hint="eastAsia" w:ascii="宋体" w:hAnsi="宋体" w:cs="Calibri"/>
                <w:b w:val="0"/>
                <w:bCs w:val="0"/>
                <w:szCs w:val="21"/>
                <w:u w:color="000000"/>
              </w:rPr>
              <w:t>应急保障预</w:t>
            </w:r>
            <w:r>
              <w:rPr>
                <w:b w:val="0"/>
                <w:bCs w:val="0"/>
                <w:szCs w:val="21"/>
              </w:rPr>
              <w:t>响应</w:t>
            </w:r>
            <w:r>
              <w:rPr>
                <w:rFonts w:hint="eastAsia" w:ascii="宋体" w:hAnsi="宋体" w:cs="Calibri"/>
                <w:b w:val="0"/>
                <w:bCs w:val="0"/>
                <w:szCs w:val="21"/>
                <w:u w:color="000000"/>
              </w:rPr>
              <w:t>案</w:t>
            </w:r>
            <w:r>
              <w:rPr>
                <w:b w:val="0"/>
                <w:bCs w:val="0"/>
                <w:szCs w:val="21"/>
              </w:rPr>
              <w:t>中</w:t>
            </w:r>
            <w:r>
              <w:rPr>
                <w:rFonts w:hint="eastAsia"/>
                <w:b w:val="0"/>
                <w:bCs w:val="0"/>
                <w:szCs w:val="21"/>
              </w:rPr>
              <w:t>任何</w:t>
            </w:r>
            <w:r>
              <w:rPr>
                <w:b w:val="0"/>
                <w:bCs w:val="0"/>
                <w:szCs w:val="21"/>
              </w:rPr>
              <w:t>一项，不得分。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0" w:type="auto"/>
            <w:vMerge w:val="continue"/>
            <w:tcBorders>
              <w:left w:val="single" w:color="auto" w:sz="4" w:space="0"/>
              <w:right w:val="single" w:color="auto" w:sz="4" w:space="0"/>
            </w:tcBorders>
            <w:vAlign w:val="center"/>
          </w:tcPr>
          <w:p>
            <w:pPr>
              <w:widowControl/>
              <w:jc w:val="left"/>
              <w:rPr>
                <w:rFonts w:ascii="宋体" w:hAnsi="宋体"/>
                <w:szCs w:val="21"/>
              </w:rPr>
            </w:pPr>
          </w:p>
        </w:tc>
        <w:tc>
          <w:tcPr>
            <w:tcW w:w="65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4</w:t>
            </w:r>
          </w:p>
        </w:tc>
        <w:tc>
          <w:tcPr>
            <w:tcW w:w="235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违约承诺</w:t>
            </w:r>
          </w:p>
        </w:tc>
        <w:tc>
          <w:tcPr>
            <w:tcW w:w="76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6</w:t>
            </w:r>
          </w:p>
        </w:tc>
        <w:tc>
          <w:tcPr>
            <w:tcW w:w="112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1"/>
              </w:rPr>
            </w:pPr>
            <w:r>
              <w:rPr>
                <w:rFonts w:hint="eastAsia" w:ascii="Times New Roman" w:hAnsi="Times New Roman" w:eastAsia="宋体" w:cs="Times New Roman"/>
                <w:szCs w:val="21"/>
              </w:rPr>
              <w:t>评审内容：</w:t>
            </w:r>
          </w:p>
          <w:p>
            <w:pPr>
              <w:rPr>
                <w:rFonts w:ascii="Times New Roman" w:hAnsi="Times New Roman" w:eastAsia="宋体" w:cs="Times New Roman"/>
                <w:szCs w:val="21"/>
              </w:rPr>
            </w:pPr>
            <w:r>
              <w:rPr>
                <w:rFonts w:hint="eastAsia" w:ascii="Times New Roman" w:hAnsi="Times New Roman" w:eastAsia="宋体" w:cs="Times New Roman"/>
                <w:szCs w:val="21"/>
              </w:rPr>
              <w:t>1.投资进行必要的室内环境装修美化，承诺投入100 万资金的得 1分，在此基础上每承诺增加投入25 万资金加 0.5 分，最高2分。须提供食堂装修升级投入承诺书，无承诺的该项不得分。</w:t>
            </w:r>
          </w:p>
          <w:p>
            <w:pPr>
              <w:rPr>
                <w:rFonts w:ascii="Times New Roman" w:hAnsi="Times New Roman" w:eastAsia="宋体" w:cs="Times New Roman"/>
                <w:szCs w:val="21"/>
              </w:rPr>
            </w:pPr>
            <w:r>
              <w:rPr>
                <w:rFonts w:hint="eastAsia" w:ascii="Times New Roman" w:hAnsi="Times New Roman" w:eastAsia="宋体" w:cs="Times New Roman"/>
                <w:szCs w:val="21"/>
              </w:rPr>
              <w:t>2.按照投标人必须响应条款要求，投标人分别最低承诺投保额为1000万元人民币的食品安全责任险，在此基础上，每承诺各增加500万元投保额的，增加 0.5 分，最高2分。无承诺的，该项不得分。</w:t>
            </w:r>
          </w:p>
          <w:p>
            <w:pPr>
              <w:rPr>
                <w:rFonts w:ascii="Times New Roman" w:hAnsi="Times New Roman" w:eastAsia="宋体" w:cs="Times New Roman"/>
                <w:szCs w:val="21"/>
              </w:rPr>
            </w:pPr>
            <w:r>
              <w:rPr>
                <w:rFonts w:hint="eastAsia" w:ascii="Times New Roman" w:hAnsi="Times New Roman" w:eastAsia="宋体" w:cs="Times New Roman"/>
                <w:szCs w:val="21"/>
              </w:rPr>
              <w:t>3.投标人提供以下3项承诺书：餐饮场所责任险承诺书、经营风险责任承担承诺书、服务质量和安全卫生保障承诺书，全部提供得1分，缺任何一项都不得分。</w:t>
            </w:r>
          </w:p>
          <w:p>
            <w:pPr>
              <w:rPr>
                <w:rFonts w:ascii="Times New Roman" w:hAnsi="Times New Roman" w:eastAsia="宋体" w:cs="Times New Roman"/>
                <w:szCs w:val="21"/>
              </w:rPr>
            </w:pPr>
            <w:r>
              <w:rPr>
                <w:rFonts w:hint="eastAsia" w:ascii="Times New Roman" w:hAnsi="Times New Roman" w:eastAsia="宋体" w:cs="Times New Roman"/>
                <w:szCs w:val="21"/>
              </w:rPr>
              <w:t>4.承诺至少一名副总裁级别以上企业高管长期对接学校，积极协调处理相关经营问题，保证至少每学期两次的工作例会。提供承诺说明得1分。</w:t>
            </w:r>
          </w:p>
          <w:p>
            <w:pPr>
              <w:pStyle w:val="2"/>
              <w:ind w:firstLine="211"/>
            </w:pPr>
            <w:r>
              <w:rPr>
                <w:rFonts w:hint="eastAsia"/>
                <w:szCs w:val="21"/>
              </w:rPr>
              <w:t>以上所有承诺材料，必须加盖投标人公章与法人签章。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w:t>
            </w:r>
          </w:p>
        </w:tc>
        <w:tc>
          <w:tcPr>
            <w:tcW w:w="4902"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综合实力部分</w:t>
            </w:r>
          </w:p>
        </w:tc>
        <w:tc>
          <w:tcPr>
            <w:tcW w:w="330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37" w:type="dxa"/>
            <w:vMerge w:val="restart"/>
            <w:tcBorders>
              <w:top w:val="single" w:color="auto" w:sz="4" w:space="0"/>
              <w:left w:val="single" w:color="auto" w:sz="4" w:space="0"/>
              <w:right w:val="single" w:color="auto" w:sz="4" w:space="0"/>
            </w:tcBorders>
          </w:tcPr>
          <w:p>
            <w:pPr>
              <w:jc w:val="center"/>
              <w:rPr>
                <w:rFonts w:ascii="宋体" w:hAnsi="宋体"/>
                <w:szCs w:val="21"/>
              </w:rPr>
            </w:pPr>
          </w:p>
        </w:tc>
        <w:tc>
          <w:tcPr>
            <w:tcW w:w="65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序号</w:t>
            </w:r>
          </w:p>
        </w:tc>
        <w:tc>
          <w:tcPr>
            <w:tcW w:w="235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评分因素</w:t>
            </w:r>
          </w:p>
        </w:tc>
        <w:tc>
          <w:tcPr>
            <w:tcW w:w="76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权重</w:t>
            </w:r>
          </w:p>
        </w:tc>
        <w:tc>
          <w:tcPr>
            <w:tcW w:w="112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评分方式</w:t>
            </w:r>
          </w:p>
        </w:tc>
        <w:tc>
          <w:tcPr>
            <w:tcW w:w="330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continue"/>
            <w:tcBorders>
              <w:left w:val="single" w:color="auto" w:sz="4" w:space="0"/>
              <w:right w:val="single" w:color="auto" w:sz="4" w:space="0"/>
            </w:tcBorders>
            <w:vAlign w:val="center"/>
          </w:tcPr>
          <w:p>
            <w:pPr>
              <w:widowControl/>
              <w:jc w:val="left"/>
              <w:rPr>
                <w:rFonts w:ascii="宋体" w:hAnsi="宋体"/>
                <w:szCs w:val="21"/>
              </w:rPr>
            </w:pPr>
          </w:p>
        </w:tc>
        <w:tc>
          <w:tcPr>
            <w:tcW w:w="65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Theme="minorEastAsia"/>
                <w:szCs w:val="21"/>
                <w:lang w:eastAsia="zh-CN"/>
              </w:rPr>
            </w:pPr>
            <w:r>
              <w:rPr>
                <w:rFonts w:hint="eastAsia" w:ascii="宋体" w:hAnsi="宋体"/>
                <w:szCs w:val="21"/>
                <w:lang w:val="en-US" w:eastAsia="zh-CN"/>
              </w:rPr>
              <w:t>5</w:t>
            </w:r>
          </w:p>
        </w:tc>
        <w:tc>
          <w:tcPr>
            <w:tcW w:w="235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投标人资格情况及通过相关认证情况</w:t>
            </w:r>
          </w:p>
        </w:tc>
        <w:tc>
          <w:tcPr>
            <w:tcW w:w="76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20</w:t>
            </w:r>
          </w:p>
        </w:tc>
        <w:tc>
          <w:tcPr>
            <w:tcW w:w="112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300" w:type="dxa"/>
            <w:tcBorders>
              <w:top w:val="single" w:color="auto" w:sz="4" w:space="0"/>
              <w:left w:val="single" w:color="auto" w:sz="4" w:space="0"/>
              <w:bottom w:val="single" w:color="auto" w:sz="4" w:space="0"/>
              <w:right w:val="single" w:color="auto" w:sz="4" w:space="0"/>
            </w:tcBorders>
          </w:tcPr>
          <w:p>
            <w:pPr>
              <w:jc w:val="left"/>
            </w:pPr>
            <w:r>
              <w:rPr>
                <w:rFonts w:hint="eastAsia"/>
              </w:rPr>
              <w:t>（一）评分内容：</w:t>
            </w:r>
          </w:p>
          <w:p>
            <w:pPr>
              <w:jc w:val="left"/>
            </w:pPr>
            <w:r>
              <w:rPr>
                <w:rFonts w:hint="eastAsia"/>
              </w:rPr>
              <w:t>1.</w:t>
            </w:r>
          </w:p>
          <w:p>
            <w:pPr>
              <w:jc w:val="left"/>
            </w:pPr>
            <w:r>
              <w:rPr>
                <w:rFonts w:hint="eastAsia"/>
              </w:rPr>
              <w:t>（1）ISO9001质量管理体系认证证书</w:t>
            </w:r>
          </w:p>
          <w:p>
            <w:pPr>
              <w:jc w:val="left"/>
            </w:pPr>
            <w:r>
              <w:rPr>
                <w:rFonts w:hint="eastAsia"/>
              </w:rPr>
              <w:t>（2）ISO22000食品安全管理体系认证证书</w:t>
            </w:r>
          </w:p>
          <w:p>
            <w:pPr>
              <w:jc w:val="left"/>
            </w:pPr>
            <w:r>
              <w:rPr>
                <w:rFonts w:hint="eastAsia"/>
              </w:rPr>
              <w:t>（3）ISO14001环境管理体系认证证书</w:t>
            </w:r>
          </w:p>
          <w:p>
            <w:pPr>
              <w:jc w:val="left"/>
            </w:pPr>
            <w:r>
              <w:rPr>
                <w:rFonts w:hint="eastAsia"/>
              </w:rPr>
              <w:t>（4）ISO45001职业健康安全管理体系认证证书，</w:t>
            </w:r>
          </w:p>
          <w:p>
            <w:pPr>
              <w:jc w:val="left"/>
            </w:pPr>
            <w:r>
              <w:rPr>
                <w:rFonts w:hint="eastAsia"/>
              </w:rPr>
              <w:t>以上认证证书提供一项得1分，最高分4分；</w:t>
            </w:r>
          </w:p>
          <w:p>
            <w:r>
              <w:t>2</w:t>
            </w:r>
            <w:r>
              <w:rPr>
                <w:rFonts w:hint="eastAsia"/>
              </w:rPr>
              <w:t>.根据投标人完成或在管的高等院校、企事业单位食堂案例，情况进行评审：</w:t>
            </w:r>
          </w:p>
          <w:p>
            <w:r>
              <w:rPr>
                <w:rFonts w:hint="eastAsia"/>
              </w:rPr>
              <w:t>（1）高等院校食堂或企事业单位的食堂个数，每增加1个得1分，满分得6分。</w:t>
            </w:r>
          </w:p>
          <w:p>
            <w:r>
              <w:rPr>
                <w:rFonts w:hint="eastAsia"/>
              </w:rPr>
              <w:t>（2）上述食堂在珠三角地区，每有1个得0.5分数，最高得4分；没有不得分；</w:t>
            </w:r>
          </w:p>
          <w:p>
            <w:r>
              <w:rPr>
                <w:rFonts w:hint="eastAsia"/>
              </w:rPr>
              <w:t>（3）上述食堂，存在累计经营年限在 3年及以上的项目得3分,</w:t>
            </w:r>
            <w:r>
              <w:rPr>
                <w:rFonts w:hint="eastAsia"/>
                <w:lang w:val="en-US" w:eastAsia="zh-CN"/>
              </w:rPr>
              <w:t>满2年</w:t>
            </w:r>
            <w:r>
              <w:rPr>
                <w:rFonts w:hint="eastAsia"/>
              </w:rPr>
              <w:t>得2分，</w:t>
            </w:r>
            <w:r>
              <w:rPr>
                <w:rFonts w:hint="eastAsia"/>
                <w:lang w:val="en-US" w:eastAsia="zh-CN"/>
              </w:rPr>
              <w:t>不满</w:t>
            </w:r>
            <w:r>
              <w:rPr>
                <w:rFonts w:hint="eastAsia"/>
              </w:rPr>
              <w:t xml:space="preserve"> 2 年的不得分，</w:t>
            </w:r>
            <w:r>
              <w:rPr>
                <w:rFonts w:hint="eastAsia"/>
                <w:lang w:val="en-US" w:eastAsia="zh-CN"/>
              </w:rPr>
              <w:t>本项</w:t>
            </w:r>
            <w:r>
              <w:rPr>
                <w:rFonts w:hint="eastAsia"/>
              </w:rPr>
              <w:t>最高分为3分。</w:t>
            </w:r>
          </w:p>
          <w:p>
            <w:pPr>
              <w:pStyle w:val="2"/>
              <w:ind w:firstLine="0" w:firstLineChars="0"/>
              <w:rPr>
                <w:b w:val="0"/>
                <w:bCs w:val="0"/>
              </w:rPr>
            </w:pPr>
            <w:r>
              <w:rPr>
                <w:rFonts w:hint="eastAsia"/>
                <w:b w:val="0"/>
                <w:bCs w:val="0"/>
                <w:lang w:val="en-US" w:eastAsia="zh-CN"/>
              </w:rPr>
              <w:t>证明材料</w:t>
            </w:r>
            <w:r>
              <w:rPr>
                <w:rFonts w:hint="eastAsia"/>
                <w:b w:val="0"/>
                <w:bCs w:val="0"/>
              </w:rPr>
              <w:t>：须提供原高校或企事业单位经营证明，证明需加盖原高校或企事业单位公章与投标人公章。</w:t>
            </w:r>
          </w:p>
          <w:p>
            <w:r>
              <w:rPr>
                <w:rFonts w:hint="eastAsia"/>
                <w:lang w:val="en-US" w:eastAsia="zh-CN"/>
              </w:rPr>
              <w:t>还</w:t>
            </w:r>
            <w:r>
              <w:rPr>
                <w:rFonts w:hint="eastAsia"/>
              </w:rPr>
              <w:t>要求提供合同关键页、被承包单位出具的履约评价表（合同甲方、履约评价表出具单位须一致），履约评价须“优（含）”以上。未提供合同和履约评价或履约评价未达到标准不得分。</w:t>
            </w:r>
          </w:p>
          <w:p>
            <w:pPr>
              <w:pStyle w:val="2"/>
              <w:ind w:left="0" w:leftChars="0" w:firstLine="0" w:firstLineChars="0"/>
            </w:pPr>
            <w:r>
              <w:rPr>
                <w:rFonts w:hint="eastAsia"/>
                <w:b w:val="0"/>
                <w:bCs w:val="0"/>
                <w:lang w:val="en-US" w:eastAsia="zh-CN"/>
              </w:rPr>
              <w:t>3</w:t>
            </w:r>
            <w:r>
              <w:rPr>
                <w:rFonts w:hint="eastAsia"/>
                <w:b w:val="0"/>
                <w:bCs w:val="0"/>
              </w:rPr>
              <w:t>.根据投标人近三年（2018年01月起）至今所经营的食堂获得食品安全量化等级A级个数，每有1个得0.5分，一个项目多次获得只计一次，最高3分。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continue"/>
            <w:tcBorders>
              <w:left w:val="single" w:color="auto" w:sz="4" w:space="0"/>
              <w:right w:val="single" w:color="auto" w:sz="4" w:space="0"/>
            </w:tcBorders>
            <w:vAlign w:val="center"/>
          </w:tcPr>
          <w:p>
            <w:pPr>
              <w:widowControl/>
              <w:jc w:val="left"/>
              <w:rPr>
                <w:rFonts w:ascii="宋体" w:hAnsi="宋体"/>
                <w:szCs w:val="21"/>
              </w:rPr>
            </w:pPr>
          </w:p>
        </w:tc>
        <w:tc>
          <w:tcPr>
            <w:tcW w:w="65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Theme="minorEastAsia"/>
                <w:szCs w:val="21"/>
                <w:lang w:eastAsia="zh-CN"/>
              </w:rPr>
            </w:pPr>
            <w:r>
              <w:rPr>
                <w:rFonts w:hint="eastAsia" w:ascii="宋体" w:hAnsi="宋体"/>
                <w:szCs w:val="21"/>
                <w:lang w:val="en-US" w:eastAsia="zh-CN"/>
              </w:rPr>
              <w:t>6</w:t>
            </w:r>
          </w:p>
        </w:tc>
        <w:tc>
          <w:tcPr>
            <w:tcW w:w="235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拟安排的项目负责人情况</w:t>
            </w:r>
            <w:r>
              <w:rPr>
                <w:rFonts w:hint="eastAsia" w:ascii="宋体" w:hAnsi="Times New Roman"/>
              </w:rPr>
              <w:t>（仅限一人）</w:t>
            </w:r>
          </w:p>
        </w:tc>
        <w:tc>
          <w:tcPr>
            <w:tcW w:w="76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6</w:t>
            </w:r>
          </w:p>
        </w:tc>
        <w:tc>
          <w:tcPr>
            <w:tcW w:w="112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300"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Cs w:val="21"/>
              </w:rPr>
            </w:pPr>
            <w:r>
              <w:rPr>
                <w:rFonts w:hint="eastAsia" w:ascii="Times New Roman" w:hAnsi="Times New Roman" w:eastAsia="宋体" w:cs="Times New Roman"/>
                <w:szCs w:val="21"/>
              </w:rPr>
              <w:t>（一）评分内容：</w:t>
            </w:r>
          </w:p>
          <w:p>
            <w:pPr>
              <w:jc w:val="left"/>
              <w:rPr>
                <w:rFonts w:ascii="Times New Roman" w:hAnsi="Times New Roman" w:eastAsia="宋体" w:cs="Times New Roman"/>
                <w:szCs w:val="21"/>
              </w:rPr>
            </w:pPr>
            <w:r>
              <w:rPr>
                <w:rFonts w:hint="eastAsia" w:ascii="Times New Roman" w:hAnsi="Times New Roman" w:eastAsia="宋体" w:cs="Times New Roman"/>
                <w:szCs w:val="21"/>
              </w:rPr>
              <w:t>1.应具有大专及以上学历，中级以上（含中级）专业技能证书（烹调师或者面点师），全部满足得3分，其中一个条件不满足不得分；</w:t>
            </w:r>
          </w:p>
          <w:p>
            <w:pPr>
              <w:jc w:val="left"/>
              <w:rPr>
                <w:rFonts w:ascii="Times New Roman" w:hAnsi="Times New Roman" w:eastAsia="宋体" w:cs="Times New Roman"/>
                <w:szCs w:val="21"/>
              </w:rPr>
            </w:pPr>
            <w:r>
              <w:rPr>
                <w:rFonts w:hint="eastAsia" w:ascii="Times New Roman" w:hAnsi="Times New Roman" w:eastAsia="宋体" w:cs="Times New Roman"/>
                <w:szCs w:val="21"/>
              </w:rPr>
              <w:t>2.根据第三方对项目负责人所管理项目履约情况和经验能力的评价，全部评价为优（含）以上得1分，提供项目甲方出具的证明文件复印件，盖公章。</w:t>
            </w:r>
          </w:p>
          <w:p>
            <w:pPr>
              <w:jc w:val="left"/>
              <w:rPr>
                <w:rFonts w:ascii="Times New Roman" w:hAnsi="Times New Roman" w:eastAsia="宋体" w:cs="Times New Roman"/>
                <w:szCs w:val="21"/>
              </w:rPr>
            </w:pPr>
            <w:r>
              <w:rPr>
                <w:rFonts w:hint="eastAsia" w:ascii="Times New Roman" w:hAnsi="Times New Roman" w:eastAsia="宋体" w:cs="Times New Roman"/>
                <w:szCs w:val="21"/>
              </w:rPr>
              <w:t>3.在上述基础上还具有高级营养师、高级食品安全管理员、高级餐饮服务食品安全师、高级中式烹调师、市级以上分管安全生产责任人证书中任一资质可得0.5分，最多2分，提供证书复印件，盖公章。</w:t>
            </w:r>
          </w:p>
          <w:p>
            <w:pPr>
              <w:jc w:val="left"/>
              <w:rPr>
                <w:rFonts w:ascii="Times New Roman" w:hAnsi="Times New Roman" w:eastAsia="宋体" w:cs="Times New Roman"/>
                <w:szCs w:val="21"/>
              </w:rPr>
            </w:pPr>
            <w:r>
              <w:rPr>
                <w:rFonts w:hint="eastAsia" w:ascii="Times New Roman" w:hAnsi="Times New Roman" w:eastAsia="宋体" w:cs="Times New Roman"/>
                <w:szCs w:val="21"/>
              </w:rPr>
              <w:t>（二）评分依据：</w:t>
            </w:r>
          </w:p>
          <w:p>
            <w:pPr>
              <w:jc w:val="left"/>
              <w:rPr>
                <w:rFonts w:ascii="Times New Roman" w:hAnsi="Times New Roman" w:eastAsia="宋体" w:cs="Times New Roman"/>
                <w:szCs w:val="21"/>
              </w:rPr>
            </w:pPr>
            <w:r>
              <w:rPr>
                <w:rFonts w:hint="eastAsia" w:ascii="Times New Roman" w:hAnsi="Times New Roman" w:eastAsia="宋体" w:cs="Times New Roman"/>
                <w:szCs w:val="21"/>
              </w:rPr>
              <w:t>1.除须提供职称（资格）证书、学历证明和聘用合同等证明文件外，需提供项目经理的简历，包含相关同类项目合同经验列表（包括合同名称、项目时间、合作对象、所从事岗位、证明人及联系方式等信息）。需提供本公司缴交的</w:t>
            </w:r>
            <w:r>
              <w:rPr>
                <w:rFonts w:hint="eastAsia"/>
              </w:rPr>
              <w:t>2</w:t>
            </w:r>
            <w:r>
              <w:t>021</w:t>
            </w:r>
            <w:r>
              <w:rPr>
                <w:rFonts w:hint="eastAsia"/>
              </w:rPr>
              <w:t>年1月-2021年3月</w:t>
            </w:r>
            <w:r>
              <w:rPr>
                <w:rFonts w:hint="eastAsia" w:ascii="Times New Roman" w:hAnsi="Times New Roman" w:eastAsia="宋体" w:cs="Times New Roman"/>
                <w:szCs w:val="21"/>
              </w:rPr>
              <w:t>的项目负责人的社保证明材料。</w:t>
            </w:r>
          </w:p>
          <w:p>
            <w:pPr>
              <w:jc w:val="left"/>
              <w:rPr>
                <w:rFonts w:ascii="Times New Roman" w:hAnsi="Times New Roman" w:eastAsia="宋体" w:cs="Times New Roman"/>
                <w:szCs w:val="21"/>
              </w:rPr>
            </w:pPr>
            <w:r>
              <w:rPr>
                <w:rFonts w:hint="eastAsia" w:ascii="Times New Roman" w:hAnsi="Times New Roman" w:eastAsia="宋体" w:cs="Times New Roman"/>
                <w:szCs w:val="21"/>
              </w:rPr>
              <w:t>2.以上资料均要求提供复印件（或官方网站截图），原件备查。评分中出现无证明资料或专家无法凭所提供资料判断是否得分的情况，一律作不得分处理。</w:t>
            </w:r>
          </w:p>
          <w:p>
            <w:pPr>
              <w:jc w:val="left"/>
              <w:rPr>
                <w:rFonts w:ascii="Times New Roman" w:hAnsi="Times New Roman" w:eastAsia="宋体" w:cs="Times New Roman"/>
                <w:szCs w:val="21"/>
              </w:rPr>
            </w:pPr>
            <w:r>
              <w:rPr>
                <w:rFonts w:hint="eastAsia" w:ascii="Times New Roman" w:hAnsi="Times New Roman" w:eastAsia="宋体" w:cs="Times New Roman"/>
                <w:szCs w:val="21"/>
              </w:rPr>
              <w:t>3.社保证明资料应当至少包含医疗保险，证明资料可为社保收缴部门盖章证明资料、社保窗口打印资料或社保官网截图。</w:t>
            </w:r>
          </w:p>
          <w:p>
            <w:pPr>
              <w:jc w:val="lef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continue"/>
            <w:tcBorders>
              <w:left w:val="single" w:color="auto" w:sz="4" w:space="0"/>
              <w:right w:val="single" w:color="auto" w:sz="4" w:space="0"/>
            </w:tcBorders>
            <w:vAlign w:val="center"/>
          </w:tcPr>
          <w:p>
            <w:pPr>
              <w:widowControl/>
              <w:jc w:val="left"/>
              <w:rPr>
                <w:rFonts w:ascii="宋体" w:hAnsi="宋体"/>
                <w:szCs w:val="21"/>
              </w:rPr>
            </w:pPr>
          </w:p>
        </w:tc>
        <w:tc>
          <w:tcPr>
            <w:tcW w:w="65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Theme="minorEastAsia"/>
                <w:szCs w:val="21"/>
                <w:lang w:eastAsia="zh-CN"/>
              </w:rPr>
            </w:pPr>
            <w:r>
              <w:rPr>
                <w:rFonts w:hint="eastAsia" w:ascii="宋体" w:hAnsi="宋体"/>
                <w:szCs w:val="21"/>
                <w:lang w:val="en-US" w:eastAsia="zh-CN"/>
              </w:rPr>
              <w:t>7</w:t>
            </w:r>
          </w:p>
        </w:tc>
        <w:tc>
          <w:tcPr>
            <w:tcW w:w="235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拟安排的项目团队成员（项目负责人除外）情况</w:t>
            </w:r>
          </w:p>
        </w:tc>
        <w:tc>
          <w:tcPr>
            <w:tcW w:w="76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12</w:t>
            </w:r>
          </w:p>
        </w:tc>
        <w:tc>
          <w:tcPr>
            <w:tcW w:w="112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300"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Cs w:val="21"/>
              </w:rPr>
            </w:pPr>
            <w:r>
              <w:rPr>
                <w:rFonts w:hint="eastAsia" w:ascii="Times New Roman" w:hAnsi="Times New Roman" w:eastAsia="宋体" w:cs="Times New Roman"/>
                <w:szCs w:val="21"/>
              </w:rPr>
              <w:t>（一）评分内容：</w:t>
            </w:r>
          </w:p>
          <w:p>
            <w:pPr>
              <w:jc w:val="left"/>
              <w:rPr>
                <w:rFonts w:ascii="Times New Roman" w:hAnsi="Times New Roman" w:eastAsia="宋体" w:cs="Times New Roman"/>
                <w:szCs w:val="21"/>
              </w:rPr>
            </w:pPr>
            <w:r>
              <w:rPr>
                <w:rFonts w:hint="eastAsia" w:ascii="Times New Roman" w:hAnsi="Times New Roman" w:eastAsia="宋体" w:cs="Times New Roman"/>
                <w:szCs w:val="21"/>
              </w:rPr>
              <w:t>为按省教育厅规定达标食堂的标准，食堂员工总数应与所承包食堂的经营规模相适，员工总人数与就餐总人数按1:50-70进行配备。提供承诺函，独栋2、3层餐厅设计为5</w:t>
            </w:r>
            <w:r>
              <w:rPr>
                <w:rFonts w:ascii="Times New Roman" w:hAnsi="Times New Roman" w:eastAsia="宋体" w:cs="Times New Roman"/>
                <w:szCs w:val="21"/>
              </w:rPr>
              <w:t>000</w:t>
            </w:r>
            <w:r>
              <w:rPr>
                <w:rFonts w:hint="eastAsia" w:ascii="Times New Roman" w:hAnsi="Times New Roman" w:eastAsia="宋体" w:cs="Times New Roman"/>
                <w:szCs w:val="21"/>
              </w:rPr>
              <w:t>人就餐餐厅，以每餐供餐人数为5</w:t>
            </w:r>
            <w:r>
              <w:rPr>
                <w:rFonts w:ascii="Times New Roman" w:hAnsi="Times New Roman" w:eastAsia="宋体" w:cs="Times New Roman"/>
                <w:szCs w:val="21"/>
              </w:rPr>
              <w:t>000</w:t>
            </w:r>
            <w:r>
              <w:rPr>
                <w:rFonts w:hint="eastAsia" w:ascii="Times New Roman" w:hAnsi="Times New Roman" w:eastAsia="宋体" w:cs="Times New Roman"/>
                <w:szCs w:val="21"/>
              </w:rPr>
              <w:t>人为基数承诺员工总人数。未达到人数要求的，不得分。</w:t>
            </w:r>
          </w:p>
          <w:p>
            <w:pPr>
              <w:jc w:val="left"/>
              <w:rPr>
                <w:rFonts w:ascii="Times New Roman" w:hAnsi="Times New Roman" w:eastAsia="宋体" w:cs="Times New Roman"/>
                <w:szCs w:val="21"/>
              </w:rPr>
            </w:pPr>
            <w:r>
              <w:rPr>
                <w:rFonts w:hint="eastAsia" w:ascii="Times New Roman" w:hAnsi="Times New Roman" w:eastAsia="宋体" w:cs="Times New Roman"/>
                <w:szCs w:val="21"/>
              </w:rPr>
              <w:t>在此基础上：</w:t>
            </w:r>
          </w:p>
          <w:p>
            <w:pPr>
              <w:numPr>
                <w:ilvl w:val="0"/>
                <w:numId w:val="8"/>
              </w:numPr>
              <w:jc w:val="left"/>
              <w:rPr>
                <w:rFonts w:ascii="Times New Roman" w:hAnsi="Times New Roman" w:eastAsia="宋体" w:cs="Times New Roman"/>
                <w:szCs w:val="21"/>
              </w:rPr>
            </w:pPr>
            <w:r>
              <w:rPr>
                <w:rFonts w:hint="eastAsia" w:ascii="Times New Roman" w:hAnsi="Times New Roman" w:eastAsia="宋体" w:cs="Times New Roman"/>
                <w:szCs w:val="21"/>
              </w:rPr>
              <w:t>食堂配备1名高级食品安全管理员、1名高级厨师（或高级烹调师）、2名中级厨师（或中级烹调师）、2名中级面点师，全部满足得4分，其中一个条件不满足不得分。</w:t>
            </w:r>
          </w:p>
          <w:p>
            <w:pPr>
              <w:numPr>
                <w:ilvl w:val="0"/>
                <w:numId w:val="8"/>
              </w:numPr>
              <w:jc w:val="left"/>
              <w:rPr>
                <w:rFonts w:ascii="Times New Roman" w:hAnsi="Times New Roman" w:eastAsia="宋体" w:cs="Times New Roman"/>
                <w:szCs w:val="21"/>
              </w:rPr>
            </w:pPr>
            <w:r>
              <w:rPr>
                <w:rFonts w:hint="eastAsia" w:ascii="Times New Roman" w:hAnsi="Times New Roman" w:eastAsia="宋体" w:cs="Times New Roman"/>
                <w:szCs w:val="21"/>
              </w:rPr>
              <w:t>每个食堂配备具备相应资质的西式烹调师（需有中级西式烹调师及以上等级）、营养师（需有三级营养师及以上）或健康管理师（需要有三级健康管理师及以上等级）、质检员（需有质检员资格证）、财务人员（需有助理会计师及以上职称）每满足一个条件分别得1分，全部满足得4分。</w:t>
            </w:r>
          </w:p>
          <w:p>
            <w:pPr>
              <w:pStyle w:val="214"/>
              <w:numPr>
                <w:ilvl w:val="0"/>
                <w:numId w:val="8"/>
              </w:numPr>
              <w:ind w:firstLineChars="0"/>
              <w:jc w:val="left"/>
              <w:rPr>
                <w:rFonts w:ascii="Times New Roman" w:hAnsi="Times New Roman" w:eastAsia="宋体" w:cs="Times New Roman"/>
                <w:szCs w:val="21"/>
              </w:rPr>
            </w:pPr>
            <w:r>
              <w:rPr>
                <w:rFonts w:hint="eastAsia" w:ascii="Times New Roman" w:hAnsi="Times New Roman" w:eastAsia="宋体" w:cs="Times New Roman"/>
                <w:szCs w:val="21"/>
              </w:rPr>
              <w:t>在满足上述基础需求条件下，每增加一名以下级别人员，得</w:t>
            </w:r>
            <w:r>
              <w:rPr>
                <w:rFonts w:ascii="Times New Roman" w:hAnsi="Times New Roman" w:eastAsia="宋体" w:cs="Times New Roman"/>
                <w:szCs w:val="21"/>
              </w:rPr>
              <w:t>1</w:t>
            </w:r>
            <w:r>
              <w:rPr>
                <w:rFonts w:hint="eastAsia" w:ascii="Times New Roman" w:hAnsi="Times New Roman" w:eastAsia="宋体" w:cs="Times New Roman"/>
                <w:szCs w:val="21"/>
              </w:rPr>
              <w:t>分，最高</w:t>
            </w:r>
            <w:r>
              <w:rPr>
                <w:rFonts w:ascii="Times New Roman" w:hAnsi="Times New Roman" w:eastAsia="宋体" w:cs="Times New Roman"/>
                <w:szCs w:val="21"/>
              </w:rPr>
              <w:t>4</w:t>
            </w:r>
            <w:r>
              <w:rPr>
                <w:rFonts w:hint="eastAsia" w:ascii="Times New Roman" w:hAnsi="Times New Roman" w:eastAsia="宋体" w:cs="Times New Roman"/>
                <w:szCs w:val="21"/>
              </w:rPr>
              <w:t>分。</w:t>
            </w:r>
          </w:p>
          <w:p>
            <w:pPr>
              <w:pStyle w:val="214"/>
              <w:tabs>
                <w:tab w:val="left" w:pos="312"/>
              </w:tabs>
              <w:ind w:left="420" w:firstLine="0" w:firstLineChars="0"/>
              <w:rPr>
                <w:rFonts w:ascii="Times New Roman" w:hAnsi="Times New Roman" w:eastAsia="宋体" w:cs="Times New Roman"/>
                <w:szCs w:val="21"/>
              </w:rPr>
            </w:pPr>
            <w:r>
              <w:rPr>
                <w:rFonts w:hint="eastAsia" w:ascii="Times New Roman" w:hAnsi="Times New Roman" w:eastAsia="宋体" w:cs="Times New Roman"/>
                <w:szCs w:val="21"/>
              </w:rPr>
              <w:t>（1）三级及以上健康管理师；（2）三级及以上营养师；</w:t>
            </w:r>
          </w:p>
          <w:p>
            <w:pPr>
              <w:pStyle w:val="214"/>
              <w:tabs>
                <w:tab w:val="left" w:pos="312"/>
              </w:tabs>
              <w:ind w:left="420" w:firstLine="0" w:firstLineChars="0"/>
            </w:pPr>
            <w:r>
              <w:rPr>
                <w:rFonts w:hint="eastAsia" w:ascii="Times New Roman" w:hAnsi="Times New Roman" w:eastAsia="宋体" w:cs="Times New Roman"/>
                <w:szCs w:val="21"/>
              </w:rPr>
              <w:t>（3）中级烹调师。</w:t>
            </w:r>
          </w:p>
          <w:p>
            <w:pPr>
              <w:jc w:val="left"/>
              <w:rPr>
                <w:rFonts w:ascii="Times New Roman" w:hAnsi="Times New Roman" w:eastAsia="宋体" w:cs="Times New Roman"/>
                <w:szCs w:val="21"/>
              </w:rPr>
            </w:pPr>
            <w:r>
              <w:rPr>
                <w:rFonts w:hint="eastAsia" w:ascii="Times New Roman" w:hAnsi="Times New Roman" w:eastAsia="宋体" w:cs="Times New Roman"/>
                <w:szCs w:val="21"/>
              </w:rPr>
              <w:t>（二）评分依据：</w:t>
            </w:r>
          </w:p>
          <w:p>
            <w:pPr>
              <w:jc w:val="left"/>
              <w:rPr>
                <w:rFonts w:ascii="Times New Roman" w:hAnsi="Times New Roman" w:eastAsia="宋体" w:cs="Times New Roman"/>
                <w:szCs w:val="21"/>
              </w:rPr>
            </w:pPr>
            <w:r>
              <w:rPr>
                <w:rFonts w:hint="eastAsia" w:ascii="Times New Roman" w:hAnsi="Times New Roman" w:eastAsia="宋体" w:cs="Times New Roman"/>
                <w:szCs w:val="21"/>
              </w:rPr>
              <w:t>1.要求提供项目团队成员（主要技术人员）</w:t>
            </w:r>
            <w:r>
              <w:rPr>
                <w:rFonts w:hint="eastAsia"/>
              </w:rPr>
              <w:t>2</w:t>
            </w:r>
            <w:r>
              <w:t>021</w:t>
            </w:r>
            <w:r>
              <w:rPr>
                <w:rFonts w:hint="eastAsia"/>
              </w:rPr>
              <w:t>年1月-2021年3月</w:t>
            </w:r>
            <w:r>
              <w:rPr>
                <w:rFonts w:hint="eastAsia" w:ascii="Times New Roman" w:hAnsi="Times New Roman" w:eastAsia="宋体" w:cs="Times New Roman"/>
                <w:szCs w:val="21"/>
              </w:rPr>
              <w:t>的社保证明、资格证书复印件和其他证明材料复印件，并加盖投标人公章作为证明文件，原件备查。未提供的，本项不得分。</w:t>
            </w:r>
          </w:p>
          <w:p>
            <w:pPr>
              <w:jc w:val="left"/>
              <w:rPr>
                <w:rFonts w:ascii="Times New Roman" w:hAnsi="Times New Roman" w:eastAsia="宋体" w:cs="Times New Roman"/>
                <w:szCs w:val="21"/>
              </w:rPr>
            </w:pPr>
            <w:r>
              <w:rPr>
                <w:rFonts w:hint="eastAsia" w:ascii="Times New Roman" w:hAnsi="Times New Roman" w:eastAsia="宋体" w:cs="Times New Roman"/>
                <w:szCs w:val="21"/>
              </w:rPr>
              <w:t>评分中出现无证明资料或专家无法凭所提供资料判断是否得分的情况，一律作不得分处理。</w:t>
            </w:r>
          </w:p>
          <w:p>
            <w:pPr>
              <w:jc w:val="left"/>
              <w:rPr>
                <w:rFonts w:ascii="Times New Roman" w:hAnsi="Times New Roman" w:eastAsia="宋体" w:cs="Times New Roman"/>
                <w:szCs w:val="21"/>
              </w:rPr>
            </w:pPr>
            <w:r>
              <w:rPr>
                <w:rFonts w:hint="eastAsia" w:ascii="Times New Roman" w:hAnsi="Times New Roman" w:eastAsia="宋体" w:cs="Times New Roman"/>
                <w:szCs w:val="21"/>
              </w:rPr>
              <w:t>2.社保证明资料应当至少包含医疗保险，证明资料可为社保收缴部门盖章证明资料、社保窗口打印资料或社保官网截图。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continue"/>
            <w:tcBorders>
              <w:left w:val="single" w:color="auto" w:sz="4" w:space="0"/>
              <w:right w:val="single" w:color="auto" w:sz="4" w:space="0"/>
            </w:tcBorders>
            <w:vAlign w:val="center"/>
          </w:tcPr>
          <w:p>
            <w:pPr>
              <w:widowControl/>
              <w:jc w:val="left"/>
              <w:rPr>
                <w:rFonts w:ascii="宋体" w:hAnsi="宋体"/>
                <w:szCs w:val="21"/>
              </w:rPr>
            </w:pPr>
          </w:p>
        </w:tc>
        <w:tc>
          <w:tcPr>
            <w:tcW w:w="65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Theme="minorEastAsia"/>
                <w:szCs w:val="21"/>
                <w:lang w:eastAsia="zh-CN"/>
              </w:rPr>
            </w:pPr>
            <w:r>
              <w:rPr>
                <w:rFonts w:hint="eastAsia" w:ascii="宋体" w:hAnsi="宋体"/>
                <w:szCs w:val="21"/>
                <w:lang w:val="en-US" w:eastAsia="zh-CN"/>
              </w:rPr>
              <w:t>8</w:t>
            </w:r>
          </w:p>
        </w:tc>
        <w:tc>
          <w:tcPr>
            <w:tcW w:w="235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项目拟使用场地、工具、机器情况</w:t>
            </w:r>
          </w:p>
        </w:tc>
        <w:tc>
          <w:tcPr>
            <w:tcW w:w="76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13</w:t>
            </w:r>
          </w:p>
        </w:tc>
        <w:tc>
          <w:tcPr>
            <w:tcW w:w="112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300"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Cs w:val="21"/>
              </w:rPr>
            </w:pPr>
            <w:r>
              <w:rPr>
                <w:rFonts w:hint="eastAsia" w:ascii="Times New Roman" w:hAnsi="Times New Roman" w:eastAsia="宋体" w:cs="Times New Roman"/>
                <w:szCs w:val="21"/>
              </w:rPr>
              <w:t>（1）深圳市内自有或租赁的</w:t>
            </w:r>
          </w:p>
          <w:p>
            <w:pPr>
              <w:jc w:val="left"/>
              <w:rPr>
                <w:rFonts w:ascii="Times New Roman" w:hAnsi="Times New Roman" w:eastAsia="宋体" w:cs="Times New Roman"/>
                <w:szCs w:val="21"/>
              </w:rPr>
            </w:pPr>
            <w:r>
              <w:rPr>
                <w:rFonts w:hint="eastAsia" w:ascii="Times New Roman" w:hAnsi="Times New Roman" w:eastAsia="宋体" w:cs="Times New Roman"/>
                <w:szCs w:val="21"/>
              </w:rPr>
              <w:t>经营业态为中央厨房的配送中心，或与经营业态为中央厨房的配送中心有长期合作(合作5年以上)，或具有符合营业资质的半成品、净菜类、肉类加工中心，提供租赁合同及相对应的食品经营许可证，如为</w:t>
            </w:r>
            <w:r>
              <w:rPr>
                <w:rFonts w:hint="eastAsia" w:ascii="Times New Roman" w:hAnsi="Times New Roman" w:eastAsia="宋体" w:cs="Times New Roman"/>
                <w:szCs w:val="21"/>
                <w:lang w:val="en-US" w:eastAsia="zh-CN"/>
              </w:rPr>
              <w:t>自有场地</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提供房产证明材料（房产证所有人必须与投标企业名称一致）与</w:t>
            </w:r>
            <w:r>
              <w:rPr>
                <w:rFonts w:hint="eastAsia" w:ascii="Times New Roman" w:hAnsi="Times New Roman" w:eastAsia="宋体" w:cs="Times New Roman"/>
                <w:szCs w:val="21"/>
              </w:rPr>
              <w:t>相对应的食品经营许可证，得5分；</w:t>
            </w:r>
          </w:p>
          <w:p>
            <w:pPr>
              <w:jc w:val="left"/>
              <w:rPr>
                <w:rFonts w:ascii="Times New Roman" w:hAnsi="Times New Roman" w:eastAsia="宋体" w:cs="Times New Roman"/>
                <w:szCs w:val="21"/>
              </w:rPr>
            </w:pPr>
            <w:r>
              <w:rPr>
                <w:rFonts w:hint="eastAsia" w:ascii="Times New Roman" w:hAnsi="Times New Roman" w:eastAsia="宋体" w:cs="Times New Roman"/>
                <w:szCs w:val="21"/>
              </w:rPr>
              <w:t>（2）广东省内自有或租赁的蔬菜基地，提供租赁或承包文件，得3分；</w:t>
            </w:r>
          </w:p>
          <w:p>
            <w:pPr>
              <w:jc w:val="left"/>
              <w:rPr>
                <w:rFonts w:ascii="Times New Roman" w:hAnsi="Times New Roman" w:eastAsia="宋体" w:cs="Times New Roman"/>
                <w:szCs w:val="21"/>
              </w:rPr>
            </w:pPr>
            <w:r>
              <w:rPr>
                <w:rFonts w:hint="eastAsia" w:ascii="Times New Roman" w:hAnsi="Times New Roman" w:eastAsia="宋体" w:cs="Times New Roman"/>
                <w:szCs w:val="21"/>
              </w:rPr>
              <w:t>（3）自有或租赁的农残检测中心，若为自有检测中心，要求配备1-2名食品检验工，提供食品检验员证书及公司为其购买的至少三个月社保证明，若为租赁的检测中心，提供一年以上的合同复印件，复印件盖公章，得3分；</w:t>
            </w:r>
          </w:p>
          <w:p>
            <w:pPr>
              <w:jc w:val="left"/>
              <w:rPr>
                <w:rFonts w:ascii="Times New Roman" w:hAnsi="Times New Roman" w:eastAsia="宋体" w:cs="Times New Roman"/>
                <w:szCs w:val="21"/>
              </w:rPr>
            </w:pPr>
            <w:r>
              <w:rPr>
                <w:rFonts w:hint="eastAsia" w:ascii="Times New Roman" w:hAnsi="Times New Roman" w:eastAsia="宋体" w:cs="Times New Roman"/>
                <w:szCs w:val="21"/>
              </w:rPr>
              <w:t>（4）具有食材配送部门及完善的物流配送体系，具有3辆以上的物流配送车辆，如为公司自有车辆，提供与公司名称一致的行驶证复印件，如为租用车辆，提供一年以上的服务合同复印件，复印件盖公章，得2分。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continue"/>
            <w:tcBorders>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65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Theme="minorEastAsia"/>
                <w:szCs w:val="21"/>
                <w:lang w:eastAsia="zh-CN"/>
              </w:rPr>
            </w:pPr>
            <w:r>
              <w:rPr>
                <w:rFonts w:hint="eastAsia" w:ascii="宋体" w:hAnsi="宋体"/>
                <w:szCs w:val="21"/>
                <w:lang w:val="en-US" w:eastAsia="zh-CN"/>
              </w:rPr>
              <w:t>9</w:t>
            </w:r>
          </w:p>
        </w:tc>
        <w:tc>
          <w:tcPr>
            <w:tcW w:w="235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环保执行情况</w:t>
            </w:r>
          </w:p>
        </w:tc>
        <w:tc>
          <w:tcPr>
            <w:tcW w:w="76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w:t>
            </w:r>
          </w:p>
        </w:tc>
        <w:tc>
          <w:tcPr>
            <w:tcW w:w="112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300"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Cs w:val="21"/>
              </w:rPr>
            </w:pPr>
            <w:r>
              <w:rPr>
                <w:rFonts w:hint="eastAsia" w:ascii="Times New Roman" w:hAnsi="Times New Roman" w:eastAsia="宋体" w:cs="Times New Roman"/>
                <w:szCs w:val="21"/>
              </w:rPr>
              <w:t>要求投标人就是否受过环保主管部门行政处罚作为得分依据；以投标人在投标文件中提供的承诺作为依据；若隐瞒情况虚假应标将被废标并报主管部门处理。采取客观化评分；受过行政处罚不得分。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bookmarkStart w:id="0" w:name="InsertEnd"/>
            <w:bookmarkEnd w:id="0"/>
            <w:r>
              <w:rPr>
                <w:rFonts w:hint="eastAsia" w:ascii="宋体" w:hAnsi="宋体"/>
                <w:szCs w:val="21"/>
              </w:rPr>
              <w:t>4</w:t>
            </w:r>
          </w:p>
        </w:tc>
        <w:tc>
          <w:tcPr>
            <w:tcW w:w="4902"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诚信情况</w:t>
            </w:r>
          </w:p>
        </w:tc>
        <w:tc>
          <w:tcPr>
            <w:tcW w:w="3300"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Cs w:val="21"/>
              </w:rPr>
            </w:pPr>
            <w:r>
              <w:rPr>
                <w:rFonts w:hint="eastAsia" w:ascii="Times New Roman" w:hAnsi="Times New Roman" w:eastAsia="宋体" w:cs="Times New Roman"/>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restart"/>
            <w:tcBorders>
              <w:top w:val="single" w:color="auto" w:sz="4" w:space="0"/>
              <w:left w:val="single" w:color="auto" w:sz="4" w:space="0"/>
              <w:right w:val="single" w:color="auto" w:sz="4" w:space="0"/>
            </w:tcBorders>
          </w:tcPr>
          <w:p>
            <w:pPr>
              <w:jc w:val="center"/>
              <w:rPr>
                <w:rFonts w:ascii="宋体" w:hAnsi="宋体"/>
                <w:szCs w:val="21"/>
              </w:rPr>
            </w:pPr>
          </w:p>
        </w:tc>
        <w:tc>
          <w:tcPr>
            <w:tcW w:w="65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序号</w:t>
            </w:r>
          </w:p>
        </w:tc>
        <w:tc>
          <w:tcPr>
            <w:tcW w:w="235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评分因素</w:t>
            </w:r>
          </w:p>
        </w:tc>
        <w:tc>
          <w:tcPr>
            <w:tcW w:w="76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权重</w:t>
            </w:r>
          </w:p>
        </w:tc>
        <w:tc>
          <w:tcPr>
            <w:tcW w:w="112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评分方式</w:t>
            </w:r>
          </w:p>
        </w:tc>
        <w:tc>
          <w:tcPr>
            <w:tcW w:w="3300"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Cs w:val="21"/>
              </w:rPr>
            </w:pPr>
            <w:r>
              <w:rPr>
                <w:rFonts w:hint="eastAsia" w:ascii="Times New Roman" w:hAnsi="Times New Roman" w:eastAsia="宋体" w:cs="Times New Roman"/>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continue"/>
            <w:tcBorders>
              <w:left w:val="single" w:color="auto" w:sz="4" w:space="0"/>
              <w:right w:val="single" w:color="auto" w:sz="4" w:space="0"/>
            </w:tcBorders>
          </w:tcPr>
          <w:p>
            <w:pPr>
              <w:jc w:val="center"/>
              <w:rPr>
                <w:rFonts w:ascii="宋体" w:hAnsi="宋体"/>
                <w:szCs w:val="21"/>
              </w:rPr>
            </w:pPr>
          </w:p>
        </w:tc>
        <w:tc>
          <w:tcPr>
            <w:tcW w:w="655"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Theme="minorEastAsia"/>
                <w:szCs w:val="21"/>
                <w:lang w:val="en-US" w:eastAsia="zh-CN"/>
              </w:rPr>
            </w:pPr>
            <w:r>
              <w:rPr>
                <w:rFonts w:hint="eastAsia" w:ascii="宋体" w:hAnsi="宋体"/>
                <w:szCs w:val="21"/>
                <w:lang w:val="en-US" w:eastAsia="zh-CN"/>
              </w:rPr>
              <w:t>10</w:t>
            </w:r>
          </w:p>
        </w:tc>
        <w:tc>
          <w:tcPr>
            <w:tcW w:w="2358"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Cs w:val="21"/>
              </w:rPr>
              <w:t>诚信评价</w:t>
            </w:r>
          </w:p>
        </w:tc>
        <w:tc>
          <w:tcPr>
            <w:tcW w:w="765"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 w:val="20"/>
                <w:szCs w:val="20"/>
              </w:rPr>
              <w:t>5</w:t>
            </w:r>
          </w:p>
        </w:tc>
        <w:tc>
          <w:tcPr>
            <w:tcW w:w="1124" w:type="dxa"/>
            <w:tcBorders>
              <w:top w:val="single" w:color="auto" w:sz="4" w:space="0"/>
              <w:left w:val="single" w:color="auto" w:sz="4" w:space="0"/>
              <w:bottom w:val="single" w:color="auto" w:sz="4" w:space="0"/>
              <w:right w:val="single" w:color="auto" w:sz="4" w:space="0"/>
            </w:tcBorders>
          </w:tcPr>
          <w:p>
            <w:pPr>
              <w:jc w:val="center"/>
              <w:rPr>
                <w:rFonts w:ascii="宋体" w:hAnsi="宋体"/>
                <w:sz w:val="20"/>
                <w:szCs w:val="20"/>
              </w:rPr>
            </w:pPr>
            <w:r>
              <w:rPr>
                <w:rFonts w:hint="eastAsia" w:ascii="宋体" w:hAnsi="宋体"/>
                <w:sz w:val="20"/>
                <w:szCs w:val="20"/>
              </w:rPr>
              <w:t>专家打分</w:t>
            </w:r>
          </w:p>
        </w:tc>
        <w:tc>
          <w:tcPr>
            <w:tcW w:w="3300"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Cs w:val="21"/>
              </w:rPr>
            </w:pPr>
            <w:r>
              <w:rPr>
                <w:rFonts w:hint="eastAsia" w:ascii="Times New Roman" w:hAnsi="Times New Roman" w:eastAsia="宋体" w:cs="Times New Roman"/>
                <w:szCs w:val="21"/>
              </w:rPr>
              <w:t>根据《深圳市财政委员会关于加强招投标评审环节诚信管理的通知》（深财购[2013]27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vMerge w:val="continue"/>
            <w:tcBorders>
              <w:left w:val="single" w:color="auto" w:sz="4" w:space="0"/>
              <w:right w:val="single" w:color="auto" w:sz="4" w:space="0"/>
            </w:tcBorders>
          </w:tcPr>
          <w:p>
            <w:pPr>
              <w:jc w:val="center"/>
              <w:rPr>
                <w:rFonts w:ascii="宋体" w:hAnsi="宋体"/>
                <w:szCs w:val="21"/>
              </w:rPr>
            </w:pPr>
          </w:p>
        </w:tc>
        <w:tc>
          <w:tcPr>
            <w:tcW w:w="655"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Theme="minorEastAsia"/>
                <w:szCs w:val="21"/>
                <w:lang w:val="en-US" w:eastAsia="zh-CN"/>
              </w:rPr>
            </w:pPr>
            <w:r>
              <w:rPr>
                <w:rFonts w:hint="eastAsia" w:ascii="宋体" w:hAnsi="宋体"/>
                <w:szCs w:val="21"/>
                <w:lang w:val="en-US" w:eastAsia="zh-CN"/>
              </w:rPr>
              <w:t>11</w:t>
            </w:r>
          </w:p>
        </w:tc>
        <w:tc>
          <w:tcPr>
            <w:tcW w:w="235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履约评价情况</w:t>
            </w:r>
          </w:p>
        </w:tc>
        <w:tc>
          <w:tcPr>
            <w:tcW w:w="76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w:t>
            </w:r>
          </w:p>
        </w:tc>
        <w:tc>
          <w:tcPr>
            <w:tcW w:w="112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专家打分</w:t>
            </w:r>
          </w:p>
        </w:tc>
        <w:tc>
          <w:tcPr>
            <w:tcW w:w="3300"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Cs w:val="21"/>
              </w:rPr>
            </w:pPr>
            <w:r>
              <w:rPr>
                <w:rFonts w:hint="eastAsia" w:ascii="Times New Roman" w:hAnsi="Times New Roman" w:eastAsia="宋体"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pPr>
        <w:rPr>
          <w:rFonts w:ascii="Times New Roman" w:hAnsi="Times New Roman" w:eastAsia="宋体" w:cs="Times New Roman"/>
          <w:szCs w:val="24"/>
        </w:rPr>
      </w:pPr>
    </w:p>
    <w:p>
      <w:pPr>
        <w:keepNext/>
        <w:keepLines/>
        <w:spacing w:before="340" w:after="330" w:line="360" w:lineRule="auto"/>
        <w:jc w:val="center"/>
        <w:outlineLvl w:val="0"/>
        <w:rPr>
          <w:rFonts w:ascii="宋体" w:hAnsi="宋体" w:eastAsia="黑体" w:cs="Times New Roman"/>
          <w:b/>
          <w:bCs/>
          <w:kern w:val="44"/>
          <w:sz w:val="28"/>
          <w:szCs w:val="44"/>
        </w:rPr>
      </w:pPr>
      <w:r>
        <w:rPr>
          <w:rFonts w:hint="eastAsia" w:ascii="宋体" w:hAnsi="宋体" w:eastAsia="黑体" w:cs="Times New Roman"/>
          <w:b/>
          <w:bCs/>
          <w:kern w:val="44"/>
          <w:sz w:val="28"/>
          <w:szCs w:val="44"/>
        </w:rPr>
        <w:t>目   录</w:t>
      </w:r>
    </w:p>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第一册  专用条款</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关键信息</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第一章  招标公告</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第二章  招标项目需求</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第三章  投标文件格式、附件</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第四章  采购合同的签订、履行及验收</w:t>
      </w:r>
    </w:p>
    <w:p>
      <w:pPr>
        <w:rPr>
          <w:rFonts w:ascii="Times New Roman" w:hAnsi="Times New Roman" w:eastAsia="宋体" w:cs="Times New Roman"/>
          <w:b/>
          <w:sz w:val="24"/>
          <w:szCs w:val="24"/>
        </w:rPr>
      </w:pPr>
    </w:p>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第二册  通用条款</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第一章总则</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第二章招标文件</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第三章投标文件的编制</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第四章投标文件的递交</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第五章开标</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第六章评标要求</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第七章评标程序及评标方法</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第八章定标及公示</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第九章公开招标失败的后续处理</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第十章合同的授予与备案</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第十一章质疑处理</w:t>
      </w:r>
    </w:p>
    <w:p>
      <w:pPr>
        <w:ind w:left="630" w:leftChars="300" w:firstLine="630" w:firstLineChars="300"/>
        <w:rPr>
          <w:rFonts w:ascii="宋体" w:hAnsi="宋体" w:eastAsia="宋体" w:cs="Times New Roman"/>
          <w:szCs w:val="21"/>
        </w:rPr>
      </w:pPr>
      <w:r>
        <w:rPr>
          <w:rFonts w:hint="eastAsia" w:ascii="宋体" w:hAnsi="宋体" w:eastAsia="宋体" w:cs="Times New Roman"/>
          <w:szCs w:val="21"/>
        </w:rPr>
        <w:t>第十二章条款解释</w:t>
      </w: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ascii="宋体" w:hAnsi="宋体" w:eastAsia="宋体" w:cs="Times New Roman"/>
          <w:b/>
          <w:bCs/>
          <w:kern w:val="0"/>
          <w:sz w:val="24"/>
          <w:szCs w:val="20"/>
        </w:rPr>
        <w:br w:type="page"/>
      </w:r>
      <w:bookmarkStart w:id="1" w:name="bt投标报价汇总表"/>
      <w:bookmarkEnd w:id="1"/>
      <w:bookmarkStart w:id="2" w:name="bt说明"/>
      <w:bookmarkEnd w:id="2"/>
      <w:bookmarkStart w:id="3" w:name="bt项目管理班子配备情况"/>
      <w:bookmarkEnd w:id="3"/>
      <w:bookmarkStart w:id="4" w:name="bt商务标投标文件格式"/>
      <w:bookmarkEnd w:id="4"/>
      <w:bookmarkStart w:id="5" w:name="bt合同条款及格式"/>
      <w:bookmarkEnd w:id="5"/>
      <w:bookmarkStart w:id="6" w:name="bt投标人须知"/>
      <w:bookmarkEnd w:id="6"/>
      <w:bookmarkStart w:id="7" w:name="bt合同格式"/>
      <w:bookmarkEnd w:id="7"/>
      <w:bookmarkStart w:id="8" w:name="bt开标一览表"/>
      <w:bookmarkEnd w:id="8"/>
      <w:bookmarkStart w:id="9" w:name="bt投标函"/>
      <w:bookmarkEnd w:id="9"/>
      <w:bookmarkStart w:id="10" w:name="bt合同条款"/>
      <w:bookmarkEnd w:id="10"/>
      <w:bookmarkStart w:id="11" w:name="bt投标人情况介绍"/>
      <w:bookmarkEnd w:id="11"/>
      <w:bookmarkStart w:id="12" w:name="合同格式"/>
      <w:bookmarkEnd w:id="12"/>
      <w:bookmarkStart w:id="13" w:name="bt本工程承诺书"/>
      <w:bookmarkEnd w:id="13"/>
      <w:bookmarkStart w:id="14" w:name="bt投标文件签署授权委托书"/>
      <w:bookmarkEnd w:id="14"/>
      <w:bookmarkStart w:id="15" w:name="bt其他资料2"/>
      <w:bookmarkEnd w:id="15"/>
      <w:bookmarkStart w:id="16" w:name="bt其他资料由投标人自定"/>
      <w:bookmarkEnd w:id="16"/>
      <w:bookmarkStart w:id="17" w:name="bt技术标投标文件格式"/>
      <w:bookmarkEnd w:id="17"/>
      <w:r>
        <w:rPr>
          <w:rFonts w:hint="eastAsia" w:ascii="宋体" w:hAnsi="宋体" w:eastAsia="宋体" w:cs="Times New Roman"/>
          <w:b/>
          <w:bCs/>
          <w:kern w:val="0"/>
          <w:sz w:val="24"/>
          <w:szCs w:val="20"/>
        </w:rPr>
        <w:t>第一册  专用条款</w:t>
      </w:r>
    </w:p>
    <w:p>
      <w:pPr>
        <w:keepNext/>
        <w:keepLines/>
        <w:adjustRightInd w:val="0"/>
        <w:spacing w:before="260" w:after="260"/>
        <w:jc w:val="center"/>
        <w:textAlignment w:val="baseline"/>
        <w:outlineLvl w:val="1"/>
        <w:rPr>
          <w:rFonts w:ascii="宋体" w:hAnsi="宋体" w:eastAsia="宋体" w:cs="Times New Roman"/>
          <w:b/>
          <w:bCs/>
          <w:kern w:val="0"/>
          <w:sz w:val="24"/>
          <w:szCs w:val="20"/>
        </w:rPr>
      </w:pPr>
      <w:r>
        <w:rPr>
          <w:rFonts w:hint="eastAsia" w:ascii="宋体" w:hAnsi="宋体" w:eastAsia="宋体" w:cs="Times New Roman"/>
          <w:b/>
          <w:bCs/>
          <w:kern w:val="0"/>
          <w:sz w:val="24"/>
          <w:szCs w:val="20"/>
        </w:rPr>
        <w:t>第一章  招标公告</w:t>
      </w:r>
    </w:p>
    <w:p>
      <w:pPr>
        <w:ind w:firstLine="420" w:firstLineChars="200"/>
        <w:rPr>
          <w:rFonts w:ascii="宋体" w:hAnsi="宋体" w:eastAsia="宋体" w:cs="宋体"/>
          <w:kern w:val="0"/>
          <w:szCs w:val="21"/>
        </w:rPr>
      </w:pPr>
      <w:bookmarkStart w:id="27" w:name="_GoBack"/>
      <w:r>
        <w:rPr>
          <w:rFonts w:hint="eastAsia" w:ascii="宋体" w:hAnsi="宋体" w:eastAsia="宋体" w:cs="宋体"/>
          <w:kern w:val="0"/>
          <w:szCs w:val="21"/>
        </w:rPr>
        <w:t>根据《深圳经济特区政府采购条例》和《深圳大学采购</w:t>
      </w:r>
      <w:r>
        <w:rPr>
          <w:rFonts w:ascii="宋体" w:hAnsi="宋体" w:eastAsia="宋体" w:cs="宋体"/>
          <w:kern w:val="0"/>
          <w:szCs w:val="21"/>
        </w:rPr>
        <w:t>管理办法</w:t>
      </w:r>
      <w:r>
        <w:rPr>
          <w:rFonts w:hint="eastAsia" w:ascii="宋体" w:hAnsi="宋体" w:eastAsia="宋体" w:cs="宋体"/>
          <w:kern w:val="0"/>
          <w:szCs w:val="21"/>
        </w:rPr>
        <w:t>》的有关规定，经</w:t>
      </w:r>
      <w:r>
        <w:rPr>
          <w:rFonts w:ascii="宋体" w:hAnsi="宋体" w:eastAsia="宋体" w:cs="宋体"/>
          <w:kern w:val="0"/>
          <w:szCs w:val="21"/>
        </w:rPr>
        <w:t>批准，</w:t>
      </w:r>
      <w:r>
        <w:rPr>
          <w:rFonts w:hint="eastAsia" w:ascii="宋体" w:hAnsi="宋体" w:eastAsia="宋体" w:cs="宋体"/>
          <w:kern w:val="0"/>
          <w:szCs w:val="21"/>
        </w:rPr>
        <w:t>深圳大学招投标管理中心就</w:t>
      </w:r>
      <w:r>
        <w:rPr>
          <w:rFonts w:hint="eastAsia" w:ascii="宋体" w:hAnsi="宋体" w:eastAsia="宋体" w:cs="宋体"/>
          <w:kern w:val="0"/>
          <w:szCs w:val="21"/>
          <w:u w:val="single"/>
        </w:rPr>
        <w:t xml:space="preserve">   丽湖校区二期独栋餐厅二层和三层餐饮服务外包经营 </w:t>
      </w:r>
      <w:r>
        <w:rPr>
          <w:rFonts w:ascii="Times New Roman" w:hAnsi="Times New Roman" w:eastAsia="宋体" w:cs="Times New Roman"/>
          <w:szCs w:val="24"/>
        </w:rPr>
        <w:t>项目</w:t>
      </w:r>
      <w:r>
        <w:rPr>
          <w:rFonts w:hint="eastAsia" w:ascii="宋体" w:hAnsi="宋体" w:eastAsia="宋体" w:cs="宋体"/>
          <w:kern w:val="0"/>
          <w:szCs w:val="21"/>
        </w:rPr>
        <w:t>，进行公开招标，欢迎符合</w:t>
      </w:r>
      <w:r>
        <w:rPr>
          <w:rFonts w:ascii="宋体" w:hAnsi="宋体" w:eastAsia="宋体" w:cs="宋体"/>
          <w:kern w:val="0"/>
          <w:szCs w:val="21"/>
        </w:rPr>
        <w:t>资格要求的供应商参加</w:t>
      </w:r>
      <w:r>
        <w:rPr>
          <w:rFonts w:hint="eastAsia" w:ascii="宋体" w:hAnsi="宋体" w:eastAsia="宋体" w:cs="宋体"/>
          <w:kern w:val="0"/>
          <w:szCs w:val="21"/>
        </w:rPr>
        <w:t xml:space="preserve">投标。 </w:t>
      </w:r>
    </w:p>
    <w:p>
      <w:pPr>
        <w:ind w:firstLine="420" w:firstLineChars="200"/>
        <w:rPr>
          <w:rFonts w:ascii="宋体" w:hAnsi="宋体" w:eastAsia="宋体" w:cs="宋体"/>
          <w:kern w:val="0"/>
          <w:szCs w:val="21"/>
        </w:rPr>
      </w:pPr>
    </w:p>
    <w:p>
      <w:pPr>
        <w:numPr>
          <w:ilvl w:val="0"/>
          <w:numId w:val="9"/>
        </w:numPr>
        <w:rPr>
          <w:rFonts w:ascii="宋体" w:hAnsi="宋体" w:eastAsia="宋体" w:cs="宋体"/>
          <w:kern w:val="0"/>
          <w:szCs w:val="21"/>
        </w:rPr>
      </w:pPr>
      <w:r>
        <w:rPr>
          <w:rFonts w:hint="eastAsia" w:ascii="宋体" w:hAnsi="宋体" w:eastAsia="宋体" w:cs="宋体"/>
          <w:kern w:val="0"/>
          <w:szCs w:val="21"/>
        </w:rPr>
        <w:t>招标项目编号：</w:t>
      </w:r>
      <w:r>
        <w:rPr>
          <w:rFonts w:hint="eastAsia" w:ascii="Times New Roman" w:hAnsi="Times New Roman" w:eastAsia="宋体" w:cs="Times New Roman"/>
          <w:color w:val="FF0000"/>
          <w:szCs w:val="24"/>
        </w:rPr>
        <w:t xml:space="preserve">SZUCG20210199FW </w:t>
      </w:r>
    </w:p>
    <w:p>
      <w:pPr>
        <w:numPr>
          <w:ilvl w:val="0"/>
          <w:numId w:val="9"/>
        </w:numPr>
        <w:rPr>
          <w:rFonts w:ascii="宋体" w:hAnsi="宋体" w:eastAsia="宋体" w:cs="宋体"/>
          <w:kern w:val="0"/>
          <w:szCs w:val="21"/>
          <w:u w:val="single"/>
        </w:rPr>
      </w:pPr>
      <w:r>
        <w:rPr>
          <w:rFonts w:hint="eastAsia" w:ascii="宋体" w:hAnsi="宋体" w:eastAsia="宋体" w:cs="宋体"/>
          <w:kern w:val="0"/>
          <w:szCs w:val="21"/>
        </w:rPr>
        <w:t>招标项目名称：</w:t>
      </w:r>
      <w:r>
        <w:rPr>
          <w:rFonts w:hint="eastAsia" w:ascii="宋体" w:hAnsi="宋体" w:eastAsia="宋体" w:cs="宋体"/>
          <w:color w:val="FF0000"/>
          <w:kern w:val="0"/>
          <w:szCs w:val="21"/>
        </w:rPr>
        <w:t xml:space="preserve"> 丽湖校区二期独栋餐厅二层和三层餐饮服务外包经营</w:t>
      </w:r>
    </w:p>
    <w:p>
      <w:pPr>
        <w:numPr>
          <w:ilvl w:val="0"/>
          <w:numId w:val="9"/>
        </w:numPr>
        <w:rPr>
          <w:rFonts w:ascii="宋体" w:hAnsi="宋体" w:eastAsia="宋体" w:cs="宋体"/>
          <w:kern w:val="0"/>
          <w:szCs w:val="21"/>
        </w:rPr>
      </w:pPr>
      <w:r>
        <w:rPr>
          <w:rFonts w:hint="eastAsia" w:ascii="宋体" w:hAnsi="宋体" w:eastAsia="宋体" w:cs="宋体"/>
          <w:kern w:val="0"/>
          <w:szCs w:val="21"/>
        </w:rPr>
        <w:t>项目概况：</w:t>
      </w:r>
      <w:r>
        <w:rPr>
          <w:rFonts w:hint="eastAsia" w:ascii="Times New Roman" w:hAnsi="Times New Roman" w:eastAsia="宋体" w:cs="Times New Roman"/>
          <w:szCs w:val="24"/>
          <w:u w:val="single"/>
        </w:rPr>
        <w:t xml:space="preserve">  详见招标</w:t>
      </w:r>
      <w:r>
        <w:rPr>
          <w:rFonts w:ascii="Times New Roman" w:hAnsi="Times New Roman" w:eastAsia="宋体" w:cs="Times New Roman"/>
          <w:szCs w:val="24"/>
          <w:u w:val="single"/>
        </w:rPr>
        <w:t>文件</w:t>
      </w:r>
    </w:p>
    <w:p>
      <w:pPr>
        <w:numPr>
          <w:ilvl w:val="0"/>
          <w:numId w:val="9"/>
        </w:numPr>
        <w:rPr>
          <w:rFonts w:ascii="宋体" w:hAnsi="宋体" w:eastAsia="宋体" w:cs="宋体"/>
          <w:kern w:val="0"/>
          <w:szCs w:val="21"/>
        </w:rPr>
      </w:pPr>
      <w:r>
        <w:rPr>
          <w:rFonts w:hint="eastAsia" w:ascii="宋体" w:hAnsi="宋体" w:eastAsia="宋体" w:cs="宋体"/>
          <w:kern w:val="0"/>
          <w:szCs w:val="21"/>
        </w:rPr>
        <w:t>投标人资格要求：</w:t>
      </w:r>
    </w:p>
    <w:p>
      <w:pPr>
        <w:numPr>
          <w:ilvl w:val="1"/>
          <w:numId w:val="9"/>
        </w:numPr>
        <w:rPr>
          <w:rFonts w:ascii="宋体" w:hAnsi="宋体" w:eastAsia="宋体" w:cs="宋体"/>
          <w:kern w:val="0"/>
          <w:szCs w:val="21"/>
        </w:rPr>
      </w:pPr>
      <w:r>
        <w:rPr>
          <w:rFonts w:hint="eastAsia" w:ascii="宋体" w:hAnsi="宋体" w:eastAsia="宋体" w:cs="宋体"/>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hint="eastAsia" w:ascii="宋体" w:hAnsi="宋体" w:eastAsia="宋体" w:cs="Times New Roman"/>
          <w:szCs w:val="21"/>
        </w:rPr>
        <w:t>；</w:t>
      </w:r>
    </w:p>
    <w:p>
      <w:pPr>
        <w:numPr>
          <w:ilvl w:val="1"/>
          <w:numId w:val="9"/>
        </w:numPr>
        <w:rPr>
          <w:rFonts w:ascii="宋体" w:hAnsi="宋体" w:eastAsia="宋体" w:cs="宋体"/>
          <w:kern w:val="0"/>
          <w:szCs w:val="21"/>
        </w:rPr>
      </w:pPr>
      <w:r>
        <w:rPr>
          <w:rFonts w:ascii="宋体" w:hAnsi="宋体" w:eastAsia="宋体" w:cs="宋体"/>
          <w:kern w:val="0"/>
          <w:szCs w:val="21"/>
        </w:rPr>
        <w:t>投标人近三年内（即至少从2018年0</w:t>
      </w:r>
      <w:r>
        <w:rPr>
          <w:rFonts w:hint="eastAsia" w:ascii="宋体" w:hAnsi="宋体" w:eastAsia="宋体" w:cs="宋体"/>
          <w:kern w:val="0"/>
          <w:szCs w:val="21"/>
          <w:lang w:val="en-US" w:eastAsia="zh-CN"/>
        </w:rPr>
        <w:t>5</w:t>
      </w:r>
      <w:r>
        <w:rPr>
          <w:rFonts w:ascii="宋体" w:hAnsi="宋体" w:eastAsia="宋体" w:cs="宋体"/>
          <w:kern w:val="0"/>
          <w:szCs w:val="21"/>
        </w:rPr>
        <w:t>月开始起算，投标人成立不足三年的可从成立之日起算），在经营活动中没有重大违法记录。(证明文件：投标人须提供《无违法违规行为承诺函》加盖投标人公章)</w:t>
      </w:r>
      <w:r>
        <w:rPr>
          <w:rFonts w:hint="eastAsia" w:ascii="宋体" w:hAnsi="宋体" w:eastAsia="宋体" w:cs="宋体"/>
          <w:kern w:val="0"/>
          <w:szCs w:val="21"/>
        </w:rPr>
        <w:t>；</w:t>
      </w:r>
    </w:p>
    <w:p>
      <w:pPr>
        <w:numPr>
          <w:ilvl w:val="1"/>
          <w:numId w:val="9"/>
        </w:numPr>
        <w:rPr>
          <w:rFonts w:ascii="宋体" w:hAnsi="宋体" w:eastAsia="宋体" w:cs="宋体"/>
          <w:kern w:val="0"/>
          <w:szCs w:val="21"/>
        </w:rPr>
      </w:pPr>
      <w:r>
        <w:rPr>
          <w:rFonts w:hint="eastAsia" w:ascii="宋体" w:hAnsi="宋体" w:eastAsia="宋体" w:cs="宋体"/>
          <w:kern w:val="0"/>
          <w:szCs w:val="21"/>
        </w:rPr>
        <w:t>投标人</w:t>
      </w:r>
      <w:r>
        <w:rPr>
          <w:rFonts w:ascii="宋体" w:hAnsi="宋体" w:eastAsia="宋体" w:cs="宋体"/>
          <w:kern w:val="0"/>
          <w:szCs w:val="21"/>
        </w:rPr>
        <w:t>需具有</w:t>
      </w:r>
      <w:r>
        <w:rPr>
          <w:rFonts w:hint="eastAsia" w:ascii="宋体" w:hAnsi="宋体" w:eastAsia="宋体" w:cs="宋体"/>
          <w:kern w:val="0"/>
          <w:szCs w:val="21"/>
        </w:rPr>
        <w:t>有效</w:t>
      </w:r>
      <w:r>
        <w:rPr>
          <w:rFonts w:ascii="宋体" w:hAnsi="宋体" w:eastAsia="宋体" w:cs="宋体"/>
          <w:kern w:val="0"/>
          <w:szCs w:val="21"/>
        </w:rPr>
        <w:t>的</w:t>
      </w:r>
      <w:r>
        <w:rPr>
          <w:rFonts w:hint="eastAsia" w:ascii="宋体" w:hAnsi="宋体" w:eastAsia="宋体" w:cs="宋体"/>
          <w:kern w:val="0"/>
          <w:szCs w:val="21"/>
        </w:rPr>
        <w:t>《餐饮服务许可证》或《</w:t>
      </w:r>
      <w:r>
        <w:rPr>
          <w:rFonts w:ascii="宋体" w:hAnsi="宋体" w:eastAsia="宋体" w:cs="宋体"/>
          <w:kern w:val="0"/>
          <w:szCs w:val="21"/>
        </w:rPr>
        <w:t>食品经营许可证</w:t>
      </w:r>
      <w:r>
        <w:rPr>
          <w:rFonts w:hint="eastAsia" w:ascii="宋体" w:hAnsi="宋体" w:eastAsia="宋体" w:cs="宋体"/>
          <w:kern w:val="0"/>
          <w:szCs w:val="21"/>
        </w:rPr>
        <w:t>》。（证明文件</w:t>
      </w:r>
      <w:r>
        <w:rPr>
          <w:rFonts w:ascii="宋体" w:hAnsi="宋体" w:eastAsia="宋体" w:cs="宋体"/>
          <w:kern w:val="0"/>
          <w:szCs w:val="21"/>
        </w:rPr>
        <w:t>：</w:t>
      </w:r>
      <w:r>
        <w:rPr>
          <w:rFonts w:hint="eastAsia" w:ascii="宋体" w:hAnsi="宋体" w:eastAsia="宋体" w:cs="宋体"/>
          <w:kern w:val="0"/>
          <w:szCs w:val="21"/>
        </w:rPr>
        <w:t>许可证</w:t>
      </w:r>
      <w:r>
        <w:rPr>
          <w:rFonts w:ascii="宋体" w:hAnsi="宋体" w:eastAsia="宋体" w:cs="宋体"/>
          <w:kern w:val="0"/>
          <w:szCs w:val="21"/>
        </w:rPr>
        <w:t>复印件并加盖投标人公章，原件备查）</w:t>
      </w:r>
      <w:r>
        <w:rPr>
          <w:rFonts w:hint="eastAsia" w:ascii="宋体" w:hAnsi="宋体" w:eastAsia="宋体" w:cs="宋体"/>
          <w:kern w:val="0"/>
          <w:szCs w:val="21"/>
        </w:rPr>
        <w:t>；</w:t>
      </w:r>
    </w:p>
    <w:p>
      <w:pPr>
        <w:numPr>
          <w:ilvl w:val="1"/>
          <w:numId w:val="9"/>
        </w:numPr>
        <w:rPr>
          <w:rFonts w:ascii="宋体" w:hAnsi="宋体" w:eastAsia="宋体" w:cs="宋体"/>
          <w:kern w:val="0"/>
          <w:szCs w:val="21"/>
        </w:rPr>
      </w:pPr>
      <w:r>
        <w:rPr>
          <w:rFonts w:hint="eastAsia" w:ascii="Times New Roman" w:hAnsi="Times New Roman" w:eastAsia="宋体" w:cs="Times New Roman"/>
          <w:color w:val="FF0000"/>
          <w:szCs w:val="24"/>
        </w:rPr>
        <w:t>本项目不接受进口产品投标，不接受联合体投标，不允许分包、转包</w:t>
      </w:r>
      <w:r>
        <w:rPr>
          <w:rFonts w:hint="eastAsia" w:ascii="宋体" w:hAnsi="宋体" w:eastAsia="宋体" w:cs="宋体"/>
          <w:kern w:val="0"/>
          <w:szCs w:val="21"/>
        </w:rPr>
        <w:t>；</w:t>
      </w:r>
    </w:p>
    <w:p>
      <w:pPr>
        <w:numPr>
          <w:ilvl w:val="1"/>
          <w:numId w:val="9"/>
        </w:numPr>
        <w:rPr>
          <w:rFonts w:ascii="宋体" w:hAnsi="宋体" w:eastAsia="宋体" w:cs="宋体"/>
          <w:kern w:val="0"/>
          <w:szCs w:val="21"/>
        </w:rPr>
      </w:pPr>
      <w:r>
        <w:rPr>
          <w:rFonts w:hint="eastAsia" w:ascii="宋体" w:hAnsi="宋体" w:eastAsia="宋体" w:cs="宋体"/>
          <w:kern w:val="0"/>
          <w:szCs w:val="21"/>
        </w:rPr>
        <w:t>本次招标不接受以挂靠或加盟连锁店的形式作为投标人参加投标，不接受联合体投标及分包转包的行为，不接受投标人中标后以分公司子公司的名义提供服务 。</w:t>
      </w:r>
    </w:p>
    <w:p>
      <w:pPr>
        <w:numPr>
          <w:ilvl w:val="0"/>
          <w:numId w:val="9"/>
        </w:numPr>
        <w:rPr>
          <w:rFonts w:ascii="宋体" w:hAnsi="宋体" w:eastAsia="宋体" w:cs="宋体"/>
          <w:kern w:val="0"/>
          <w:szCs w:val="21"/>
        </w:rPr>
      </w:pPr>
      <w:r>
        <w:rPr>
          <w:rFonts w:hint="eastAsia" w:ascii="宋体" w:hAnsi="宋体" w:eastAsia="宋体" w:cs="宋体"/>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pPr>
        <w:pStyle w:val="214"/>
        <w:numPr>
          <w:ilvl w:val="0"/>
          <w:numId w:val="9"/>
        </w:numPr>
        <w:adjustRightInd w:val="0"/>
        <w:snapToGrid w:val="0"/>
        <w:spacing w:line="360" w:lineRule="auto"/>
        <w:ind w:firstLineChars="0"/>
        <w:rPr>
          <w:kern w:val="0"/>
          <w:szCs w:val="21"/>
        </w:rPr>
      </w:pPr>
      <w:r>
        <w:rPr>
          <w:kern w:val="0"/>
          <w:szCs w:val="21"/>
        </w:rPr>
        <w:t>标书获得方法</w:t>
      </w:r>
      <w:r>
        <w:rPr>
          <w:rFonts w:hint="eastAsia"/>
          <w:kern w:val="0"/>
          <w:szCs w:val="21"/>
        </w:rPr>
        <w:t>：</w:t>
      </w:r>
    </w:p>
    <w:p>
      <w:pPr>
        <w:pStyle w:val="214"/>
        <w:ind w:left="420"/>
        <w:rPr>
          <w:rFonts w:ascii="宋体" w:hAnsi="宋体" w:cs="宋体"/>
          <w:b/>
          <w:color w:val="FF0000"/>
          <w:kern w:val="0"/>
          <w:szCs w:val="21"/>
        </w:rPr>
      </w:pPr>
      <w:r>
        <w:rPr>
          <w:rFonts w:hint="eastAsia" w:ascii="宋体" w:hAnsi="宋体" w:cs="宋体"/>
          <w:b/>
          <w:color w:val="FF0000"/>
          <w:kern w:val="0"/>
          <w:szCs w:val="21"/>
        </w:rPr>
        <w:t>出于疫情防控需要，投标人不能现场</w:t>
      </w:r>
      <w:r>
        <w:rPr>
          <w:rFonts w:ascii="宋体" w:hAnsi="宋体" w:cs="宋体"/>
          <w:b/>
          <w:color w:val="FF0000"/>
          <w:kern w:val="0"/>
          <w:szCs w:val="21"/>
        </w:rPr>
        <w:t>购买</w:t>
      </w:r>
      <w:r>
        <w:rPr>
          <w:rFonts w:hint="eastAsia" w:ascii="宋体" w:hAnsi="宋体" w:cs="宋体"/>
          <w:b/>
          <w:color w:val="FF0000"/>
          <w:kern w:val="0"/>
          <w:szCs w:val="21"/>
        </w:rPr>
        <w:t>招标</w:t>
      </w:r>
      <w:r>
        <w:rPr>
          <w:rFonts w:ascii="宋体" w:hAnsi="宋体" w:cs="宋体"/>
          <w:b/>
          <w:color w:val="FF0000"/>
          <w:kern w:val="0"/>
          <w:szCs w:val="21"/>
        </w:rPr>
        <w:t>文件</w:t>
      </w:r>
      <w:r>
        <w:rPr>
          <w:rFonts w:hint="eastAsia" w:ascii="宋体" w:hAnsi="宋体" w:cs="宋体"/>
          <w:b/>
          <w:color w:val="FF0000"/>
          <w:kern w:val="0"/>
          <w:szCs w:val="21"/>
        </w:rPr>
        <w:t>。如需购买招标文件请通过邮件报名，电子版招标文件可以在网站http://bidding.szu.edu.cn“招标公告”的本项目的招标公告页中下载。招标文件售后不退。</w:t>
      </w:r>
    </w:p>
    <w:p>
      <w:pPr>
        <w:pStyle w:val="214"/>
        <w:ind w:left="420"/>
        <w:rPr>
          <w:rFonts w:ascii="宋体" w:hAnsi="宋体" w:cs="宋体"/>
          <w:kern w:val="0"/>
          <w:szCs w:val="21"/>
        </w:rPr>
      </w:pPr>
      <w:r>
        <w:rPr>
          <w:rFonts w:hint="eastAsia" w:ascii="宋体" w:hAnsi="宋体" w:cs="宋体"/>
          <w:kern w:val="0"/>
          <w:szCs w:val="21"/>
        </w:rPr>
        <w:t>任何有兴趣的合格投标人可于</w:t>
      </w:r>
      <w:r>
        <w:rPr>
          <w:rFonts w:ascii="宋体" w:hAnsi="宋体" w:cs="宋体"/>
          <w:kern w:val="0"/>
          <w:szCs w:val="21"/>
        </w:rPr>
        <w:t>2021</w:t>
      </w:r>
      <w:r>
        <w:rPr>
          <w:rFonts w:hint="eastAsia" w:ascii="宋体" w:hAnsi="宋体" w:cs="宋体"/>
          <w:kern w:val="0"/>
          <w:szCs w:val="21"/>
        </w:rPr>
        <w:t>年</w:t>
      </w:r>
      <w:r>
        <w:rPr>
          <w:rFonts w:hint="eastAsia" w:ascii="宋体" w:hAnsi="宋体" w:cs="宋体"/>
          <w:kern w:val="0"/>
          <w:szCs w:val="21"/>
          <w:lang w:val="en-US" w:eastAsia="zh-CN"/>
        </w:rPr>
        <w:t>05</w:t>
      </w:r>
      <w:r>
        <w:rPr>
          <w:rFonts w:hint="eastAsia" w:ascii="宋体" w:hAnsi="宋体" w:cs="宋体"/>
          <w:kern w:val="0"/>
          <w:szCs w:val="21"/>
        </w:rPr>
        <w:t>月</w:t>
      </w:r>
      <w:r>
        <w:rPr>
          <w:rFonts w:hint="eastAsia" w:ascii="宋体" w:hAnsi="宋体" w:cs="宋体"/>
          <w:kern w:val="0"/>
          <w:szCs w:val="21"/>
          <w:lang w:val="en-US" w:eastAsia="zh-CN"/>
        </w:rPr>
        <w:t>06</w:t>
      </w:r>
      <w:r>
        <w:rPr>
          <w:rFonts w:hint="eastAsia" w:ascii="宋体" w:hAnsi="宋体" w:cs="宋体"/>
          <w:kern w:val="0"/>
          <w:szCs w:val="21"/>
        </w:rPr>
        <w:t>日起至</w:t>
      </w:r>
      <w:r>
        <w:rPr>
          <w:rFonts w:ascii="宋体" w:hAnsi="宋体" w:cs="宋体"/>
          <w:kern w:val="0"/>
          <w:szCs w:val="21"/>
        </w:rPr>
        <w:t>2021</w:t>
      </w:r>
      <w:r>
        <w:rPr>
          <w:rFonts w:hint="eastAsia" w:ascii="宋体" w:hAnsi="宋体" w:cs="宋体"/>
          <w:kern w:val="0"/>
          <w:szCs w:val="21"/>
        </w:rPr>
        <w:t>年</w:t>
      </w:r>
      <w:r>
        <w:rPr>
          <w:rFonts w:hint="eastAsia" w:ascii="宋体" w:hAnsi="宋体" w:cs="宋体"/>
          <w:kern w:val="0"/>
          <w:szCs w:val="21"/>
          <w:lang w:val="en-US" w:eastAsia="zh-CN"/>
        </w:rPr>
        <w:t>05</w:t>
      </w:r>
      <w:r>
        <w:rPr>
          <w:rFonts w:hint="eastAsia" w:ascii="宋体" w:hAnsi="宋体" w:cs="宋体"/>
          <w:kern w:val="0"/>
          <w:szCs w:val="21"/>
        </w:rPr>
        <w:t>月</w:t>
      </w:r>
      <w:r>
        <w:rPr>
          <w:rFonts w:hint="eastAsia" w:ascii="宋体" w:hAnsi="宋体" w:cs="宋体"/>
          <w:kern w:val="0"/>
          <w:szCs w:val="21"/>
          <w:lang w:val="en-US" w:eastAsia="zh-CN"/>
        </w:rPr>
        <w:t>15</w:t>
      </w:r>
      <w:r>
        <w:rPr>
          <w:rFonts w:hint="eastAsia" w:ascii="宋体" w:hAnsi="宋体" w:cs="宋体"/>
          <w:kern w:val="0"/>
          <w:szCs w:val="21"/>
        </w:rPr>
        <w:t>日每天（节假日除外）的9:00—11:</w:t>
      </w:r>
      <w:r>
        <w:rPr>
          <w:rFonts w:ascii="宋体" w:hAnsi="宋体" w:cs="宋体"/>
          <w:kern w:val="0"/>
          <w:szCs w:val="21"/>
        </w:rPr>
        <w:t>3</w:t>
      </w:r>
      <w:r>
        <w:rPr>
          <w:rFonts w:hint="eastAsia" w:ascii="宋体" w:hAnsi="宋体" w:cs="宋体"/>
          <w:kern w:val="0"/>
          <w:szCs w:val="21"/>
        </w:rPr>
        <w:t>0；14:</w:t>
      </w:r>
      <w:r>
        <w:rPr>
          <w:rFonts w:ascii="宋体" w:hAnsi="宋体" w:cs="宋体"/>
          <w:kern w:val="0"/>
          <w:szCs w:val="21"/>
        </w:rPr>
        <w:t>30</w:t>
      </w:r>
      <w:r>
        <w:rPr>
          <w:rFonts w:hint="eastAsia" w:ascii="宋体" w:hAnsi="宋体" w:cs="宋体"/>
          <w:kern w:val="0"/>
          <w:szCs w:val="21"/>
        </w:rPr>
        <w:t>—17:00将</w:t>
      </w:r>
      <w:r>
        <w:rPr>
          <w:rFonts w:hint="eastAsia" w:ascii="宋体" w:hAnsi="宋体" w:cs="宋体"/>
          <w:b/>
          <w:kern w:val="0"/>
          <w:szCs w:val="21"/>
        </w:rPr>
        <w:t>公司营业执照、投标报名表</w:t>
      </w:r>
      <w:r>
        <w:rPr>
          <w:rFonts w:hint="eastAsia" w:ascii="宋体" w:hAnsi="宋体" w:cs="宋体"/>
          <w:kern w:val="0"/>
          <w:szCs w:val="21"/>
        </w:rPr>
        <w:t>（投标代表签名、加盖公章）</w:t>
      </w:r>
      <w:r>
        <w:rPr>
          <w:rFonts w:hint="eastAsia" w:ascii="宋体" w:hAnsi="宋体" w:cs="宋体"/>
          <w:b/>
          <w:kern w:val="0"/>
          <w:szCs w:val="21"/>
        </w:rPr>
        <w:t>和150元标书费缴纳凭证</w:t>
      </w:r>
      <w:r>
        <w:rPr>
          <w:rFonts w:hint="eastAsia" w:ascii="宋体" w:hAnsi="宋体" w:cs="宋体"/>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hint="eastAsia" w:ascii="宋体" w:hAnsi="宋体" w:cs="宋体"/>
          <w:kern w:val="0"/>
          <w:szCs w:val="21"/>
        </w:rPr>
        <w:t>）一并</w:t>
      </w:r>
      <w:r>
        <w:rPr>
          <w:rFonts w:ascii="宋体" w:hAnsi="宋体" w:cs="宋体"/>
          <w:kern w:val="0"/>
          <w:szCs w:val="21"/>
        </w:rPr>
        <w:t>扫描</w:t>
      </w:r>
      <w:r>
        <w:rPr>
          <w:rFonts w:hint="eastAsia" w:ascii="宋体" w:hAnsi="宋体" w:cs="宋体"/>
          <w:kern w:val="0"/>
          <w:szCs w:val="21"/>
        </w:rPr>
        <w:t>发至邮箱</w:t>
      </w:r>
      <w:r>
        <w:rPr>
          <w:rFonts w:ascii="宋体" w:hAnsi="宋体" w:cs="宋体"/>
          <w:b/>
          <w:color w:val="FF0000"/>
          <w:kern w:val="0"/>
          <w:sz w:val="24"/>
        </w:rPr>
        <w:t>zhaobiao@szu.edu.cn</w:t>
      </w:r>
      <w:r>
        <w:rPr>
          <w:rFonts w:hint="eastAsia" w:ascii="宋体" w:hAnsi="宋体" w:cs="宋体"/>
          <w:kern w:val="0"/>
          <w:szCs w:val="21"/>
        </w:rPr>
        <w:t xml:space="preserve"> ；标书费缴纳至深圳大学账户：</w:t>
      </w:r>
    </w:p>
    <w:p>
      <w:pPr>
        <w:pStyle w:val="214"/>
        <w:ind w:left="420" w:firstLine="0" w:firstLineChars="0"/>
        <w:rPr>
          <w:rFonts w:ascii="宋体" w:hAnsi="宋体" w:cs="宋体"/>
          <w:kern w:val="0"/>
          <w:szCs w:val="21"/>
        </w:rPr>
      </w:pPr>
      <w:r>
        <w:rPr>
          <w:rFonts w:hint="eastAsia" w:ascii="宋体" w:hAnsi="宋体" w:cs="宋体"/>
          <w:kern w:val="0"/>
          <w:szCs w:val="21"/>
        </w:rPr>
        <w:t>开户行：中国银行深圳深大支行</w:t>
      </w:r>
    </w:p>
    <w:p>
      <w:pPr>
        <w:pStyle w:val="214"/>
        <w:ind w:left="420" w:firstLine="0" w:firstLineChars="0"/>
        <w:rPr>
          <w:rFonts w:ascii="宋体" w:hAnsi="宋体" w:cs="宋体"/>
          <w:kern w:val="0"/>
          <w:szCs w:val="21"/>
        </w:rPr>
      </w:pPr>
      <w:r>
        <w:rPr>
          <w:rFonts w:hint="eastAsia" w:ascii="宋体" w:hAnsi="宋体" w:cs="宋体"/>
          <w:kern w:val="0"/>
          <w:szCs w:val="21"/>
        </w:rPr>
        <w:t>户名：深圳大学</w:t>
      </w:r>
    </w:p>
    <w:p>
      <w:pPr>
        <w:pStyle w:val="214"/>
        <w:ind w:left="420" w:firstLine="0" w:firstLineChars="0"/>
        <w:rPr>
          <w:rFonts w:ascii="宋体" w:hAnsi="宋体" w:cs="宋体"/>
          <w:kern w:val="0"/>
          <w:szCs w:val="21"/>
        </w:rPr>
      </w:pPr>
      <w:r>
        <w:rPr>
          <w:rFonts w:hint="eastAsia" w:ascii="宋体" w:hAnsi="宋体" w:cs="宋体"/>
          <w:kern w:val="0"/>
          <w:szCs w:val="21"/>
        </w:rPr>
        <w:t>账号：</w:t>
      </w:r>
      <w:r>
        <w:rPr>
          <w:rFonts w:ascii="宋体" w:hAnsi="宋体" w:cs="宋体"/>
          <w:kern w:val="0"/>
          <w:szCs w:val="21"/>
        </w:rPr>
        <w:t>7549 6835 0439</w:t>
      </w:r>
    </w:p>
    <w:p>
      <w:pPr>
        <w:pStyle w:val="214"/>
        <w:ind w:left="420" w:firstLine="0" w:firstLineChars="0"/>
        <w:rPr>
          <w:rFonts w:ascii="宋体" w:hAnsi="宋体" w:cs="宋体"/>
          <w:kern w:val="0"/>
          <w:szCs w:val="21"/>
        </w:rPr>
      </w:pPr>
      <w:r>
        <w:rPr>
          <w:rFonts w:hint="eastAsia" w:ascii="宋体" w:hAnsi="宋体" w:cs="宋体"/>
          <w:kern w:val="0"/>
          <w:szCs w:val="21"/>
        </w:rPr>
        <w:t>备注：</w:t>
      </w:r>
      <w:r>
        <w:rPr>
          <w:rFonts w:hint="eastAsia" w:ascii="宋体" w:hAnsi="宋体" w:cs="宋体"/>
          <w:b/>
          <w:kern w:val="0"/>
          <w:szCs w:val="21"/>
          <w:u w:val="single"/>
        </w:rPr>
        <w:t>项目编号</w:t>
      </w:r>
    </w:p>
    <w:p>
      <w:pPr>
        <w:pStyle w:val="214"/>
        <w:ind w:left="420" w:firstLine="0" w:firstLineChars="0"/>
        <w:rPr>
          <w:rFonts w:ascii="宋体" w:hAnsi="宋体" w:cs="宋体"/>
          <w:kern w:val="0"/>
          <w:szCs w:val="21"/>
        </w:rPr>
      </w:pPr>
      <w:r>
        <w:rPr>
          <w:rFonts w:hint="eastAsia" w:ascii="宋体" w:hAnsi="宋体" w:cs="宋体"/>
          <w:kern w:val="0"/>
          <w:szCs w:val="21"/>
        </w:rPr>
        <w:t>投标报名表下载链接：</w:t>
      </w:r>
      <w:r>
        <w:fldChar w:fldCharType="begin"/>
      </w:r>
      <w:r>
        <w:instrText xml:space="preserve"> HYPERLINK "http://bidding.szu.edu.cn/listfile.asp" </w:instrText>
      </w:r>
      <w:r>
        <w:fldChar w:fldCharType="separate"/>
      </w:r>
      <w:r>
        <w:rPr>
          <w:rStyle w:val="47"/>
          <w:rFonts w:hint="eastAsia" w:ascii="宋体" w:hAnsi="宋体" w:cs="宋体"/>
          <w:kern w:val="0"/>
          <w:szCs w:val="21"/>
        </w:rPr>
        <w:t>http://bidding.szu.edu.cn/listfile.asp</w:t>
      </w:r>
      <w:r>
        <w:rPr>
          <w:rStyle w:val="47"/>
          <w:rFonts w:hint="eastAsia" w:ascii="宋体" w:hAnsi="宋体" w:cs="宋体"/>
          <w:kern w:val="0"/>
          <w:szCs w:val="21"/>
        </w:rPr>
        <w:fldChar w:fldCharType="end"/>
      </w:r>
      <w:r>
        <w:rPr>
          <w:rFonts w:hint="eastAsia" w:ascii="宋体" w:hAnsi="宋体" w:cs="宋体"/>
          <w:kern w:val="0"/>
          <w:szCs w:val="21"/>
        </w:rPr>
        <w:t>。</w:t>
      </w:r>
    </w:p>
    <w:p>
      <w:pPr>
        <w:pStyle w:val="214"/>
        <w:numPr>
          <w:ilvl w:val="0"/>
          <w:numId w:val="9"/>
        </w:numPr>
        <w:adjustRightInd w:val="0"/>
        <w:snapToGrid w:val="0"/>
        <w:spacing w:line="360" w:lineRule="auto"/>
        <w:ind w:firstLineChars="0"/>
        <w:rPr>
          <w:kern w:val="0"/>
          <w:szCs w:val="21"/>
        </w:rPr>
      </w:pPr>
      <w:r>
        <w:rPr>
          <w:kern w:val="0"/>
          <w:szCs w:val="21"/>
        </w:rPr>
        <w:t>答疑事项</w:t>
      </w:r>
      <w:r>
        <w:rPr>
          <w:rFonts w:hint="eastAsia"/>
          <w:kern w:val="0"/>
          <w:szCs w:val="21"/>
        </w:rPr>
        <w:t>：</w:t>
      </w:r>
    </w:p>
    <w:p>
      <w:pPr>
        <w:pStyle w:val="214"/>
        <w:adjustRightInd w:val="0"/>
        <w:snapToGrid w:val="0"/>
        <w:spacing w:line="360" w:lineRule="auto"/>
        <w:ind w:left="420"/>
        <w:rPr>
          <w:kern w:val="0"/>
          <w:szCs w:val="21"/>
        </w:rPr>
      </w:pPr>
      <w:r>
        <w:rPr>
          <w:kern w:val="0"/>
          <w:szCs w:val="21"/>
        </w:rPr>
        <w:t>2021年</w:t>
      </w:r>
      <w:r>
        <w:rPr>
          <w:rFonts w:hint="eastAsia"/>
          <w:kern w:val="0"/>
          <w:szCs w:val="21"/>
          <w:lang w:val="en-US" w:eastAsia="zh-CN"/>
        </w:rPr>
        <w:t>05</w:t>
      </w:r>
      <w:r>
        <w:rPr>
          <w:kern w:val="0"/>
          <w:szCs w:val="21"/>
        </w:rPr>
        <w:t>月</w:t>
      </w:r>
      <w:r>
        <w:rPr>
          <w:rFonts w:hint="eastAsia"/>
          <w:kern w:val="0"/>
          <w:szCs w:val="21"/>
          <w:lang w:val="en-US" w:eastAsia="zh-CN"/>
        </w:rPr>
        <w:t>13</w:t>
      </w:r>
      <w:r>
        <w:rPr>
          <w:kern w:val="0"/>
          <w:szCs w:val="21"/>
        </w:rPr>
        <w:t>日16</w:t>
      </w:r>
      <w:r>
        <w:rPr>
          <w:rFonts w:hint="eastAsia"/>
          <w:kern w:val="0"/>
          <w:szCs w:val="21"/>
        </w:rPr>
        <w:t>:</w:t>
      </w:r>
      <w:r>
        <w:rPr>
          <w:kern w:val="0"/>
          <w:szCs w:val="21"/>
        </w:rPr>
        <w:t>00时前凡对招标文件有任何疑问的（包括认为招标文件的技术指标或参数存在倾向性或不公正性条款），将质疑函以书面形式提交到深圳大学招投标管理中心，逾期不予受理。质疑函须加盖投标人公章。2021年</w:t>
      </w:r>
      <w:r>
        <w:rPr>
          <w:rFonts w:hint="eastAsia"/>
          <w:kern w:val="0"/>
          <w:szCs w:val="21"/>
          <w:lang w:val="en-US" w:eastAsia="zh-CN"/>
        </w:rPr>
        <w:t>05</w:t>
      </w:r>
      <w:r>
        <w:rPr>
          <w:kern w:val="0"/>
          <w:szCs w:val="21"/>
        </w:rPr>
        <w:t>月</w:t>
      </w:r>
      <w:r>
        <w:rPr>
          <w:rFonts w:hint="eastAsia"/>
          <w:kern w:val="0"/>
          <w:szCs w:val="21"/>
          <w:lang w:val="en-US" w:eastAsia="zh-CN"/>
        </w:rPr>
        <w:t>15</w:t>
      </w:r>
      <w:r>
        <w:rPr>
          <w:kern w:val="0"/>
          <w:szCs w:val="21"/>
        </w:rPr>
        <w:t xml:space="preserve">日 16:00 前将答疑结果在网站http://bidding.szu.edu.cn “招标公告”中公布，望投标人予以关注。 </w:t>
      </w:r>
    </w:p>
    <w:p>
      <w:pPr>
        <w:pStyle w:val="214"/>
        <w:numPr>
          <w:ilvl w:val="0"/>
          <w:numId w:val="9"/>
        </w:numPr>
        <w:adjustRightInd w:val="0"/>
        <w:snapToGrid w:val="0"/>
        <w:spacing w:line="360" w:lineRule="auto"/>
        <w:ind w:firstLineChars="0"/>
        <w:rPr>
          <w:kern w:val="0"/>
          <w:szCs w:val="21"/>
        </w:rPr>
      </w:pPr>
      <w:r>
        <w:rPr>
          <w:kern w:val="0"/>
          <w:szCs w:val="21"/>
        </w:rPr>
        <w:t>投标截止时间</w:t>
      </w:r>
      <w:r>
        <w:rPr>
          <w:rStyle w:val="48"/>
          <w:rFonts w:hint="eastAsia" w:ascii="宋体"/>
          <w:kern w:val="0"/>
        </w:rPr>
        <w:t>：</w:t>
      </w:r>
    </w:p>
    <w:p>
      <w:pPr>
        <w:pStyle w:val="214"/>
        <w:adjustRightInd w:val="0"/>
        <w:snapToGrid w:val="0"/>
        <w:spacing w:line="360" w:lineRule="auto"/>
        <w:ind w:left="420"/>
        <w:rPr>
          <w:kern w:val="0"/>
          <w:szCs w:val="21"/>
        </w:rPr>
      </w:pPr>
      <w:r>
        <w:rPr>
          <w:rFonts w:hint="eastAsia"/>
          <w:kern w:val="0"/>
          <w:szCs w:val="21"/>
        </w:rPr>
        <w:t>所有投标文件应于</w:t>
      </w:r>
      <w:r>
        <w:rPr>
          <w:b/>
          <w:color w:val="FF0000"/>
          <w:kern w:val="0"/>
          <w:szCs w:val="21"/>
        </w:rPr>
        <w:t>2021</w:t>
      </w:r>
      <w:r>
        <w:rPr>
          <w:rFonts w:hint="eastAsia"/>
          <w:b/>
          <w:color w:val="FF0000"/>
          <w:kern w:val="0"/>
          <w:szCs w:val="21"/>
        </w:rPr>
        <w:t>年</w:t>
      </w:r>
      <w:r>
        <w:rPr>
          <w:rFonts w:hint="eastAsia"/>
          <w:b/>
          <w:color w:val="FF0000"/>
          <w:kern w:val="0"/>
          <w:szCs w:val="21"/>
          <w:lang w:val="en-US" w:eastAsia="zh-CN"/>
        </w:rPr>
        <w:t>05</w:t>
      </w:r>
      <w:r>
        <w:rPr>
          <w:rFonts w:hint="eastAsia"/>
          <w:b/>
          <w:color w:val="FF0000"/>
          <w:kern w:val="0"/>
          <w:szCs w:val="21"/>
        </w:rPr>
        <w:t>月</w:t>
      </w:r>
      <w:r>
        <w:rPr>
          <w:rFonts w:hint="eastAsia"/>
          <w:b/>
          <w:color w:val="FF0000"/>
          <w:kern w:val="0"/>
          <w:szCs w:val="21"/>
          <w:lang w:val="en-US" w:eastAsia="zh-CN"/>
        </w:rPr>
        <w:t>17</w:t>
      </w:r>
      <w:r>
        <w:rPr>
          <w:rFonts w:hint="eastAsia"/>
          <w:b/>
          <w:color w:val="FF0000"/>
          <w:kern w:val="0"/>
          <w:szCs w:val="21"/>
        </w:rPr>
        <w:t>日</w:t>
      </w:r>
      <w:r>
        <w:rPr>
          <w:rFonts w:hint="eastAsia"/>
          <w:b/>
          <w:color w:val="FF0000"/>
          <w:kern w:val="0"/>
          <w:szCs w:val="21"/>
          <w:lang w:val="en-US" w:eastAsia="zh-CN"/>
        </w:rPr>
        <w:t>14</w:t>
      </w:r>
      <w:r>
        <w:rPr>
          <w:rFonts w:hint="eastAsia"/>
          <w:b/>
          <w:color w:val="FF0000"/>
          <w:kern w:val="0"/>
          <w:szCs w:val="21"/>
        </w:rPr>
        <w:t>:</w:t>
      </w:r>
      <w:r>
        <w:rPr>
          <w:rFonts w:hint="eastAsia"/>
          <w:b/>
          <w:color w:val="FF0000"/>
          <w:kern w:val="0"/>
          <w:szCs w:val="21"/>
          <w:lang w:val="en-US" w:eastAsia="zh-CN"/>
        </w:rPr>
        <w:t>30</w:t>
      </w:r>
      <w:r>
        <w:rPr>
          <w:rFonts w:hint="eastAsia"/>
          <w:b/>
          <w:bCs/>
          <w:color w:val="FF0000"/>
          <w:kern w:val="0"/>
          <w:szCs w:val="21"/>
          <w:lang w:val="en-US" w:eastAsia="zh-CN"/>
        </w:rPr>
        <w:t>时</w:t>
      </w:r>
      <w:r>
        <w:rPr>
          <w:rFonts w:hint="eastAsia"/>
          <w:kern w:val="0"/>
          <w:szCs w:val="21"/>
        </w:rPr>
        <w:t>之前邮寄</w:t>
      </w:r>
      <w:r>
        <w:t>（EMS，顺丰（不含顺丰同城））</w:t>
      </w:r>
      <w:r>
        <w:rPr>
          <w:rFonts w:hint="eastAsia"/>
          <w:kern w:val="0"/>
          <w:szCs w:val="21"/>
        </w:rPr>
        <w:t>到深圳大学招投标管理中心（深圳大学汇元楼242室 黄老师</w:t>
      </w:r>
      <w:r>
        <w:t>（0755）26532310，（0755）86970737</w:t>
      </w:r>
      <w:r>
        <w:rPr>
          <w:rFonts w:hint="eastAsia"/>
        </w:rPr>
        <w:t>）</w:t>
      </w:r>
      <w:r>
        <w:rPr>
          <w:rFonts w:hint="eastAsia"/>
          <w:kern w:val="0"/>
          <w:szCs w:val="21"/>
        </w:rPr>
        <w:t>。以文件</w:t>
      </w:r>
      <w:r>
        <w:rPr>
          <w:kern w:val="0"/>
          <w:szCs w:val="21"/>
        </w:rPr>
        <w:t>送达时间为准。</w:t>
      </w:r>
      <w:r>
        <w:rPr>
          <w:rFonts w:hint="eastAsia"/>
          <w:kern w:val="0"/>
          <w:szCs w:val="21"/>
        </w:rPr>
        <w:t>不接受</w:t>
      </w:r>
      <w:r>
        <w:rPr>
          <w:kern w:val="0"/>
          <w:szCs w:val="21"/>
        </w:rPr>
        <w:t>快递到付。</w:t>
      </w:r>
    </w:p>
    <w:p>
      <w:pPr>
        <w:pStyle w:val="214"/>
        <w:adjustRightInd w:val="0"/>
        <w:snapToGrid w:val="0"/>
        <w:spacing w:line="360" w:lineRule="auto"/>
        <w:ind w:left="420"/>
        <w:rPr>
          <w:kern w:val="0"/>
          <w:szCs w:val="21"/>
        </w:rPr>
      </w:pPr>
      <w:r>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pPr>
        <w:pStyle w:val="214"/>
        <w:numPr>
          <w:ilvl w:val="0"/>
          <w:numId w:val="9"/>
        </w:numPr>
        <w:adjustRightInd w:val="0"/>
        <w:snapToGrid w:val="0"/>
        <w:spacing w:line="360" w:lineRule="auto"/>
        <w:ind w:firstLineChars="0"/>
        <w:rPr>
          <w:kern w:val="0"/>
          <w:szCs w:val="21"/>
        </w:rPr>
      </w:pPr>
      <w:r>
        <w:rPr>
          <w:kern w:val="0"/>
          <w:szCs w:val="21"/>
        </w:rPr>
        <w:t>开标时间和地点</w:t>
      </w:r>
      <w:r>
        <w:rPr>
          <w:rFonts w:hint="eastAsia"/>
          <w:kern w:val="0"/>
          <w:szCs w:val="21"/>
        </w:rPr>
        <w:t>：</w:t>
      </w:r>
    </w:p>
    <w:p>
      <w:pPr>
        <w:pStyle w:val="214"/>
        <w:adjustRightInd w:val="0"/>
        <w:snapToGrid w:val="0"/>
        <w:spacing w:line="360" w:lineRule="auto"/>
        <w:ind w:left="420"/>
        <w:rPr>
          <w:kern w:val="0"/>
          <w:szCs w:val="21"/>
        </w:rPr>
      </w:pPr>
      <w:r>
        <w:rPr>
          <w:kern w:val="0"/>
          <w:szCs w:val="21"/>
        </w:rPr>
        <w:t>定于</w:t>
      </w:r>
      <w:r>
        <w:rPr>
          <w:b/>
          <w:color w:val="FF0000"/>
          <w:kern w:val="0"/>
          <w:szCs w:val="21"/>
        </w:rPr>
        <w:t>2021</w:t>
      </w:r>
      <w:r>
        <w:rPr>
          <w:rFonts w:hint="eastAsia"/>
          <w:b/>
          <w:color w:val="FF0000"/>
          <w:kern w:val="0"/>
          <w:szCs w:val="21"/>
        </w:rPr>
        <w:t>年</w:t>
      </w:r>
      <w:r>
        <w:rPr>
          <w:rFonts w:hint="eastAsia"/>
          <w:b/>
          <w:color w:val="FF0000"/>
          <w:kern w:val="0"/>
          <w:szCs w:val="21"/>
          <w:lang w:val="en-US" w:eastAsia="zh-CN"/>
        </w:rPr>
        <w:t>05</w:t>
      </w:r>
      <w:r>
        <w:rPr>
          <w:rFonts w:hint="eastAsia"/>
          <w:b/>
          <w:color w:val="FF0000"/>
          <w:kern w:val="0"/>
          <w:szCs w:val="21"/>
        </w:rPr>
        <w:t>月</w:t>
      </w:r>
      <w:r>
        <w:rPr>
          <w:rFonts w:hint="eastAsia"/>
          <w:b/>
          <w:color w:val="FF0000"/>
          <w:kern w:val="0"/>
          <w:szCs w:val="21"/>
          <w:lang w:val="en-US" w:eastAsia="zh-CN"/>
        </w:rPr>
        <w:t>17</w:t>
      </w:r>
      <w:r>
        <w:rPr>
          <w:rFonts w:hint="eastAsia"/>
          <w:b/>
          <w:color w:val="FF0000"/>
          <w:kern w:val="0"/>
          <w:szCs w:val="21"/>
        </w:rPr>
        <w:t>日</w:t>
      </w:r>
      <w:r>
        <w:rPr>
          <w:rFonts w:hint="eastAsia"/>
          <w:b/>
          <w:color w:val="FF0000"/>
          <w:kern w:val="0"/>
          <w:szCs w:val="21"/>
          <w:lang w:val="en-US" w:eastAsia="zh-CN"/>
        </w:rPr>
        <w:t>14</w:t>
      </w:r>
      <w:r>
        <w:rPr>
          <w:rFonts w:hint="eastAsia"/>
          <w:b/>
          <w:color w:val="FF0000"/>
          <w:kern w:val="0"/>
          <w:szCs w:val="21"/>
        </w:rPr>
        <w:t>:</w:t>
      </w:r>
      <w:r>
        <w:rPr>
          <w:rFonts w:hint="eastAsia"/>
          <w:b/>
          <w:color w:val="FF0000"/>
          <w:kern w:val="0"/>
          <w:szCs w:val="21"/>
          <w:lang w:val="en-US" w:eastAsia="zh-CN"/>
        </w:rPr>
        <w:t>30</w:t>
      </w:r>
      <w:r>
        <w:rPr>
          <w:rFonts w:hint="eastAsia"/>
          <w:b/>
          <w:bCs/>
          <w:color w:val="FF0000"/>
          <w:kern w:val="0"/>
          <w:szCs w:val="21"/>
          <w:lang w:val="en-US" w:eastAsia="zh-CN"/>
        </w:rPr>
        <w:t>时</w:t>
      </w:r>
      <w:r>
        <w:rPr>
          <w:kern w:val="0"/>
          <w:szCs w:val="21"/>
        </w:rPr>
        <w:t>，在深圳大学招投标管理中心公开开标。地点：深圳市南山区南海大道3688号 深圳大学</w:t>
      </w:r>
      <w:r>
        <w:rPr>
          <w:rFonts w:hint="eastAsia"/>
          <w:kern w:val="0"/>
          <w:szCs w:val="21"/>
        </w:rPr>
        <w:t>汇元</w:t>
      </w:r>
      <w:r>
        <w:rPr>
          <w:kern w:val="0"/>
          <w:szCs w:val="21"/>
        </w:rPr>
        <w:t>楼241室。</w:t>
      </w:r>
      <w:r>
        <w:rPr>
          <w:color w:val="000000"/>
          <w:kern w:val="0"/>
          <w:szCs w:val="21"/>
        </w:rPr>
        <w:t>出于</w:t>
      </w:r>
      <w:r>
        <w:rPr>
          <w:rFonts w:hint="eastAsia"/>
          <w:color w:val="000000"/>
          <w:kern w:val="0"/>
          <w:szCs w:val="21"/>
        </w:rPr>
        <w:t>疫情</w:t>
      </w:r>
      <w:r>
        <w:rPr>
          <w:color w:val="000000"/>
          <w:kern w:val="0"/>
          <w:szCs w:val="21"/>
        </w:rPr>
        <w:t>防控需要，此项目</w:t>
      </w:r>
      <w:r>
        <w:rPr>
          <w:rFonts w:hint="eastAsia"/>
          <w:color w:val="000000"/>
          <w:kern w:val="0"/>
          <w:szCs w:val="21"/>
        </w:rPr>
        <w:t>不邀请</w:t>
      </w:r>
      <w:r>
        <w:rPr>
          <w:color w:val="000000"/>
          <w:kern w:val="0"/>
          <w:szCs w:val="21"/>
        </w:rPr>
        <w:t>投标代表出席开标仪式。</w:t>
      </w:r>
    </w:p>
    <w:p>
      <w:pPr>
        <w:pStyle w:val="214"/>
        <w:numPr>
          <w:ilvl w:val="0"/>
          <w:numId w:val="9"/>
        </w:numPr>
        <w:adjustRightInd w:val="0"/>
        <w:snapToGrid w:val="0"/>
        <w:spacing w:line="360" w:lineRule="auto"/>
        <w:ind w:firstLineChars="0"/>
        <w:rPr>
          <w:kern w:val="0"/>
          <w:szCs w:val="21"/>
        </w:rPr>
      </w:pPr>
      <w:r>
        <w:rPr>
          <w:kern w:val="0"/>
          <w:szCs w:val="21"/>
        </w:rPr>
        <w:t>已经购买招标文件的潜在投标人，若不参加投标应在开标截止日前3天以书面形式通知深圳大学招投标管理中心。</w:t>
      </w:r>
    </w:p>
    <w:p>
      <w:pPr>
        <w:widowControl/>
        <w:numPr>
          <w:ilvl w:val="0"/>
          <w:numId w:val="9"/>
        </w:numPr>
        <w:spacing w:before="100" w:beforeAutospacing="1" w:after="100" w:afterAutospacing="1"/>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交纳投标保证金：本项目无须交纳投标保证金。 </w:t>
      </w:r>
    </w:p>
    <w:p>
      <w:pPr>
        <w:spacing w:line="260" w:lineRule="exact"/>
        <w:ind w:firstLine="420" w:firstLineChars="200"/>
        <w:jc w:val="left"/>
        <w:rPr>
          <w:rFonts w:ascii="Times New Roman" w:hAnsi="Times New Roman" w:eastAsia="宋体" w:cs="Times New Roman"/>
          <w:szCs w:val="21"/>
          <w:u w:val="single"/>
        </w:rPr>
      </w:pPr>
    </w:p>
    <w:p>
      <w:pPr>
        <w:spacing w:before="231" w:beforeLines="50" w:line="260" w:lineRule="exact"/>
        <w:jc w:val="right"/>
        <w:rPr>
          <w:rFonts w:ascii="Times New Roman" w:hAnsi="Times New Roman" w:eastAsia="宋体" w:cs="Times New Roman"/>
          <w:color w:val="000000"/>
          <w:sz w:val="24"/>
        </w:rPr>
      </w:pPr>
      <w:r>
        <w:rPr>
          <w:rFonts w:ascii="Times New Roman" w:hAnsi="Times New Roman" w:eastAsia="宋体" w:cs="Times New Roman"/>
          <w:color w:val="000000"/>
        </w:rPr>
        <w:t>招标机构名称：深圳大学招投标管理中心</w:t>
      </w:r>
    </w:p>
    <w:p>
      <w:pPr>
        <w:wordWrap w:val="0"/>
        <w:spacing w:before="231" w:beforeLines="50" w:line="260" w:lineRule="exact"/>
        <w:jc w:val="right"/>
        <w:rPr>
          <w:rFonts w:ascii="Times New Roman" w:hAnsi="Times New Roman" w:eastAsia="宋体" w:cs="Times New Roman"/>
          <w:color w:val="000000"/>
        </w:rPr>
      </w:pPr>
      <w:r>
        <w:rPr>
          <w:rFonts w:ascii="Times New Roman" w:hAnsi="Times New Roman" w:eastAsia="宋体" w:cs="Times New Roman"/>
          <w:color w:val="000000"/>
        </w:rPr>
        <w:t>联系人：</w:t>
      </w:r>
      <w:r>
        <w:rPr>
          <w:rFonts w:hint="eastAsia" w:ascii="Times New Roman" w:hAnsi="Times New Roman" w:eastAsia="宋体" w:cs="Times New Roman"/>
          <w:color w:val="000000"/>
        </w:rPr>
        <w:t>劳</w:t>
      </w:r>
      <w:r>
        <w:rPr>
          <w:rFonts w:ascii="Times New Roman" w:hAnsi="Times New Roman" w:eastAsia="宋体" w:cs="Times New Roman"/>
          <w:color w:val="000000"/>
        </w:rPr>
        <w:t>老师 电话：（0755）2653 1103</w:t>
      </w:r>
    </w:p>
    <w:p>
      <w:pPr>
        <w:spacing w:before="231" w:beforeLines="50" w:line="260" w:lineRule="exact"/>
        <w:jc w:val="right"/>
        <w:rPr>
          <w:rFonts w:ascii="Times New Roman" w:hAnsi="Times New Roman" w:eastAsia="宋体" w:cs="Times New Roman"/>
          <w:color w:val="000000"/>
        </w:rPr>
      </w:pPr>
      <w:r>
        <w:rPr>
          <w:rFonts w:ascii="Times New Roman" w:hAnsi="Times New Roman" w:eastAsia="宋体" w:cs="Times New Roman"/>
          <w:color w:val="000000"/>
        </w:rPr>
        <w:t>招投标投诉电话：0755-26535738  投诉邮箱：</w:t>
      </w:r>
      <w:r>
        <w:fldChar w:fldCharType="begin"/>
      </w:r>
      <w:r>
        <w:instrText xml:space="preserve"> HYPERLINK "mailto:CHENJC@SZU.EDU.CN" </w:instrText>
      </w:r>
      <w:r>
        <w:fldChar w:fldCharType="separate"/>
      </w:r>
      <w:r>
        <w:rPr>
          <w:rFonts w:ascii="Times New Roman" w:hAnsi="Times New Roman" w:eastAsia="宋体" w:cs="Times New Roman"/>
          <w:color w:val="0000FF"/>
          <w:u w:val="single"/>
        </w:rPr>
        <w:t>CHENJC@SZU.EDU.CN</w:t>
      </w:r>
      <w:r>
        <w:rPr>
          <w:rFonts w:ascii="Times New Roman" w:hAnsi="Times New Roman" w:eastAsia="宋体" w:cs="Times New Roman"/>
          <w:color w:val="0000FF"/>
          <w:u w:val="single"/>
        </w:rPr>
        <w:fldChar w:fldCharType="end"/>
      </w:r>
    </w:p>
    <w:p>
      <w:pPr>
        <w:spacing w:before="231" w:beforeLines="50" w:line="260" w:lineRule="exact"/>
        <w:jc w:val="right"/>
        <w:rPr>
          <w:rFonts w:ascii="Times New Roman" w:hAnsi="Times New Roman" w:eastAsia="宋体" w:cs="Times New Roman"/>
          <w:color w:val="000000"/>
        </w:rPr>
      </w:pPr>
      <w:r>
        <w:rPr>
          <w:rFonts w:ascii="Times New Roman" w:hAnsi="Times New Roman" w:eastAsia="宋体" w:cs="Times New Roman"/>
          <w:color w:val="000000"/>
        </w:rPr>
        <w:t>受理单位:  深圳大学招投标管理中心</w:t>
      </w:r>
    </w:p>
    <w:p>
      <w:pPr>
        <w:spacing w:before="231" w:beforeLines="50" w:line="260" w:lineRule="exact"/>
        <w:jc w:val="right"/>
        <w:rPr>
          <w:rFonts w:ascii="Times New Roman" w:hAnsi="Times New Roman" w:eastAsia="宋体" w:cs="Times New Roman"/>
          <w:color w:val="000000"/>
        </w:rPr>
      </w:pPr>
      <w:r>
        <w:rPr>
          <w:rFonts w:ascii="Times New Roman" w:hAnsi="Times New Roman" w:eastAsia="宋体" w:cs="Times New Roman"/>
          <w:color w:val="000000"/>
        </w:rPr>
        <w:t>纪委监督电话：(0755)2653 4925</w:t>
      </w:r>
    </w:p>
    <w:p>
      <w:pPr>
        <w:spacing w:line="260" w:lineRule="exact"/>
        <w:rPr>
          <w:rFonts w:ascii="Times New Roman" w:hAnsi="Times New Roman" w:eastAsia="宋体" w:cs="Times New Roman"/>
          <w:kern w:val="0"/>
          <w:szCs w:val="21"/>
        </w:rPr>
      </w:pPr>
    </w:p>
    <w:p>
      <w:pPr>
        <w:spacing w:line="260" w:lineRule="exact"/>
        <w:jc w:val="right"/>
        <w:rPr>
          <w:rFonts w:ascii="Times New Roman" w:hAnsi="Times New Roman" w:eastAsia="宋体" w:cs="Times New Roman"/>
          <w:kern w:val="0"/>
          <w:szCs w:val="21"/>
        </w:rPr>
      </w:pPr>
      <w:r>
        <w:rPr>
          <w:rFonts w:ascii="Times New Roman" w:hAnsi="Times New Roman" w:eastAsia="宋体" w:cs="Times New Roman"/>
          <w:kern w:val="0"/>
          <w:szCs w:val="21"/>
        </w:rPr>
        <w:t>深圳大学招投标管理中心</w:t>
      </w:r>
    </w:p>
    <w:p>
      <w:pPr>
        <w:spacing w:line="260" w:lineRule="exact"/>
        <w:jc w:val="right"/>
        <w:rPr>
          <w:rFonts w:ascii="Times New Roman" w:hAnsi="Times New Roman" w:eastAsia="宋体" w:cs="Times New Roman"/>
          <w:kern w:val="0"/>
          <w:szCs w:val="21"/>
        </w:rPr>
      </w:pPr>
    </w:p>
    <w:p>
      <w:pPr>
        <w:wordWrap w:val="0"/>
        <w:spacing w:line="260" w:lineRule="exact"/>
        <w:jc w:val="right"/>
        <w:rPr>
          <w:rFonts w:ascii="Times New Roman" w:hAnsi="Times New Roman" w:eastAsia="宋体" w:cs="Times New Roman"/>
          <w:b/>
          <w:bCs/>
          <w:kern w:val="0"/>
          <w:sz w:val="24"/>
          <w:szCs w:val="20"/>
        </w:rPr>
      </w:pPr>
      <w:r>
        <w:rPr>
          <w:rFonts w:hint="eastAsia" w:ascii="Times New Roman" w:hAnsi="Times New Roman" w:eastAsia="宋体" w:cs="Times New Roman"/>
          <w:kern w:val="0"/>
          <w:szCs w:val="21"/>
        </w:rPr>
        <w:t>2021年</w:t>
      </w:r>
      <w:r>
        <w:rPr>
          <w:rFonts w:hint="eastAsia" w:ascii="Times New Roman" w:hAnsi="Times New Roman" w:eastAsia="宋体" w:cs="Times New Roman"/>
          <w:kern w:val="0"/>
          <w:szCs w:val="21"/>
          <w:lang w:val="en-US" w:eastAsia="zh-CN"/>
        </w:rPr>
        <w:t>05</w:t>
      </w:r>
      <w:r>
        <w:rPr>
          <w:rFonts w:hint="eastAsia" w:ascii="Times New Roman" w:hAnsi="Times New Roman" w:eastAsia="宋体" w:cs="Times New Roman"/>
          <w:kern w:val="0"/>
          <w:szCs w:val="21"/>
        </w:rPr>
        <w:t>月</w:t>
      </w:r>
      <w:r>
        <w:rPr>
          <w:rFonts w:hint="eastAsia" w:ascii="Times New Roman" w:hAnsi="Times New Roman" w:eastAsia="宋体" w:cs="Times New Roman"/>
          <w:kern w:val="0"/>
          <w:szCs w:val="21"/>
          <w:lang w:val="en-US" w:eastAsia="zh-CN"/>
        </w:rPr>
        <w:t>06</w:t>
      </w:r>
      <w:r>
        <w:rPr>
          <w:rFonts w:hint="eastAsia" w:ascii="Times New Roman" w:hAnsi="Times New Roman" w:eastAsia="宋体" w:cs="Times New Roman"/>
          <w:kern w:val="0"/>
          <w:szCs w:val="21"/>
        </w:rPr>
        <w:t>日</w:t>
      </w:r>
    </w:p>
    <w:bookmarkEnd w:id="27"/>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spacing w:line="276" w:lineRule="auto"/>
        <w:rPr>
          <w:rFonts w:ascii="宋体" w:hAnsi="宋体" w:eastAsia="宋体" w:cs="Times New Roman"/>
          <w:b/>
          <w:bCs/>
          <w:kern w:val="0"/>
          <w:sz w:val="24"/>
          <w:szCs w:val="20"/>
        </w:rPr>
      </w:pPr>
    </w:p>
    <w:p>
      <w:pPr>
        <w:pStyle w:val="2"/>
        <w:ind w:firstLine="241"/>
        <w:rPr>
          <w:rFonts w:ascii="宋体" w:hAnsi="宋体"/>
          <w:kern w:val="0"/>
          <w:sz w:val="24"/>
          <w:szCs w:val="20"/>
        </w:rPr>
      </w:pPr>
    </w:p>
    <w:p>
      <w:pPr>
        <w:rPr>
          <w:rFonts w:ascii="宋体" w:hAnsi="宋体" w:eastAsia="宋体" w:cs="Times New Roman"/>
          <w:b/>
          <w:bCs/>
          <w:kern w:val="0"/>
          <w:sz w:val="24"/>
          <w:szCs w:val="20"/>
        </w:rPr>
      </w:pPr>
    </w:p>
    <w:p>
      <w:pPr>
        <w:pStyle w:val="2"/>
        <w:ind w:firstLine="241"/>
        <w:rPr>
          <w:rFonts w:ascii="宋体" w:hAnsi="宋体"/>
          <w:kern w:val="0"/>
          <w:sz w:val="24"/>
          <w:szCs w:val="20"/>
        </w:rPr>
      </w:pPr>
    </w:p>
    <w:p>
      <w:pPr>
        <w:rPr>
          <w:rFonts w:ascii="宋体" w:hAnsi="宋体" w:eastAsia="宋体" w:cs="Times New Roman"/>
          <w:b/>
          <w:bCs/>
          <w:kern w:val="0"/>
          <w:sz w:val="24"/>
          <w:szCs w:val="20"/>
        </w:rPr>
      </w:pPr>
    </w:p>
    <w:p>
      <w:pPr>
        <w:pStyle w:val="2"/>
        <w:rPr>
          <w:rFonts w:ascii="宋体" w:hAnsi="宋体" w:eastAsia="宋体" w:cs="Times New Roman"/>
          <w:b/>
          <w:bCs/>
          <w:kern w:val="0"/>
          <w:sz w:val="24"/>
          <w:szCs w:val="20"/>
        </w:rPr>
      </w:pPr>
    </w:p>
    <w:p>
      <w:pPr>
        <w:rPr>
          <w:rFonts w:ascii="宋体" w:hAnsi="宋体" w:eastAsia="宋体" w:cs="Times New Roman"/>
          <w:b/>
          <w:bCs/>
          <w:kern w:val="0"/>
          <w:sz w:val="24"/>
          <w:szCs w:val="20"/>
        </w:rPr>
      </w:pPr>
    </w:p>
    <w:p>
      <w:pPr>
        <w:pStyle w:val="2"/>
        <w:rPr>
          <w:rFonts w:ascii="宋体" w:hAnsi="宋体" w:eastAsia="宋体" w:cs="Times New Roman"/>
          <w:b/>
          <w:bCs/>
          <w:kern w:val="0"/>
          <w:sz w:val="24"/>
          <w:szCs w:val="20"/>
        </w:rPr>
      </w:pPr>
    </w:p>
    <w:p/>
    <w:p>
      <w:pPr>
        <w:pStyle w:val="2"/>
        <w:ind w:firstLine="211"/>
      </w:pPr>
    </w:p>
    <w:p>
      <w:pPr>
        <w:pStyle w:val="2"/>
        <w:ind w:firstLine="211"/>
      </w:pPr>
    </w:p>
    <w:p>
      <w:pPr>
        <w:spacing w:line="276" w:lineRule="auto"/>
        <w:rPr>
          <w:rFonts w:ascii="宋体" w:hAnsi="宋体" w:eastAsia="宋体" w:cs="Times New Roman"/>
          <w:b/>
          <w:bCs/>
          <w:kern w:val="0"/>
          <w:sz w:val="24"/>
          <w:szCs w:val="20"/>
        </w:rPr>
      </w:pPr>
    </w:p>
    <w:p>
      <w:pPr>
        <w:spacing w:line="276" w:lineRule="auto"/>
        <w:jc w:val="center"/>
        <w:rPr>
          <w:rFonts w:ascii="Times New Roman" w:hAnsi="Times New Roman" w:eastAsia="宋体" w:cs="Times New Roman"/>
          <w:sz w:val="24"/>
          <w:szCs w:val="24"/>
        </w:rPr>
      </w:pPr>
      <w:r>
        <w:rPr>
          <w:rFonts w:hint="eastAsia" w:ascii="宋体" w:hAnsi="宋体" w:eastAsia="宋体" w:cs="Times New Roman"/>
          <w:b/>
          <w:bCs/>
          <w:kern w:val="0"/>
          <w:sz w:val="24"/>
          <w:szCs w:val="20"/>
        </w:rPr>
        <w:t>第二章  招标项目需求</w:t>
      </w:r>
    </w:p>
    <w:p>
      <w:pPr>
        <w:keepNext/>
        <w:keepLines/>
        <w:adjustRightInd w:val="0"/>
        <w:spacing w:before="231" w:beforeLines="50" w:after="231" w:afterLines="50"/>
        <w:jc w:val="center"/>
        <w:textAlignment w:val="baseline"/>
        <w:outlineLvl w:val="1"/>
        <w:rPr>
          <w:rFonts w:ascii="宋体" w:hAnsi="宋体" w:eastAsia="宋体" w:cs="Times New Roman"/>
          <w:b/>
          <w:bCs/>
          <w:kern w:val="0"/>
          <w:sz w:val="28"/>
          <w:szCs w:val="28"/>
        </w:rPr>
      </w:pPr>
      <w:bookmarkStart w:id="18" w:name="_Toc73518117"/>
      <w:bookmarkStart w:id="19" w:name="_Toc73521547"/>
      <w:bookmarkStart w:id="20" w:name="_Toc60560625"/>
      <w:bookmarkStart w:id="21" w:name="_Toc101074876"/>
      <w:bookmarkStart w:id="22" w:name="_Toc60631620"/>
      <w:bookmarkStart w:id="23" w:name="_Toc73517639"/>
      <w:bookmarkStart w:id="24" w:name="_Toc100052364"/>
      <w:bookmarkStart w:id="25" w:name="_Toc73521635"/>
      <w:r>
        <w:rPr>
          <w:rFonts w:hint="eastAsia" w:ascii="宋体" w:hAnsi="宋体" w:eastAsia="宋体" w:cs="Times New Roman"/>
          <w:b/>
          <w:bCs/>
          <w:kern w:val="0"/>
          <w:sz w:val="28"/>
          <w:szCs w:val="28"/>
        </w:rPr>
        <w:t>一、对通用条款的补充内容</w:t>
      </w:r>
    </w:p>
    <w:bookmarkEnd w:id="18"/>
    <w:bookmarkEnd w:id="19"/>
    <w:bookmarkEnd w:id="20"/>
    <w:bookmarkEnd w:id="21"/>
    <w:bookmarkEnd w:id="22"/>
    <w:bookmarkEnd w:id="23"/>
    <w:bookmarkEnd w:id="24"/>
    <w:bookmarkEnd w:id="25"/>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2160"/>
        <w:gridCol w:w="54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b/>
                <w:bCs/>
                <w:szCs w:val="24"/>
              </w:rPr>
            </w:pPr>
            <w:r>
              <w:rPr>
                <w:rFonts w:hint="eastAsia" w:ascii="宋体" w:hAnsi="宋体" w:eastAsia="宋体" w:cs="Times New Roman"/>
                <w:b/>
                <w:bCs/>
                <w:szCs w:val="24"/>
              </w:rPr>
              <w:t>序号</w:t>
            </w:r>
          </w:p>
        </w:tc>
        <w:tc>
          <w:tcPr>
            <w:tcW w:w="2160" w:type="dxa"/>
            <w:vAlign w:val="center"/>
          </w:tcPr>
          <w:p>
            <w:pPr>
              <w:jc w:val="center"/>
              <w:rPr>
                <w:rFonts w:ascii="宋体" w:hAnsi="宋体" w:eastAsia="宋体" w:cs="Times New Roman"/>
                <w:b/>
                <w:bCs/>
                <w:szCs w:val="24"/>
              </w:rPr>
            </w:pPr>
            <w:r>
              <w:rPr>
                <w:rFonts w:hint="eastAsia" w:ascii="宋体" w:hAnsi="宋体" w:eastAsia="宋体" w:cs="Times New Roman"/>
                <w:b/>
                <w:bCs/>
                <w:szCs w:val="24"/>
              </w:rPr>
              <w:t>内   容</w:t>
            </w:r>
          </w:p>
        </w:tc>
        <w:tc>
          <w:tcPr>
            <w:tcW w:w="5400" w:type="dxa"/>
            <w:vAlign w:val="center"/>
          </w:tcPr>
          <w:p>
            <w:pPr>
              <w:jc w:val="center"/>
              <w:rPr>
                <w:rFonts w:ascii="宋体" w:hAnsi="宋体" w:eastAsia="宋体" w:cs="Times New Roman"/>
                <w:b/>
                <w:bCs/>
                <w:szCs w:val="24"/>
              </w:rPr>
            </w:pPr>
            <w:r>
              <w:rPr>
                <w:rFonts w:hint="eastAsia" w:ascii="宋体" w:hAnsi="宋体" w:eastAsia="宋体" w:cs="Times New Roman"/>
                <w:b/>
                <w:bCs/>
                <w:szCs w:val="24"/>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1</w:t>
            </w:r>
          </w:p>
        </w:tc>
        <w:tc>
          <w:tcPr>
            <w:tcW w:w="2160" w:type="dxa"/>
            <w:vAlign w:val="center"/>
          </w:tcPr>
          <w:p>
            <w:pPr>
              <w:rPr>
                <w:rFonts w:ascii="Times New Roman" w:hAnsi="Times New Roman" w:eastAsia="宋体" w:cs="Times New Roman"/>
                <w:szCs w:val="24"/>
              </w:rPr>
            </w:pPr>
            <w:r>
              <w:rPr>
                <w:rFonts w:hint="eastAsia" w:ascii="Times New Roman" w:hAnsi="Times New Roman" w:eastAsia="宋体" w:cs="Times New Roman"/>
                <w:szCs w:val="24"/>
              </w:rPr>
              <w:t>联合体投标</w:t>
            </w:r>
          </w:p>
        </w:tc>
        <w:tc>
          <w:tcPr>
            <w:tcW w:w="5400" w:type="dxa"/>
            <w:vAlign w:val="center"/>
          </w:tcPr>
          <w:p>
            <w:pPr>
              <w:rPr>
                <w:rFonts w:ascii="宋体" w:hAnsi="宋体" w:eastAsia="宋体" w:cs="Times New Roman"/>
                <w:snapToGrid w:val="0"/>
                <w:kern w:val="0"/>
                <w:szCs w:val="32"/>
                <w:u w:val="single"/>
                <w:lang w:val="zh-CN"/>
              </w:rPr>
            </w:pPr>
            <w:r>
              <w:rPr>
                <w:rFonts w:hint="eastAsia" w:ascii="宋体" w:hAnsi="宋体" w:eastAsia="宋体" w:cs="Times New Roman"/>
                <w:snapToGrid w:val="0"/>
                <w:kern w:val="0"/>
                <w:szCs w:val="32"/>
                <w:u w:val="single"/>
                <w:lang w:val="zh-CN"/>
              </w:rPr>
              <w:t>见《招标公告》中“投标人资格要求”部分的相关内容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2</w:t>
            </w:r>
          </w:p>
        </w:tc>
        <w:tc>
          <w:tcPr>
            <w:tcW w:w="2160" w:type="dxa"/>
            <w:vAlign w:val="center"/>
          </w:tcPr>
          <w:p>
            <w:pPr>
              <w:rPr>
                <w:rFonts w:ascii="宋体" w:hAnsi="宋体" w:eastAsia="宋体" w:cs="Times New Roman"/>
                <w:szCs w:val="24"/>
              </w:rPr>
            </w:pPr>
            <w:r>
              <w:rPr>
                <w:rFonts w:hint="eastAsia" w:ascii="宋体" w:hAnsi="宋体" w:eastAsia="宋体" w:cs="Times New Roman"/>
                <w:szCs w:val="24"/>
              </w:rPr>
              <w:t>投标有效期</w:t>
            </w:r>
          </w:p>
        </w:tc>
        <w:tc>
          <w:tcPr>
            <w:tcW w:w="5400" w:type="dxa"/>
            <w:vAlign w:val="center"/>
          </w:tcPr>
          <w:p>
            <w:pPr>
              <w:rPr>
                <w:rFonts w:ascii="宋体" w:hAnsi="宋体" w:eastAsia="宋体" w:cs="Times New Roman"/>
                <w:szCs w:val="24"/>
              </w:rPr>
            </w:pPr>
            <w:r>
              <w:rPr>
                <w:rFonts w:ascii="宋体" w:hAnsi="宋体" w:eastAsia="宋体" w:cs="Times New Roman"/>
                <w:szCs w:val="24"/>
                <w:u w:val="single"/>
              </w:rPr>
              <w:t>60日历天</w:t>
            </w:r>
            <w:r>
              <w:rPr>
                <w:rFonts w:ascii="宋体" w:hAnsi="宋体" w:eastAsia="宋体" w:cs="Times New Roman"/>
                <w:szCs w:val="24"/>
              </w:rPr>
              <w:t>（从投标截止之日算起）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3</w:t>
            </w:r>
          </w:p>
        </w:tc>
        <w:tc>
          <w:tcPr>
            <w:tcW w:w="2160" w:type="dxa"/>
            <w:vAlign w:val="center"/>
          </w:tcPr>
          <w:p>
            <w:pPr>
              <w:rPr>
                <w:rFonts w:ascii="宋体" w:hAnsi="宋体" w:eastAsia="宋体" w:cs="Times New Roman"/>
                <w:szCs w:val="24"/>
              </w:rPr>
            </w:pPr>
            <w:r>
              <w:rPr>
                <w:rFonts w:hint="eastAsia" w:ascii="宋体" w:hAnsi="宋体" w:eastAsia="宋体" w:cs="Times New Roman"/>
                <w:szCs w:val="24"/>
              </w:rPr>
              <w:t>投标人的替代方案</w:t>
            </w:r>
          </w:p>
        </w:tc>
        <w:tc>
          <w:tcPr>
            <w:tcW w:w="5400" w:type="dxa"/>
            <w:vAlign w:val="center"/>
          </w:tcPr>
          <w:p>
            <w:pPr>
              <w:rPr>
                <w:rFonts w:ascii="宋体" w:hAnsi="宋体" w:eastAsia="宋体" w:cs="Times New Roman"/>
                <w:szCs w:val="24"/>
              </w:rPr>
            </w:pPr>
            <w:r>
              <w:rPr>
                <w:rFonts w:hint="eastAsia" w:ascii="宋体" w:hAnsi="宋体" w:eastAsia="宋体" w:cs="Times New Roman"/>
                <w:szCs w:val="24"/>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4</w:t>
            </w:r>
          </w:p>
        </w:tc>
        <w:tc>
          <w:tcPr>
            <w:tcW w:w="2160" w:type="dxa"/>
            <w:vAlign w:val="center"/>
          </w:tcPr>
          <w:p>
            <w:pPr>
              <w:rPr>
                <w:rFonts w:ascii="宋体" w:hAnsi="宋体" w:eastAsia="宋体" w:cs="Times New Roman"/>
                <w:szCs w:val="24"/>
              </w:rPr>
            </w:pPr>
            <w:r>
              <w:rPr>
                <w:rFonts w:hint="eastAsia" w:ascii="宋体" w:hAnsi="宋体" w:eastAsia="宋体" w:cs="Times New Roman"/>
                <w:szCs w:val="24"/>
              </w:rPr>
              <w:t>投标文件的投递</w:t>
            </w:r>
          </w:p>
        </w:tc>
        <w:tc>
          <w:tcPr>
            <w:tcW w:w="5400" w:type="dxa"/>
            <w:vAlign w:val="center"/>
          </w:tcPr>
          <w:p>
            <w:pPr>
              <w:rPr>
                <w:rFonts w:ascii="宋体" w:hAnsi="宋体" w:eastAsia="宋体" w:cs="Times New Roman"/>
                <w:szCs w:val="24"/>
              </w:rPr>
            </w:pPr>
            <w:r>
              <w:rPr>
                <w:rFonts w:hint="eastAsia" w:ascii="宋体" w:hAnsi="宋体" w:eastAsia="宋体" w:cs="Times New Roman"/>
                <w:szCs w:val="24"/>
              </w:rPr>
              <w:t>投标人必须在招标文件规定的投标截止时间前将密封的投标文件</w:t>
            </w:r>
            <w:r>
              <w:rPr>
                <w:rFonts w:hint="eastAsia" w:ascii="宋体" w:hAnsi="宋体" w:eastAsia="宋体" w:cs="Times New Roman"/>
                <w:color w:val="FF0000"/>
                <w:szCs w:val="24"/>
              </w:rPr>
              <w:t>邮寄</w:t>
            </w:r>
            <w:r>
              <w:rPr>
                <w:rFonts w:hint="eastAsia" w:ascii="宋体" w:hAnsi="宋体" w:eastAsia="宋体" w:cs="Times New Roman"/>
                <w:szCs w:val="24"/>
              </w:rPr>
              <w:t>到深圳大学招投标管理中心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eastAsia="宋体" w:cs="Times New Roman"/>
                <w:szCs w:val="24"/>
              </w:rPr>
            </w:pPr>
            <w:r>
              <w:rPr>
                <w:rFonts w:hint="eastAsia" w:ascii="宋体" w:hAnsi="宋体" w:eastAsia="宋体" w:cs="Times New Roman"/>
                <w:szCs w:val="24"/>
              </w:rPr>
              <w:t>5</w:t>
            </w:r>
          </w:p>
        </w:tc>
        <w:tc>
          <w:tcPr>
            <w:tcW w:w="2160" w:type="dxa"/>
            <w:tcBorders>
              <w:top w:val="single" w:color="auto" w:sz="6" w:space="0"/>
              <w:left w:val="single" w:color="auto" w:sz="6" w:space="0"/>
              <w:bottom w:val="single" w:color="auto" w:sz="6" w:space="0"/>
              <w:right w:val="single" w:color="auto" w:sz="6" w:space="0"/>
            </w:tcBorders>
            <w:vAlign w:val="center"/>
          </w:tcPr>
          <w:p>
            <w:pPr>
              <w:rPr>
                <w:rFonts w:ascii="宋体" w:hAnsi="宋体" w:eastAsia="宋体" w:cs="Times New Roman"/>
                <w:szCs w:val="24"/>
              </w:rPr>
            </w:pPr>
            <w:r>
              <w:rPr>
                <w:rFonts w:hint="eastAsia" w:ascii="宋体" w:hAnsi="宋体" w:eastAsia="宋体" w:cs="Times New Roman"/>
                <w:szCs w:val="24"/>
              </w:rPr>
              <w:t>投标文件</w:t>
            </w:r>
          </w:p>
        </w:tc>
        <w:tc>
          <w:tcPr>
            <w:tcW w:w="5400" w:type="dxa"/>
            <w:tcBorders>
              <w:top w:val="single" w:color="auto" w:sz="6" w:space="0"/>
              <w:left w:val="single" w:color="auto" w:sz="6" w:space="0"/>
              <w:bottom w:val="single" w:color="auto" w:sz="6" w:space="0"/>
              <w:right w:val="double" w:color="auto" w:sz="4" w:space="0"/>
            </w:tcBorders>
            <w:vAlign w:val="center"/>
          </w:tcPr>
          <w:p>
            <w:pPr>
              <w:rPr>
                <w:rFonts w:ascii="宋体" w:hAnsi="宋体"/>
              </w:rPr>
            </w:pPr>
            <w:r>
              <w:rPr>
                <w:rFonts w:hint="eastAsia" w:ascii="宋体" w:hAnsi="宋体"/>
              </w:rPr>
              <w:t>投标文件正本</w:t>
            </w:r>
            <w:r>
              <w:rPr>
                <w:rFonts w:hint="eastAsia" w:ascii="宋体" w:hAnsi="宋体"/>
                <w:color w:val="FF0000"/>
              </w:rPr>
              <w:t>一</w:t>
            </w:r>
            <w:r>
              <w:rPr>
                <w:rFonts w:hint="eastAsia" w:ascii="宋体" w:hAnsi="宋体"/>
              </w:rPr>
              <w:t xml:space="preserve">份，副本 </w:t>
            </w:r>
            <w:r>
              <w:rPr>
                <w:rFonts w:hint="eastAsia" w:ascii="宋体" w:hAnsi="宋体"/>
                <w:color w:val="FF0000"/>
              </w:rPr>
              <w:t>四</w:t>
            </w:r>
            <w:r>
              <w:rPr>
                <w:rFonts w:hint="eastAsia" w:ascii="宋体" w:hAnsi="宋体"/>
              </w:rPr>
              <w:t xml:space="preserve"> 份，份数不足按投标无效处理。</w:t>
            </w:r>
          </w:p>
          <w:p>
            <w:pPr>
              <w:rPr>
                <w:rFonts w:ascii="宋体" w:hAnsi="宋体"/>
              </w:rPr>
            </w:pPr>
            <w:r>
              <w:rPr>
                <w:rFonts w:hint="eastAsia" w:ascii="宋体" w:hAnsi="宋体"/>
              </w:rPr>
              <w:t>投标文件采用A4版胶印装订，不得采用活页夹装订，投标文件中的任何一页不能是裁剪粘贴式的，否则按投标无效处理。</w:t>
            </w:r>
          </w:p>
          <w:p>
            <w:pPr>
              <w:rPr>
                <w:rFonts w:ascii="宋体" w:hAnsi="宋体" w:eastAsia="宋体" w:cs="Times New Roman"/>
                <w:szCs w:val="24"/>
              </w:rPr>
            </w:pPr>
            <w:r>
              <w:rPr>
                <w:rFonts w:hint="eastAsia" w:ascii="宋体" w:hAnsi="宋体"/>
              </w:rPr>
              <w:t>投标文件需投标一览表</w:t>
            </w:r>
            <w:r>
              <w:rPr>
                <w:rFonts w:hint="eastAsia" w:ascii="宋体" w:hAnsi="宋体"/>
                <w:szCs w:val="21"/>
              </w:rPr>
              <w:t>及电子文件光盘需另外再单独密封一份提交。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eastAsia="宋体" w:cs="Times New Roman"/>
                <w:szCs w:val="24"/>
              </w:rPr>
            </w:pPr>
            <w:r>
              <w:rPr>
                <w:rFonts w:hint="eastAsia" w:ascii="宋体" w:hAnsi="宋体" w:eastAsia="宋体" w:cs="Times New Roman"/>
                <w:szCs w:val="24"/>
              </w:rPr>
              <w:t>6</w:t>
            </w:r>
          </w:p>
        </w:tc>
        <w:tc>
          <w:tcPr>
            <w:tcW w:w="2160" w:type="dxa"/>
            <w:vAlign w:val="center"/>
          </w:tcPr>
          <w:p>
            <w:pPr>
              <w:rPr>
                <w:rFonts w:ascii="宋体" w:hAnsi="宋体" w:eastAsia="宋体" w:cs="Times New Roman"/>
                <w:szCs w:val="24"/>
              </w:rPr>
            </w:pPr>
            <w:r>
              <w:rPr>
                <w:rFonts w:hint="eastAsia" w:ascii="宋体" w:hAnsi="宋体" w:eastAsia="宋体" w:cs="Times New Roman"/>
                <w:szCs w:val="24"/>
              </w:rPr>
              <w:t>履约担保金额</w:t>
            </w:r>
          </w:p>
        </w:tc>
        <w:tc>
          <w:tcPr>
            <w:tcW w:w="5400" w:type="dxa"/>
            <w:vAlign w:val="center"/>
          </w:tcPr>
          <w:p>
            <w:pPr>
              <w:rPr>
                <w:rFonts w:ascii="宋体" w:hAnsi="宋体" w:eastAsia="宋体" w:cs="Times New Roman"/>
                <w:szCs w:val="24"/>
              </w:rPr>
            </w:pPr>
            <w:r>
              <w:rPr>
                <w:rFonts w:hint="eastAsia"/>
                <w:color w:val="FF0000"/>
                <w:szCs w:val="21"/>
                <w:u w:val="single"/>
              </w:rPr>
              <w:t>5</w:t>
            </w:r>
            <w:r>
              <w:rPr>
                <w:color w:val="FF0000"/>
                <w:szCs w:val="21"/>
                <w:u w:val="single"/>
              </w:rPr>
              <w:t>0万元。</w:t>
            </w:r>
            <w:r>
              <w:rPr>
                <w:rFonts w:hint="eastAsia" w:ascii="宋体" w:hAnsi="宋体" w:eastAsia="宋体" w:cs="Times New Roman"/>
                <w:color w:val="FF0000"/>
                <w:szCs w:val="24"/>
              </w:rPr>
              <w:t>合同期满无违约事项无息退还。</w:t>
            </w:r>
          </w:p>
        </w:tc>
      </w:tr>
    </w:tbl>
    <w:p>
      <w:pPr>
        <w:rPr>
          <w:rFonts w:ascii="Times New Roman" w:hAnsi="Times New Roman" w:eastAsia="宋体" w:cs="Times New Roman"/>
          <w:b/>
          <w:szCs w:val="24"/>
        </w:rPr>
      </w:pPr>
      <w:r>
        <w:rPr>
          <w:rFonts w:hint="eastAsia" w:ascii="Times New Roman" w:hAnsi="Times New Roman" w:eastAsia="宋体" w:cs="Times New Roman"/>
          <w:szCs w:val="21"/>
        </w:rPr>
        <w:t>备注：本表为通用条款相关内容的补充和明确，如与通用条款相冲突的以本表为准。</w:t>
      </w:r>
    </w:p>
    <w:p>
      <w:pPr>
        <w:keepNext/>
        <w:keepLines/>
        <w:adjustRightInd w:val="0"/>
        <w:spacing w:before="231" w:beforeLines="50" w:after="231" w:afterLines="50"/>
        <w:jc w:val="center"/>
        <w:textAlignment w:val="baseline"/>
        <w:outlineLvl w:val="1"/>
        <w:rPr>
          <w:rFonts w:ascii="宋体" w:hAnsi="宋体" w:eastAsia="宋体" w:cs="Times New Roman"/>
          <w:b/>
          <w:bCs/>
          <w:kern w:val="0"/>
          <w:sz w:val="28"/>
          <w:szCs w:val="28"/>
        </w:rPr>
      </w:pPr>
      <w:bookmarkStart w:id="26" w:name="_Toc128884461"/>
      <w:r>
        <w:rPr>
          <w:rFonts w:hint="eastAsia" w:ascii="宋体" w:hAnsi="宋体" w:eastAsia="宋体" w:cs="Times New Roman"/>
          <w:b/>
          <w:bCs/>
          <w:kern w:val="0"/>
          <w:sz w:val="28"/>
          <w:szCs w:val="28"/>
        </w:rPr>
        <w:t>二、项目概况</w:t>
      </w:r>
      <w:bookmarkEnd w:id="26"/>
    </w:p>
    <w:p>
      <w:pPr>
        <w:pStyle w:val="3"/>
        <w:ind w:firstLine="482" w:firstLineChars="200"/>
        <w:rPr>
          <w:rFonts w:ascii="仿宋" w:hAnsi="仿宋" w:cs="仿宋"/>
        </w:rPr>
      </w:pPr>
      <w:r>
        <w:rPr>
          <w:rFonts w:hint="eastAsia" w:ascii="仿宋" w:hAnsi="仿宋" w:cs="仿宋"/>
        </w:rPr>
        <w:t>（一）深圳大学丽湖校区二期将于2021年9月正式投入使用，经济学院、管理学院和法学院完成搬迁后，校区学生人数规模将达15000人，校区总人数约为20000人。</w:t>
      </w:r>
    </w:p>
    <w:p>
      <w:pPr>
        <w:pStyle w:val="3"/>
        <w:ind w:firstLine="482" w:firstLineChars="200"/>
        <w:rPr>
          <w:rFonts w:ascii="仿宋" w:hAnsi="仿宋" w:cs="仿宋"/>
        </w:rPr>
      </w:pPr>
      <w:r>
        <w:rPr>
          <w:rFonts w:hint="eastAsia" w:ascii="仿宋" w:hAnsi="仿宋" w:cs="仿宋"/>
        </w:rPr>
        <w:t>（二）此次招标拟将深圳大学丽湖校区二期独栋餐厅的二层和三层联合外包，由一家餐饮企业统筹管理。餐厅二层的总面积约2330㎡（厨房面积880㎡，用餐区域面积1450㎡ ），设计座位592个；餐厅三层的总面积约 2330㎡（厨房面积880㎡,用餐区域面积145O㎡），设计座位664个。</w:t>
      </w:r>
    </w:p>
    <w:p>
      <w:pPr>
        <w:pStyle w:val="3"/>
        <w:ind w:firstLine="482" w:firstLineChars="200"/>
        <w:rPr>
          <w:rFonts w:ascii="仿宋" w:hAnsi="仿宋" w:cs="仿宋"/>
        </w:rPr>
      </w:pPr>
      <w:r>
        <w:rPr>
          <w:rFonts w:hint="eastAsia" w:ascii="仿宋" w:hAnsi="仿宋" w:cs="仿宋"/>
        </w:rPr>
        <w:t>（三）窗口情况：独栋餐厅二层共提供26个窗口，其中12 个大众窗口14 个特色风味窗口；独栋三层共12个窗口，全部设为特色风味窗口。</w:t>
      </w:r>
    </w:p>
    <w:p>
      <w:pPr>
        <w:pStyle w:val="3"/>
        <w:ind w:firstLine="482" w:firstLineChars="200"/>
        <w:rPr>
          <w:rFonts w:ascii="仿宋" w:hAnsi="仿宋" w:cs="仿宋"/>
        </w:rPr>
      </w:pPr>
      <w:r>
        <w:rPr>
          <w:rFonts w:hint="eastAsia" w:ascii="仿宋" w:hAnsi="仿宋" w:cs="仿宋"/>
        </w:rPr>
        <w:t>（四）设备情况：深圳大学提供该项目所涉及的后厨主要设备（冰库、抽排风系统等硬装设备）、接水接电固定设备（如炉头，星盆，烤箱等设备）、用餐桌椅、监控设备等的使用权及餐厅的餐饮服务经营权，中标方仅配合需求完成软装建设，并根据实际经营需要自行购置添加相关设施设备及厨具，按照采购方要求提供服务。</w:t>
      </w:r>
    </w:p>
    <w:p>
      <w:pPr>
        <w:pStyle w:val="3"/>
        <w:ind w:firstLine="482" w:firstLineChars="200"/>
        <w:rPr>
          <w:rFonts w:ascii="仿宋" w:hAnsi="仿宋" w:cs="仿宋"/>
        </w:rPr>
      </w:pPr>
      <w:r>
        <w:rPr>
          <w:rFonts w:hint="eastAsia" w:ascii="仿宋" w:hAnsi="仿宋" w:cs="仿宋"/>
        </w:rPr>
        <w:t>（五）服务范围：本次招标的餐厅面向丽湖校区师生及校内教职工提供服务，未经深圳大学许可，严禁中标方利用该资源对外经营。</w:t>
      </w:r>
    </w:p>
    <w:p>
      <w:pPr>
        <w:keepNext/>
        <w:keepLines/>
        <w:adjustRightInd w:val="0"/>
        <w:spacing w:before="231" w:beforeLines="50" w:after="231" w:afterLines="5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三、项目内容</w:t>
      </w:r>
      <w:r>
        <w:rPr>
          <w:rFonts w:ascii="宋体" w:hAnsi="宋体" w:eastAsia="宋体" w:cs="Times New Roman"/>
          <w:b/>
          <w:bCs/>
          <w:kern w:val="0"/>
          <w:sz w:val="28"/>
          <w:szCs w:val="28"/>
        </w:rPr>
        <w:t>及技术要求</w:t>
      </w:r>
    </w:p>
    <w:p>
      <w:pPr>
        <w:pStyle w:val="3"/>
        <w:ind w:firstLine="482" w:firstLineChars="200"/>
        <w:rPr>
          <w:rFonts w:ascii="仿宋" w:hAnsi="仿宋" w:cs="仿宋"/>
        </w:rPr>
      </w:pPr>
      <w:r>
        <w:rPr>
          <w:rFonts w:hint="eastAsia" w:ascii="仿宋" w:hAnsi="仿宋" w:cs="仿宋"/>
        </w:rPr>
        <w:t>（一）相关费用</w:t>
      </w:r>
    </w:p>
    <w:p>
      <w:pPr>
        <w:pStyle w:val="3"/>
        <w:ind w:firstLine="482" w:firstLineChars="200"/>
        <w:rPr>
          <w:rFonts w:ascii="仿宋" w:hAnsi="仿宋" w:cs="仿宋"/>
        </w:rPr>
      </w:pPr>
      <w:r>
        <w:rPr>
          <w:rFonts w:hint="eastAsia" w:ascii="仿宋" w:hAnsi="仿宋" w:cs="仿宋"/>
        </w:rPr>
        <w:t>（1）场地租赁费：采取“零”租赁方式，免收场地租金。</w:t>
      </w:r>
    </w:p>
    <w:p>
      <w:pPr>
        <w:pStyle w:val="3"/>
        <w:ind w:firstLine="482" w:firstLineChars="200"/>
        <w:rPr>
          <w:rFonts w:ascii="仿宋" w:hAnsi="仿宋" w:cs="仿宋"/>
        </w:rPr>
      </w:pPr>
      <w:r>
        <w:rPr>
          <w:rFonts w:hint="eastAsia" w:ascii="仿宋" w:hAnsi="仿宋" w:cs="仿宋"/>
        </w:rPr>
        <w:t>（2）设施设备租赁、折旧费：学校提供的设备、厨具归深圳大学所有，采取“零”租赁方式，免收租赁费，免收设施设备折旧费。但在经营过程中产生的设备维护维修费用，需由中标方承担。由中标方自行购置的设备、厨具等归中标方所有，退场时由中标方自行处置，但须提前向深圳大学报备。</w:t>
      </w:r>
    </w:p>
    <w:p>
      <w:pPr>
        <w:pStyle w:val="3"/>
        <w:ind w:firstLine="482" w:firstLineChars="200"/>
        <w:rPr>
          <w:rFonts w:ascii="仿宋" w:hAnsi="仿宋" w:cs="仿宋"/>
        </w:rPr>
      </w:pPr>
      <w:r>
        <w:rPr>
          <w:rFonts w:hint="eastAsia" w:ascii="仿宋" w:hAnsi="仿宋" w:cs="仿宋"/>
        </w:rPr>
        <w:t>（3）履约保证金：在签订合同前，中标方将履约保证金人民币伍拾万元</w:t>
      </w:r>
      <w:r>
        <w:rPr>
          <w:rFonts w:ascii="仿宋" w:hAnsi="仿宋" w:cs="仿宋"/>
        </w:rPr>
        <w:t>( ¥500,000.00</w:t>
      </w:r>
      <w:r>
        <w:rPr>
          <w:rFonts w:hint="eastAsia" w:ascii="仿宋" w:hAnsi="仿宋" w:cs="仿宋"/>
        </w:rPr>
        <w:t>）汇入学校指定的银行账号。合同期满，深圳大学在中标方无违约并已完全承担全部经济与法律责任后无息返还。</w:t>
      </w:r>
    </w:p>
    <w:p>
      <w:pPr>
        <w:pStyle w:val="3"/>
        <w:ind w:firstLine="482" w:firstLineChars="200"/>
        <w:rPr>
          <w:rFonts w:ascii="仿宋" w:hAnsi="仿宋" w:cs="仿宋"/>
        </w:rPr>
      </w:pPr>
      <w:r>
        <w:rPr>
          <w:rFonts w:hint="eastAsia" w:ascii="仿宋" w:hAnsi="仿宋" w:cs="仿宋"/>
        </w:rPr>
        <w:t>（4）水、电、燃气、垃圾清运等费用：中标方按月缴纳水、电、燃气、垃圾清运等费用，价格标准按国家政策、广东省、深圳市和深圳大学的有关规定执行。</w:t>
      </w:r>
    </w:p>
    <w:p>
      <w:pPr>
        <w:pStyle w:val="3"/>
        <w:ind w:firstLine="482" w:firstLineChars="200"/>
        <w:rPr>
          <w:rFonts w:ascii="仿宋" w:hAnsi="仿宋" w:cs="仿宋"/>
        </w:rPr>
      </w:pPr>
      <w:r>
        <w:rPr>
          <w:rFonts w:hint="eastAsia" w:ascii="仿宋" w:hAnsi="仿宋" w:cs="仿宋"/>
        </w:rPr>
        <w:t>（</w:t>
      </w:r>
      <w:r>
        <w:rPr>
          <w:rFonts w:ascii="仿宋" w:hAnsi="仿宋" w:cs="仿宋"/>
        </w:rPr>
        <w:t>5</w:t>
      </w:r>
      <w:r>
        <w:rPr>
          <w:rFonts w:hint="eastAsia" w:ascii="仿宋" w:hAnsi="仿宋" w:cs="仿宋"/>
        </w:rPr>
        <w:t>）校园卡机管理费：经营过程中所涉及的深圳大学校园卡机购置费、使用手续费等由中标方自行承担。</w:t>
      </w:r>
    </w:p>
    <w:p>
      <w:pPr>
        <w:pStyle w:val="3"/>
        <w:ind w:firstLine="482" w:firstLineChars="200"/>
        <w:rPr>
          <w:rFonts w:ascii="仿宋" w:hAnsi="仿宋" w:cs="仿宋"/>
        </w:rPr>
      </w:pPr>
      <w:r>
        <w:rPr>
          <w:rFonts w:hint="eastAsia" w:ascii="仿宋" w:hAnsi="仿宋" w:cs="仿宋"/>
        </w:rPr>
        <w:t>（</w:t>
      </w:r>
      <w:r>
        <w:rPr>
          <w:rFonts w:ascii="仿宋" w:hAnsi="仿宋" w:cs="仿宋"/>
        </w:rPr>
        <w:t>6</w:t>
      </w:r>
      <w:r>
        <w:rPr>
          <w:rFonts w:hint="eastAsia" w:ascii="仿宋" w:hAnsi="仿宋" w:cs="仿宋"/>
        </w:rPr>
        <w:t>）承诺在经营期间由于食品安全、人员管理、环境漏洞等因素造成的安全事件，产生的治疗、安抚等费用，由中标方承担。</w:t>
      </w:r>
    </w:p>
    <w:p>
      <w:pPr>
        <w:pStyle w:val="3"/>
        <w:ind w:firstLine="482" w:firstLineChars="200"/>
        <w:rPr>
          <w:rFonts w:ascii="仿宋" w:hAnsi="仿宋" w:cs="仿宋"/>
          <w:color w:val="FF0000"/>
        </w:rPr>
      </w:pPr>
      <w:r>
        <w:rPr>
          <w:rFonts w:hint="eastAsia" w:ascii="仿宋" w:hAnsi="仿宋" w:cs="仿宋"/>
          <w:color w:val="FF0000"/>
        </w:rPr>
        <w:t>（</w:t>
      </w:r>
      <w:r>
        <w:rPr>
          <w:rFonts w:ascii="仿宋" w:hAnsi="仿宋" w:cs="仿宋"/>
          <w:color w:val="FF0000"/>
        </w:rPr>
        <w:t>7</w:t>
      </w:r>
      <w:r>
        <w:rPr>
          <w:rFonts w:hint="eastAsia" w:ascii="仿宋" w:hAnsi="仿宋" w:cs="仿宋"/>
          <w:color w:val="FF0000"/>
        </w:rPr>
        <w:t>）中标方需提供</w:t>
      </w:r>
      <w:r>
        <w:rPr>
          <w:rFonts w:hint="eastAsia" w:ascii="宋体" w:hAnsi="宋体" w:cs="宋体"/>
          <w:color w:val="FF0000"/>
          <w:kern w:val="0"/>
          <w:szCs w:val="21"/>
        </w:rPr>
        <w:t>开户许可证或基本存款账户信息及保证金缴纳凭证；</w:t>
      </w:r>
    </w:p>
    <w:p>
      <w:pPr>
        <w:pStyle w:val="3"/>
        <w:ind w:firstLine="482" w:firstLineChars="200"/>
        <w:rPr>
          <w:rFonts w:ascii="仿宋" w:hAnsi="仿宋" w:cs="仿宋"/>
        </w:rPr>
      </w:pPr>
      <w:r>
        <w:rPr>
          <w:rFonts w:hint="eastAsia" w:ascii="仿宋" w:hAnsi="仿宋" w:cs="仿宋"/>
        </w:rPr>
        <w:t>（</w:t>
      </w:r>
      <w:r>
        <w:rPr>
          <w:rFonts w:ascii="仿宋" w:hAnsi="仿宋" w:cs="仿宋"/>
        </w:rPr>
        <w:t>8</w:t>
      </w:r>
      <w:r>
        <w:rPr>
          <w:rFonts w:hint="eastAsia" w:ascii="仿宋" w:hAnsi="仿宋" w:cs="仿宋"/>
        </w:rPr>
        <w:t>）其他费用：承包经营期间，如发生政府有关部门征收与餐厅经营管理有关而合同中未列出的其它项目费用，由中标方按有关规定缴纳。</w:t>
      </w:r>
    </w:p>
    <w:p>
      <w:pPr>
        <w:pStyle w:val="3"/>
        <w:kinsoku w:val="0"/>
        <w:overflowPunct w:val="0"/>
        <w:ind w:firstLine="472" w:firstLineChars="196"/>
        <w:rPr>
          <w:rFonts w:ascii="仿宋" w:hAnsi="仿宋" w:cs="仿宋"/>
        </w:rPr>
      </w:pPr>
      <w:r>
        <w:rPr>
          <w:rFonts w:hint="eastAsia" w:ascii="仿宋" w:hAnsi="仿宋" w:cs="仿宋"/>
        </w:rPr>
        <w:t>（二）、管理与服务要求</w:t>
      </w:r>
    </w:p>
    <w:p>
      <w:pPr>
        <w:pStyle w:val="3"/>
        <w:kinsoku w:val="0"/>
        <w:overflowPunct w:val="0"/>
        <w:ind w:firstLine="482" w:firstLineChars="200"/>
        <w:rPr>
          <w:rFonts w:ascii="仿宋" w:hAnsi="仿宋" w:cs="仿宋"/>
        </w:rPr>
      </w:pPr>
      <w:r>
        <w:rPr>
          <w:rFonts w:hint="eastAsia" w:ascii="仿宋" w:hAnsi="仿宋" w:cs="仿宋"/>
        </w:rPr>
        <w:t>1</w:t>
      </w:r>
      <w:r>
        <w:rPr>
          <w:rFonts w:ascii="仿宋" w:hAnsi="仿宋" w:cs="仿宋"/>
        </w:rPr>
        <w:t>.</w:t>
      </w:r>
      <w:r>
        <w:rPr>
          <w:rFonts w:hint="eastAsia" w:ascii="仿宋" w:hAnsi="仿宋" w:cs="仿宋"/>
        </w:rPr>
        <w:t xml:space="preserve"> 经营方案</w:t>
      </w:r>
    </w:p>
    <w:p>
      <w:pPr>
        <w:pStyle w:val="3"/>
        <w:ind w:firstLine="482" w:firstLineChars="200"/>
        <w:rPr>
          <w:rFonts w:ascii="仿宋" w:hAnsi="仿宋" w:cs="仿宋"/>
        </w:rPr>
      </w:pPr>
      <w:r>
        <w:rPr>
          <w:rFonts w:ascii="仿宋" w:hAnsi="仿宋" w:cs="仿宋"/>
        </w:rPr>
        <w:t>1.1.</w:t>
      </w:r>
      <w:r>
        <w:rPr>
          <w:rFonts w:hint="eastAsia" w:ascii="仿宋" w:hAnsi="仿宋" w:cs="仿宋"/>
        </w:rPr>
        <w:t>规划：中标方应严格按照招标文件“项目概况”中对各餐厅经营范围的说明做好餐厅各经营窗口的规划，依据学校要求完成窗口及就餐区域的装修，购置所需设施设备。不能随意改动房屋结构和设施位置；不得超出经营范围；不得占用餐厅外围开展其他经营项目；不得将经营场所整体转租；不得擅自调整窗口经营类型，不得减少大众伙食窗口所占比例%。</w:t>
      </w:r>
    </w:p>
    <w:p>
      <w:pPr>
        <w:pStyle w:val="3"/>
        <w:ind w:firstLine="482" w:firstLineChars="200"/>
        <w:rPr>
          <w:rFonts w:ascii="仿宋" w:hAnsi="仿宋" w:cs="仿宋"/>
        </w:rPr>
      </w:pPr>
      <w:r>
        <w:rPr>
          <w:rFonts w:ascii="仿宋" w:hAnsi="仿宋" w:cs="仿宋"/>
        </w:rPr>
        <w:t>1.2.</w:t>
      </w:r>
      <w:r>
        <w:rPr>
          <w:rFonts w:hint="eastAsia" w:ascii="仿宋" w:hAnsi="仿宋" w:cs="仿宋"/>
        </w:rPr>
        <w:t>报备：中标方如需调整经营布局、加设摊档或增加新项目，需以书面形式（包括但不限于图片、价格、主材与辅材分量比例说明等），报学校核准后方能实施 。</w:t>
      </w:r>
    </w:p>
    <w:p>
      <w:pPr>
        <w:pStyle w:val="3"/>
        <w:ind w:firstLine="482" w:firstLineChars="200"/>
        <w:rPr>
          <w:rFonts w:ascii="仿宋" w:hAnsi="仿宋" w:cs="仿宋"/>
        </w:rPr>
      </w:pPr>
      <w:r>
        <w:rPr>
          <w:rFonts w:ascii="仿宋" w:hAnsi="仿宋" w:cs="仿宋"/>
        </w:rPr>
        <w:t>1.3.</w:t>
      </w:r>
      <w:r>
        <w:rPr>
          <w:rFonts w:hint="eastAsia" w:ascii="仿宋" w:hAnsi="仿宋" w:cs="仿宋"/>
        </w:rPr>
        <w:t>中标方需配合学校高水平、智慧化大学的建设，加强餐厅服务的国际化理念，配置中英对照标识，增设外国风味等菜式（如西式简餐、东南亚风味餐食、面食类、铁板类、素食等），并购置相应餐具积极推进餐厅节俭用餐，推行光盘行动，窗口设置“半份半价”；增设小炒窗口团餐服务，满足师生聚餐需求（如设立</w:t>
      </w:r>
      <w:r>
        <w:rPr>
          <w:rFonts w:ascii="仿宋" w:hAnsi="仿宋" w:cs="仿宋"/>
        </w:rPr>
        <w:t xml:space="preserve">3-4 </w:t>
      </w:r>
      <w:r>
        <w:rPr>
          <w:rFonts w:hint="eastAsia" w:ascii="仿宋" w:hAnsi="仿宋" w:cs="仿宋"/>
        </w:rPr>
        <w:t>人、</w:t>
      </w:r>
      <w:r>
        <w:rPr>
          <w:rFonts w:ascii="仿宋" w:hAnsi="仿宋" w:cs="仿宋"/>
        </w:rPr>
        <w:t>6-8</w:t>
      </w:r>
      <w:r>
        <w:rPr>
          <w:rFonts w:hint="eastAsia" w:ascii="仿宋" w:hAnsi="仿宋" w:cs="仿宋"/>
        </w:rPr>
        <w:t>人团餐供餐模式）；紧跟时代发展，植入智慧化建设理念（如智慧化供餐、核价结算、数据统计、意见反馈等服务）。</w:t>
      </w:r>
    </w:p>
    <w:p>
      <w:pPr>
        <w:pStyle w:val="3"/>
        <w:ind w:firstLine="482" w:firstLineChars="200"/>
        <w:rPr>
          <w:rFonts w:ascii="仿宋" w:hAnsi="仿宋" w:cs="仿宋"/>
        </w:rPr>
      </w:pPr>
      <w:r>
        <w:rPr>
          <w:rFonts w:hint="eastAsia" w:ascii="仿宋" w:hAnsi="仿宋" w:cs="仿宋"/>
        </w:rPr>
        <w:t>2</w:t>
      </w:r>
      <w:r>
        <w:rPr>
          <w:rFonts w:ascii="仿宋" w:hAnsi="仿宋" w:cs="仿宋"/>
        </w:rPr>
        <w:t>.</w:t>
      </w:r>
      <w:r>
        <w:rPr>
          <w:rFonts w:hint="eastAsia" w:ascii="仿宋" w:hAnsi="仿宋" w:cs="仿宋"/>
        </w:rPr>
        <w:t>管理制度</w:t>
      </w:r>
    </w:p>
    <w:p>
      <w:pPr>
        <w:pStyle w:val="3"/>
        <w:ind w:firstLine="482" w:firstLineChars="200"/>
        <w:rPr>
          <w:rFonts w:ascii="仿宋" w:hAnsi="仿宋" w:cs="仿宋"/>
        </w:rPr>
      </w:pPr>
      <w:r>
        <w:rPr>
          <w:rFonts w:hint="eastAsia" w:ascii="仿宋" w:hAnsi="仿宋" w:cs="仿宋"/>
        </w:rPr>
        <w:t>建立和健全财务管理、人事管理、用工培训、民主管理、工作规范、文明服务、食品采购、仓储管理、操作规程、食品安全、卫生保障、质量监督、价格管理及应急预案等各项制度，并向学校提供方案说明。</w:t>
      </w:r>
    </w:p>
    <w:p>
      <w:pPr>
        <w:pStyle w:val="3"/>
        <w:ind w:firstLine="482" w:firstLineChars="200"/>
        <w:rPr>
          <w:rFonts w:ascii="仿宋" w:hAnsi="仿宋" w:cs="仿宋"/>
        </w:rPr>
      </w:pPr>
      <w:r>
        <w:rPr>
          <w:rFonts w:hint="eastAsia" w:ascii="仿宋" w:hAnsi="仿宋" w:cs="仿宋"/>
        </w:rPr>
        <w:t>3</w:t>
      </w:r>
      <w:r>
        <w:rPr>
          <w:rFonts w:ascii="仿宋" w:hAnsi="仿宋" w:cs="仿宋"/>
        </w:rPr>
        <w:t>.</w:t>
      </w:r>
      <w:r>
        <w:rPr>
          <w:rFonts w:hint="eastAsia" w:ascii="仿宋" w:hAnsi="仿宋" w:cs="仿宋"/>
        </w:rPr>
        <w:t xml:space="preserve"> 菜品质量</w:t>
      </w:r>
    </w:p>
    <w:p>
      <w:pPr>
        <w:pStyle w:val="3"/>
        <w:ind w:firstLine="482" w:firstLineChars="200"/>
        <w:rPr>
          <w:rFonts w:ascii="仿宋" w:hAnsi="仿宋" w:cs="仿宋"/>
        </w:rPr>
      </w:pPr>
      <w:r>
        <w:rPr>
          <w:rFonts w:ascii="仿宋" w:hAnsi="仿宋" w:cs="仿宋"/>
        </w:rPr>
        <w:t>3.</w:t>
      </w:r>
      <w:r>
        <w:rPr>
          <w:rFonts w:hint="eastAsia" w:ascii="仿宋" w:hAnsi="仿宋" w:cs="仿宋"/>
        </w:rPr>
        <w:t>1. 饭菜质量要求：饭菜质量满足大多数就餐者的要求，符合现代科学营养搭配，以粤菜为主 ，平衡南北方菜品数量，结合西方特色餐饮及厨师创意菜，保证菜式丰富、卫生、无异味，口味多元。</w:t>
      </w:r>
    </w:p>
    <w:p>
      <w:pPr>
        <w:pStyle w:val="3"/>
        <w:ind w:firstLine="482" w:firstLineChars="200"/>
        <w:rPr>
          <w:rFonts w:ascii="仿宋" w:hAnsi="仿宋" w:cs="仿宋"/>
        </w:rPr>
      </w:pPr>
      <w:r>
        <w:rPr>
          <w:rFonts w:ascii="仿宋" w:hAnsi="仿宋" w:cs="仿宋"/>
        </w:rPr>
        <w:t>3.</w:t>
      </w:r>
      <w:r>
        <w:rPr>
          <w:rFonts w:hint="eastAsia" w:ascii="仿宋" w:hAnsi="仿宋" w:cs="仿宋"/>
        </w:rPr>
        <w:t>2. 主食、菜品种类要求 ：早餐：流质品种至少 5 个，中式米面主食类至少15 个，风味咸菜类至少 3 个，西式主食类至少 6 个。午晚餐：主食至少 5 个，主食和副食（ 菜 ）总量至少 50 个。每周应有相应的菜谱 ，并建立适用的菜品反 馈机制和退出机制 ，保证每月应有10% 以上品种的销售末位莱品进行大幅度的改善或者更换。如中标方投标文件菜品种类方案优于以上要求，按中标方投标文件执行。</w:t>
      </w:r>
    </w:p>
    <w:p>
      <w:pPr>
        <w:pStyle w:val="3"/>
        <w:ind w:firstLine="482" w:firstLineChars="200"/>
        <w:rPr>
          <w:rFonts w:ascii="仿宋" w:hAnsi="仿宋" w:cs="仿宋"/>
        </w:rPr>
      </w:pPr>
      <w:r>
        <w:rPr>
          <w:rFonts w:ascii="仿宋" w:hAnsi="仿宋" w:cs="仿宋"/>
        </w:rPr>
        <w:t>3.</w:t>
      </w:r>
      <w:r>
        <w:rPr>
          <w:rFonts w:hint="eastAsia" w:ascii="仿宋" w:hAnsi="仿宋" w:cs="仿宋"/>
        </w:rPr>
        <w:t>3.菜品份量要求：每类菜品在份量上应达到：无汁无汤 的菜不少于180 克。带汁的菜不少于2 00 克。带汤的菜不少于 2 2 0 克。其中净肉类菜品 ，猪肉 类以 5 元单份为标准 ，要求每份不少于 80 克。肉菜搭配类菜品 ，猪肉类以 5 元单份为标准 3 牛肉类以 8 元单份为标准，要求保证每份净肉不少于50 克。其余肉类以市场价比例核算 。如中标方投标文件菜品份量方案优于以上要求 ，按中标方投标文件执行 。</w:t>
      </w:r>
    </w:p>
    <w:p>
      <w:pPr>
        <w:pStyle w:val="3"/>
        <w:kinsoku w:val="0"/>
        <w:overflowPunct w:val="0"/>
        <w:ind w:firstLine="482" w:firstLineChars="200"/>
        <w:rPr>
          <w:rFonts w:ascii="仿宋" w:hAnsi="仿宋" w:cs="仿宋"/>
        </w:rPr>
      </w:pPr>
      <w:r>
        <w:rPr>
          <w:rFonts w:hint="eastAsia" w:ascii="仿宋" w:hAnsi="仿宋" w:cs="仿宋"/>
        </w:rPr>
        <w:t>4</w:t>
      </w:r>
      <w:r>
        <w:rPr>
          <w:rFonts w:ascii="仿宋" w:hAnsi="仿宋" w:cs="仿宋"/>
        </w:rPr>
        <w:t>.</w:t>
      </w:r>
      <w:r>
        <w:rPr>
          <w:rFonts w:hint="eastAsia" w:ascii="仿宋" w:hAnsi="仿宋" w:cs="仿宋"/>
        </w:rPr>
        <w:t>价格规定</w:t>
      </w:r>
    </w:p>
    <w:p>
      <w:pPr>
        <w:pStyle w:val="3"/>
        <w:ind w:firstLine="482" w:firstLineChars="200"/>
        <w:rPr>
          <w:rFonts w:ascii="宋体" w:hAnsi="宋体" w:cs="仿宋"/>
        </w:rPr>
      </w:pPr>
      <w:r>
        <w:rPr>
          <w:rFonts w:ascii="宋体" w:hAnsi="宋体" w:cs="仿宋"/>
        </w:rPr>
        <w:t>4.</w:t>
      </w:r>
      <w:r>
        <w:rPr>
          <w:rFonts w:hint="eastAsia" w:ascii="宋体" w:hAnsi="宋体" w:cs="仿宋"/>
        </w:rPr>
        <w:t>1.大众伙食的午、晚餐高、中、低价菜式品种比例为2:6:2</w:t>
      </w:r>
      <w:r>
        <w:rPr>
          <w:rFonts w:hint="eastAsia" w:ascii="宋体" w:hAnsi="宋体" w:cs="仿宋"/>
          <w:lang w:val="en-US" w:eastAsia="zh-CN"/>
        </w:rPr>
        <w:t xml:space="preserve"> </w:t>
      </w:r>
      <w:r>
        <w:rPr>
          <w:rFonts w:hint="eastAsia" w:ascii="宋体" w:hAnsi="宋体" w:cs="仿宋"/>
        </w:rPr>
        <w:t>。其中，高价菜式价格原则上不高于8（含）元，中等价位菜式价格原则上不高于4（含）元，低价菜式价格原则上不于2元（含）（低价菜中的1元菜品不少于3个，1.5元菜品不少2个）。米每50克不高于0.3元，白粥每份（200ml）不高于0.2元，所有饭菜均应明码标价，大众伙食毛利率不超过35% 。风味窗口的菜品价格由中标方报学校批准。其中，套餐价格应控制在周边市场价格的八成以内，最高价不超过16元，按阶梯分布，保证有不少于三种的7元及以下套餐供应，且其毛利率不超过40%粉面类最高价不超过12元，保证有不少于三种的6元及以下粉面供应，毛利率不超过40%；小炒类菜品最高价不超过18元，按阶梯分布，保证有不少于五种的8元及以下小炒供应，毛利率不超过50%。餐厅经营的总毛利率不高于40%。如中标方投标文件菜品价格方案优于以上要求，按中标方投标文件执行。</w:t>
      </w:r>
    </w:p>
    <w:p>
      <w:pPr>
        <w:pStyle w:val="3"/>
        <w:ind w:firstLine="482" w:firstLineChars="200"/>
        <w:rPr>
          <w:rFonts w:ascii="仿宋" w:hAnsi="仿宋" w:cs="仿宋"/>
        </w:rPr>
      </w:pPr>
      <w:r>
        <w:rPr>
          <w:rFonts w:ascii="仿宋" w:hAnsi="仿宋" w:cs="仿宋"/>
        </w:rPr>
        <w:t>4.</w:t>
      </w:r>
      <w:r>
        <w:rPr>
          <w:rFonts w:hint="eastAsia" w:ascii="仿宋" w:hAnsi="仿宋" w:cs="仿宋"/>
        </w:rPr>
        <w:t>2.本着诚信经营、服务学生的原则，饭菜价格不得高于深圳市同类院校平均水平，饭菜质量、数量不得低于深圳市同类大学平均水平。饭菜单价须由中标方核算后向学校书面申报核准后方能实施，中标方不得随意上涨菜价或通过减少菜品份量，减少肉类比例等方式进行变相涨价。如需进行价格调整，必须经学校组织相关部门联合召开的听证会论证后，确定是否调价。</w:t>
      </w:r>
    </w:p>
    <w:p>
      <w:pPr>
        <w:pStyle w:val="3"/>
        <w:ind w:firstLine="482" w:firstLineChars="200"/>
        <w:rPr>
          <w:rFonts w:ascii="仿宋" w:hAnsi="仿宋" w:cs="仿宋"/>
        </w:rPr>
      </w:pPr>
      <w:r>
        <w:rPr>
          <w:rFonts w:hint="eastAsia" w:ascii="仿宋" w:hAnsi="仿宋" w:cs="仿宋"/>
        </w:rPr>
        <w:t>5</w:t>
      </w:r>
      <w:r>
        <w:rPr>
          <w:rFonts w:ascii="仿宋" w:hAnsi="仿宋" w:cs="仿宋"/>
        </w:rPr>
        <w:t>.</w:t>
      </w:r>
      <w:r>
        <w:rPr>
          <w:rFonts w:hint="eastAsia" w:ascii="仿宋" w:hAnsi="仿宋" w:cs="仿宋"/>
        </w:rPr>
        <w:t> 服务要求</w:t>
      </w:r>
    </w:p>
    <w:p>
      <w:pPr>
        <w:pStyle w:val="3"/>
        <w:ind w:firstLine="482" w:firstLineChars="200"/>
        <w:rPr>
          <w:rFonts w:ascii="仿宋" w:hAnsi="仿宋" w:cs="仿宋"/>
        </w:rPr>
      </w:pPr>
      <w:r>
        <w:rPr>
          <w:rFonts w:ascii="仿宋" w:hAnsi="仿宋" w:cs="仿宋"/>
        </w:rPr>
        <w:t>5.</w:t>
      </w:r>
      <w:r>
        <w:rPr>
          <w:rFonts w:hint="eastAsia" w:ascii="仿宋" w:hAnsi="仿宋" w:cs="仿宋"/>
        </w:rPr>
        <w:t>1. 服务时间</w:t>
      </w:r>
    </w:p>
    <w:p>
      <w:pPr>
        <w:pStyle w:val="3"/>
        <w:ind w:firstLine="482" w:firstLineChars="200"/>
        <w:rPr>
          <w:rFonts w:ascii="仿宋" w:hAnsi="仿宋" w:cs="仿宋"/>
        </w:rPr>
      </w:pPr>
      <w:r>
        <w:rPr>
          <w:rFonts w:hint="eastAsia" w:ascii="仿宋" w:hAnsi="仿宋" w:cs="仿宋"/>
        </w:rPr>
        <w:t>早餐 6: 30-9: 30</w:t>
      </w:r>
    </w:p>
    <w:p>
      <w:pPr>
        <w:pStyle w:val="3"/>
        <w:ind w:firstLine="482" w:firstLineChars="200"/>
        <w:rPr>
          <w:rFonts w:ascii="仿宋" w:hAnsi="仿宋" w:cs="仿宋"/>
        </w:rPr>
      </w:pPr>
      <w:r>
        <w:rPr>
          <w:rFonts w:hint="eastAsia" w:ascii="仿宋" w:hAnsi="仿宋" w:cs="仿宋"/>
        </w:rPr>
        <w:t>午餐 10: 30 -13: 30</w:t>
      </w:r>
    </w:p>
    <w:p>
      <w:pPr>
        <w:pStyle w:val="3"/>
        <w:ind w:firstLine="482" w:firstLineChars="200"/>
        <w:rPr>
          <w:rFonts w:ascii="仿宋" w:hAnsi="仿宋" w:cs="仿宋"/>
        </w:rPr>
      </w:pPr>
      <w:r>
        <w:rPr>
          <w:rFonts w:hint="eastAsia" w:ascii="仿宋" w:hAnsi="仿宋" w:cs="仿宋"/>
        </w:rPr>
        <w:t>晚餐 16: 30 -19: 00</w:t>
      </w:r>
    </w:p>
    <w:p>
      <w:pPr>
        <w:pStyle w:val="3"/>
        <w:ind w:firstLine="482" w:firstLineChars="200"/>
        <w:rPr>
          <w:rFonts w:ascii="仿宋" w:hAnsi="仿宋" w:cs="仿宋"/>
        </w:rPr>
      </w:pPr>
      <w:r>
        <w:rPr>
          <w:rFonts w:hint="eastAsia" w:ascii="仿宋" w:hAnsi="仿宋" w:cs="仿宋"/>
        </w:rPr>
        <w:t>夜宵 19: 00 -22 : 30</w:t>
      </w:r>
    </w:p>
    <w:p>
      <w:pPr>
        <w:pStyle w:val="3"/>
        <w:ind w:firstLine="482" w:firstLineChars="200"/>
        <w:rPr>
          <w:rFonts w:ascii="仿宋" w:hAnsi="仿宋" w:cs="仿宋"/>
        </w:rPr>
      </w:pPr>
      <w:r>
        <w:rPr>
          <w:rFonts w:hint="eastAsia" w:ascii="仿宋" w:hAnsi="仿宋" w:cs="仿宋"/>
        </w:rPr>
        <w:t>餐厅营业时间从6: 30 开始，22 : 30结束，具体供餐时间如上，其余时间餐厅至少保持一个窗口营业且用餐区域保持开放。供餐时间可依据实际运营情况调整，但需向学校相关管理部门申请调整，并提供实际依据。获批后需提前三天公示师生，在无大面积投诉情况下执行更改。</w:t>
      </w:r>
    </w:p>
    <w:p>
      <w:pPr>
        <w:pStyle w:val="3"/>
        <w:ind w:firstLine="482" w:firstLineChars="200"/>
        <w:rPr>
          <w:rFonts w:ascii="仿宋" w:hAnsi="仿宋" w:cs="仿宋"/>
        </w:rPr>
      </w:pPr>
      <w:r>
        <w:rPr>
          <w:rFonts w:ascii="仿宋" w:hAnsi="仿宋" w:cs="仿宋"/>
        </w:rPr>
        <w:t>5.</w:t>
      </w:r>
      <w:r>
        <w:rPr>
          <w:rFonts w:hint="eastAsia" w:ascii="仿宋" w:hAnsi="仿宋" w:cs="仿宋"/>
        </w:rPr>
        <w:t>2. 服务要求：中标方应积极响应师生反馈意见，不断优化管理，定期制订员工服务的培训计划。餐厅员工应统一工衣、工帽、工牌佩戴防飞沫口罩和手套等隔离装备，做好卫生消毒工作，并在就餐区提供足量的符合相关行业卫生质量标准的餐巾纸，时刻保持就餐区的整洁卫生，为师生职工提供最优质服务。对受到投诉的员工应有相应的投诉反馈机制。积极配合学校做好各类接待服务工作，以及配合学校或政府监管部门的检查监督工作。</w:t>
      </w:r>
    </w:p>
    <w:p>
      <w:pPr>
        <w:pStyle w:val="3"/>
        <w:ind w:firstLine="482" w:firstLineChars="200"/>
        <w:rPr>
          <w:rFonts w:ascii="仿宋" w:hAnsi="仿宋" w:cs="仿宋"/>
        </w:rPr>
      </w:pPr>
      <w:r>
        <w:rPr>
          <w:rFonts w:ascii="仿宋" w:hAnsi="仿宋" w:cs="仿宋"/>
        </w:rPr>
        <w:t>5.</w:t>
      </w:r>
      <w:r>
        <w:rPr>
          <w:rFonts w:hint="eastAsia" w:ascii="仿宋" w:hAnsi="仿宋" w:cs="仿宋"/>
        </w:rPr>
        <w:t>3.未经学校许可，中标方不得自行接受外单位的订餐工作。</w:t>
      </w:r>
    </w:p>
    <w:p>
      <w:pPr>
        <w:pStyle w:val="3"/>
        <w:ind w:firstLine="482" w:firstLineChars="200"/>
        <w:rPr>
          <w:rFonts w:ascii="仿宋" w:hAnsi="仿宋" w:cs="仿宋"/>
        </w:rPr>
      </w:pPr>
      <w:r>
        <w:rPr>
          <w:rFonts w:ascii="仿宋" w:hAnsi="仿宋" w:cs="仿宋"/>
        </w:rPr>
        <w:t>5.</w:t>
      </w:r>
      <w:r>
        <w:rPr>
          <w:rFonts w:hint="eastAsia" w:ascii="仿宋" w:hAnsi="仿宋" w:cs="仿宋"/>
        </w:rPr>
        <w:t>4.中标方应配合传统节日气氛，主动承担餐厅的环境装饰及菜品设置工作，并按照学校的值班安排，对节假日、寒暑假留校师生提供膳食服务。</w:t>
      </w:r>
    </w:p>
    <w:p>
      <w:pPr>
        <w:pStyle w:val="3"/>
        <w:ind w:firstLine="482" w:firstLineChars="200"/>
        <w:rPr>
          <w:rFonts w:ascii="仿宋" w:hAnsi="仿宋" w:cs="仿宋"/>
        </w:rPr>
      </w:pPr>
      <w:r>
        <w:rPr>
          <w:rFonts w:ascii="仿宋" w:hAnsi="仿宋" w:cs="仿宋"/>
        </w:rPr>
        <w:t>5.</w:t>
      </w:r>
      <w:r>
        <w:rPr>
          <w:rFonts w:hint="eastAsia" w:ascii="仿宋" w:hAnsi="仿宋" w:cs="仿宋"/>
        </w:rPr>
        <w:t>5.学校部门或学院到餐厅举行会议活动或团体用餐时，中标方需按学校要求配合相关服务工作。</w:t>
      </w:r>
    </w:p>
    <w:p>
      <w:pPr>
        <w:pStyle w:val="3"/>
        <w:ind w:firstLine="482" w:firstLineChars="200"/>
        <w:rPr>
          <w:rFonts w:ascii="仿宋" w:hAnsi="仿宋" w:cs="仿宋"/>
        </w:rPr>
      </w:pPr>
      <w:r>
        <w:rPr>
          <w:rFonts w:hint="eastAsia" w:ascii="仿宋" w:hAnsi="仿宋" w:cs="仿宋"/>
        </w:rPr>
        <w:t>6</w:t>
      </w:r>
      <w:r>
        <w:rPr>
          <w:rFonts w:ascii="仿宋" w:hAnsi="仿宋" w:cs="仿宋"/>
        </w:rPr>
        <w:t>.</w:t>
      </w:r>
      <w:r>
        <w:rPr>
          <w:rFonts w:hint="eastAsia" w:ascii="仿宋" w:hAnsi="仿宋" w:cs="仿宋"/>
        </w:rPr>
        <w:t> 安全管理</w:t>
      </w:r>
    </w:p>
    <w:p>
      <w:pPr>
        <w:pStyle w:val="3"/>
        <w:ind w:firstLine="482" w:firstLineChars="200"/>
        <w:rPr>
          <w:rFonts w:ascii="仿宋" w:hAnsi="仿宋" w:cs="仿宋"/>
        </w:rPr>
      </w:pPr>
      <w:r>
        <w:rPr>
          <w:rFonts w:hint="eastAsia" w:ascii="仿宋" w:hAnsi="仿宋" w:cs="仿宋"/>
        </w:rPr>
        <w:t>严格按照国家、省市有关食品安全、学校餐厅管理、卫生防疫等法律法规及学校的相关规章制度对餐厅进行管理。</w:t>
      </w:r>
    </w:p>
    <w:p>
      <w:pPr>
        <w:pStyle w:val="3"/>
        <w:ind w:firstLine="482" w:firstLineChars="200"/>
        <w:rPr>
          <w:rFonts w:ascii="仿宋" w:hAnsi="仿宋" w:cs="仿宋"/>
        </w:rPr>
      </w:pPr>
      <w:r>
        <w:rPr>
          <w:rFonts w:ascii="仿宋" w:hAnsi="仿宋" w:cs="仿宋"/>
        </w:rPr>
        <w:t>6.</w:t>
      </w:r>
      <w:r>
        <w:rPr>
          <w:rFonts w:hint="eastAsia" w:ascii="仿宋" w:hAnsi="仿宋" w:cs="仿宋"/>
        </w:rPr>
        <w:t>1. 食品安全</w:t>
      </w:r>
    </w:p>
    <w:p>
      <w:pPr>
        <w:pStyle w:val="3"/>
        <w:ind w:firstLine="482" w:firstLineChars="200"/>
        <w:rPr>
          <w:rFonts w:ascii="仿宋" w:hAnsi="仿宋" w:cs="仿宋"/>
        </w:rPr>
      </w:pPr>
      <w:r>
        <w:rPr>
          <w:rFonts w:hint="eastAsia" w:ascii="仿宋" w:hAnsi="仿宋" w:cs="仿宋"/>
        </w:rPr>
        <w:t>( 1 ）中标方所购入的原材料应有符合国家规定的生产标识、产品质量检验合格证书等。其中，肉制品必须实行定点采购，并提供定点采购供货商的营业执照、检验检疫合格证、许可证等。蔬菜、瓜果采购必须在具备检测条件的生产基地或正规市场采购并符合国家有关食品安全方面的规定。各种主食材料（米面等）、辅料 、调味品及卫生消毒用品、消耗品 等指定品牌和采购渠道 ，需提供产品的品牌和供货商的营业执照、许可证等证明材料，保证质量 、杜绝使用三无产品、假冒伪劣产 品及过期产品。如出现故意采购不良肉类（腐坏）、故意处理加工过期农副产品对外销售等情况，一经发现从</w:t>
      </w:r>
      <w:r>
        <w:rPr>
          <w:rFonts w:hint="eastAsia" w:ascii="仿宋" w:hAnsi="仿宋" w:cs="仿宋"/>
          <w:lang w:val="en-US" w:eastAsia="zh-CN"/>
        </w:rPr>
        <w:t>重</w:t>
      </w:r>
      <w:r>
        <w:rPr>
          <w:rFonts w:hint="eastAsia" w:ascii="仿宋" w:hAnsi="仿宋" w:cs="仿宋"/>
        </w:rPr>
        <w:t>处罚并报司法机关依法处理，中标方负全部责任 。</w:t>
      </w:r>
    </w:p>
    <w:p>
      <w:pPr>
        <w:pStyle w:val="3"/>
        <w:ind w:firstLine="482" w:firstLineChars="200"/>
        <w:rPr>
          <w:rFonts w:ascii="仿宋" w:hAnsi="仿宋" w:cs="仿宋"/>
        </w:rPr>
      </w:pPr>
      <w:r>
        <w:rPr>
          <w:rFonts w:hint="eastAsia" w:ascii="仿宋" w:hAnsi="仿宋" w:cs="仿宋"/>
        </w:rPr>
        <w:t>( 2）中标方的所有采购应依照法律法规与供货商签订供货合同，并及时向深圳大学提供合同副本或复印件备案。中标方应按照餐饮服务食品采购相关规定坚持执行索证索票制度，所购物料必须具备相应证明材料（如相关许可证、营业执照 、产品合格证明文件、动物产品检疫合格证明等），做好索证索票台账，建立档案 。</w:t>
      </w:r>
    </w:p>
    <w:p>
      <w:pPr>
        <w:pStyle w:val="3"/>
        <w:ind w:firstLine="482" w:firstLineChars="200"/>
        <w:rPr>
          <w:rFonts w:ascii="仿宋" w:hAnsi="仿宋" w:cs="仿宋"/>
        </w:rPr>
      </w:pPr>
      <w:r>
        <w:rPr>
          <w:rFonts w:ascii="仿宋" w:hAnsi="仿宋" w:cs="仿宋"/>
        </w:rPr>
        <w:t>6.</w:t>
      </w:r>
      <w:r>
        <w:rPr>
          <w:rFonts w:hint="eastAsia" w:ascii="仿宋" w:hAnsi="仿宋" w:cs="仿宋"/>
        </w:rPr>
        <w:t>2.生产安全</w:t>
      </w:r>
    </w:p>
    <w:p>
      <w:pPr>
        <w:ind w:firstLine="482" w:firstLineChars="200"/>
        <w:rPr>
          <w:rFonts w:ascii="宋体" w:hAnsi="宋体" w:eastAsia="宋体"/>
          <w:b/>
          <w:sz w:val="24"/>
          <w:szCs w:val="24"/>
        </w:rPr>
      </w:pPr>
      <w:r>
        <w:rPr>
          <w:rFonts w:hint="eastAsia" w:ascii="宋体" w:hAnsi="宋体" w:eastAsia="宋体"/>
          <w:b/>
          <w:sz w:val="24"/>
          <w:szCs w:val="24"/>
        </w:rPr>
        <w:t>严格按照安全生产流程操作，确保餐厅人员和财物的安全。</w:t>
      </w:r>
    </w:p>
    <w:p>
      <w:pPr>
        <w:rPr>
          <w:rFonts w:ascii="宋体" w:hAnsi="宋体" w:eastAsia="宋体"/>
          <w:b/>
          <w:sz w:val="24"/>
          <w:szCs w:val="24"/>
        </w:rPr>
      </w:pPr>
      <w:r>
        <w:rPr>
          <w:rFonts w:hint="eastAsia" w:ascii="宋体" w:hAnsi="宋体" w:eastAsia="宋体"/>
          <w:b/>
          <w:sz w:val="24"/>
          <w:szCs w:val="24"/>
        </w:rPr>
        <w:t>(1）按照国家消防安全标准安装和配置必要的、足量的、性能完好的消防设施设备。定期检查消防设施，确保完好无损。</w:t>
      </w:r>
    </w:p>
    <w:p>
      <w:pPr>
        <w:rPr>
          <w:rFonts w:ascii="宋体" w:hAnsi="宋体" w:eastAsia="宋体"/>
          <w:b/>
          <w:sz w:val="24"/>
          <w:szCs w:val="24"/>
        </w:rPr>
      </w:pPr>
      <w:r>
        <w:rPr>
          <w:rFonts w:hint="eastAsia" w:ascii="宋体" w:hAnsi="宋体" w:eastAsia="宋体"/>
          <w:b/>
          <w:sz w:val="24"/>
          <w:szCs w:val="24"/>
        </w:rPr>
        <w:t>(2）设备使用应严格按照规定，定期对使用设施、设备、特别是电气设备的技术检查和维 护保养工作 。</w:t>
      </w:r>
    </w:p>
    <w:p>
      <w:pPr>
        <w:rPr>
          <w:rFonts w:ascii="宋体" w:hAnsi="宋体" w:eastAsia="宋体"/>
          <w:b/>
          <w:sz w:val="24"/>
          <w:szCs w:val="24"/>
        </w:rPr>
      </w:pPr>
      <w:r>
        <w:rPr>
          <w:rFonts w:hint="eastAsia" w:ascii="宋体" w:hAnsi="宋体" w:eastAsia="宋体"/>
          <w:b/>
          <w:sz w:val="24"/>
          <w:szCs w:val="24"/>
        </w:rPr>
        <w:t>(3）对热制作、切配、洗消、调配、仓管等作业现场的安全管理，对有较大危险的作业现场必须有警示标志，并派专人进行跟踪督促检查。</w:t>
      </w:r>
    </w:p>
    <w:p>
      <w:pPr>
        <w:rPr>
          <w:rFonts w:ascii="宋体" w:hAnsi="宋体" w:eastAsia="宋体"/>
          <w:b/>
          <w:sz w:val="24"/>
          <w:szCs w:val="24"/>
        </w:rPr>
      </w:pPr>
      <w:r>
        <w:rPr>
          <w:rFonts w:ascii="宋体" w:hAnsi="宋体" w:eastAsia="宋体"/>
          <w:b/>
          <w:sz w:val="24"/>
          <w:szCs w:val="24"/>
        </w:rPr>
        <w:t>6.</w:t>
      </w:r>
      <w:r>
        <w:rPr>
          <w:rFonts w:hint="eastAsia" w:ascii="宋体" w:hAnsi="宋体" w:eastAsia="宋体"/>
          <w:b/>
          <w:sz w:val="24"/>
          <w:szCs w:val="24"/>
        </w:rPr>
        <w:t>3. 环境卫生</w:t>
      </w:r>
    </w:p>
    <w:p>
      <w:pPr>
        <w:rPr>
          <w:rFonts w:ascii="宋体" w:hAnsi="宋体" w:eastAsia="宋体"/>
          <w:b/>
          <w:sz w:val="24"/>
          <w:szCs w:val="24"/>
        </w:rPr>
      </w:pPr>
      <w:r>
        <w:rPr>
          <w:rFonts w:hint="eastAsia" w:ascii="宋体" w:hAnsi="宋体" w:eastAsia="宋体"/>
          <w:b/>
          <w:sz w:val="24"/>
          <w:szCs w:val="24"/>
        </w:rPr>
        <w:t>严格执行清洁消毒规定，有消除“四害”和其他有害昆虫及其孽生条件的器具与设施，保持餐厅及周边环境卫生，达到卫生监督部门有关《食品卫生信誉度》A级要求。</w:t>
      </w:r>
    </w:p>
    <w:p>
      <w:pPr>
        <w:rPr>
          <w:rFonts w:ascii="宋体" w:hAnsi="宋体" w:eastAsia="宋体"/>
          <w:b/>
          <w:sz w:val="24"/>
          <w:szCs w:val="24"/>
        </w:rPr>
      </w:pPr>
      <w:r>
        <w:rPr>
          <w:rFonts w:hint="eastAsia" w:ascii="宋体" w:hAnsi="宋体" w:eastAsia="宋体"/>
          <w:b/>
          <w:sz w:val="24"/>
          <w:szCs w:val="24"/>
        </w:rPr>
        <w:t>(1）中标方须依照《深圳 市餐厨垃圾管理办法》的有关规定，与政府指定的有资质的回收公司签订清运协议，所产生的餐厨垃圾由该公司负责回收。并与深圳大学签订餐厅餐厨垃圾清运免责协议。餐厅所产生的其他垃圾、废品由中标方负责及时处理，不得将垃圾堆放至餐厅外其他区域，否则，学校有权聘请其他单位进行清运，所产生费用由中标方承担，每次扣除1%的保证金以作处罚</w:t>
      </w:r>
      <w:r>
        <w:rPr>
          <w:rFonts w:ascii="宋体" w:hAnsi="宋体" w:eastAsia="宋体"/>
          <w:b/>
          <w:sz w:val="24"/>
          <w:szCs w:val="24"/>
        </w:rPr>
        <w:t>,</w:t>
      </w:r>
      <w:r>
        <w:rPr>
          <w:rFonts w:hint="eastAsia" w:ascii="宋体" w:hAnsi="宋体" w:eastAsia="宋体"/>
          <w:b/>
          <w:sz w:val="24"/>
          <w:szCs w:val="24"/>
        </w:rPr>
        <w:t>同时将影响中标方的年度考核评分。</w:t>
      </w:r>
    </w:p>
    <w:p>
      <w:pPr>
        <w:rPr>
          <w:rFonts w:ascii="宋体" w:hAnsi="宋体" w:eastAsia="宋体"/>
          <w:b/>
          <w:sz w:val="24"/>
          <w:szCs w:val="24"/>
        </w:rPr>
      </w:pPr>
      <w:r>
        <w:rPr>
          <w:rFonts w:hint="eastAsia" w:ascii="宋体" w:hAnsi="宋体" w:eastAsia="宋体"/>
          <w:b/>
          <w:sz w:val="24"/>
          <w:szCs w:val="24"/>
        </w:rPr>
        <w:t>(2）中标方应定期清理餐厅垃圾和下水道，所产生的疏通费用由中标方自行承担。若因疏通不及时或油污未及时清理造成周边及下游下水道堵塞污染的，自堵塞部位往上游追溯，所有疏通清洁费用均由中标方承担。每次扣除1%的保证金以作处罚</w:t>
      </w:r>
      <w:r>
        <w:rPr>
          <w:rFonts w:ascii="宋体" w:hAnsi="宋体" w:eastAsia="宋体"/>
          <w:b/>
          <w:sz w:val="24"/>
          <w:szCs w:val="24"/>
        </w:rPr>
        <w:t>,</w:t>
      </w:r>
      <w:r>
        <w:rPr>
          <w:rFonts w:hint="eastAsia" w:ascii="宋体" w:hAnsi="宋体" w:eastAsia="宋体"/>
          <w:b/>
          <w:sz w:val="24"/>
          <w:szCs w:val="24"/>
        </w:rPr>
        <w:t>同时将影响中标方的年度考核评分，。</w:t>
      </w:r>
    </w:p>
    <w:p>
      <w:pPr>
        <w:rPr>
          <w:rFonts w:ascii="宋体" w:hAnsi="宋体" w:eastAsia="宋体"/>
          <w:b/>
          <w:sz w:val="24"/>
          <w:szCs w:val="24"/>
        </w:rPr>
      </w:pPr>
      <w:r>
        <w:rPr>
          <w:rFonts w:ascii="宋体" w:hAnsi="宋体" w:eastAsia="宋体"/>
          <w:b/>
          <w:sz w:val="24"/>
          <w:szCs w:val="24"/>
        </w:rPr>
        <w:t>6.</w:t>
      </w:r>
      <w:r>
        <w:rPr>
          <w:rFonts w:hint="eastAsia" w:ascii="宋体" w:hAnsi="宋体" w:eastAsia="宋体"/>
          <w:b/>
          <w:sz w:val="24"/>
          <w:szCs w:val="24"/>
        </w:rPr>
        <w:t>4. 餐厅从业人员，须掌握食品卫生安全相关的法律法规知识，应持有有效健康证和卫生知识培训证上岗 。</w:t>
      </w:r>
    </w:p>
    <w:p>
      <w:pPr>
        <w:rPr>
          <w:rFonts w:ascii="宋体" w:hAnsi="宋体" w:eastAsia="宋体"/>
          <w:b/>
          <w:sz w:val="24"/>
          <w:szCs w:val="24"/>
        </w:rPr>
      </w:pPr>
      <w:r>
        <w:rPr>
          <w:rFonts w:hint="eastAsia" w:ascii="宋体" w:hAnsi="宋体" w:eastAsia="宋体"/>
          <w:b/>
          <w:sz w:val="24"/>
          <w:szCs w:val="24"/>
        </w:rPr>
        <w:t>7</w:t>
      </w:r>
      <w:r>
        <w:rPr>
          <w:rFonts w:ascii="宋体" w:hAnsi="宋体" w:eastAsia="宋体"/>
          <w:b/>
          <w:sz w:val="24"/>
          <w:szCs w:val="24"/>
        </w:rPr>
        <w:t>.</w:t>
      </w:r>
      <w:r>
        <w:rPr>
          <w:rFonts w:hint="eastAsia" w:ascii="宋体" w:hAnsi="宋体" w:eastAsia="宋体"/>
          <w:b/>
          <w:sz w:val="24"/>
          <w:szCs w:val="24"/>
        </w:rPr>
        <w:t>人员管理</w:t>
      </w:r>
    </w:p>
    <w:p>
      <w:pPr>
        <w:rPr>
          <w:rFonts w:ascii="宋体" w:hAnsi="宋体" w:eastAsia="宋体"/>
          <w:b/>
          <w:sz w:val="24"/>
          <w:szCs w:val="24"/>
        </w:rPr>
      </w:pPr>
      <w:r>
        <w:rPr>
          <w:rFonts w:ascii="宋体" w:hAnsi="宋体" w:eastAsia="宋体"/>
          <w:b/>
          <w:sz w:val="24"/>
          <w:szCs w:val="24"/>
        </w:rPr>
        <w:t>7.</w:t>
      </w:r>
      <w:r>
        <w:rPr>
          <w:rFonts w:hint="eastAsia" w:ascii="宋体" w:hAnsi="宋体" w:eastAsia="宋体"/>
          <w:b/>
          <w:sz w:val="24"/>
          <w:szCs w:val="24"/>
        </w:rPr>
        <w:t>1.按省教育厅规定达标餐厅的标准，餐厅员工总数应与所承包餐厅的经营规模相适（即员工总人数与就餐总人数按1:50-70进行配备）。需设置与就餐人数相适应的专职管理员、采购员、厨师、面点师、营养师、质检员、财务人员、食品安全管理员等且应具备相应资质与技能。主管财务有助理会计师职称；配备1名高级食品安全管理员、1名高级厨师</w:t>
      </w:r>
      <w:r>
        <w:rPr>
          <w:rFonts w:hint="eastAsia" w:ascii="宋体" w:hAnsi="宋体" w:eastAsia="宋体"/>
          <w:b/>
          <w:sz w:val="24"/>
          <w:szCs w:val="24"/>
          <w:lang w:eastAsia="zh-CN"/>
        </w:rPr>
        <w:t>（</w:t>
      </w:r>
      <w:r>
        <w:rPr>
          <w:rFonts w:hint="eastAsia" w:ascii="宋体" w:hAnsi="宋体" w:eastAsia="宋体"/>
          <w:b/>
          <w:sz w:val="24"/>
          <w:szCs w:val="24"/>
          <w:lang w:val="en-US" w:eastAsia="zh-CN"/>
        </w:rPr>
        <w:t>或高级烹调师</w:t>
      </w:r>
      <w:r>
        <w:rPr>
          <w:rFonts w:hint="eastAsia" w:ascii="宋体" w:hAnsi="宋体" w:eastAsia="宋体"/>
          <w:b/>
          <w:sz w:val="24"/>
          <w:szCs w:val="24"/>
          <w:lang w:eastAsia="zh-CN"/>
        </w:rPr>
        <w:t>）</w:t>
      </w:r>
      <w:r>
        <w:rPr>
          <w:rFonts w:hint="eastAsia" w:ascii="宋体" w:hAnsi="宋体" w:eastAsia="宋体"/>
          <w:b/>
          <w:sz w:val="24"/>
          <w:szCs w:val="24"/>
        </w:rPr>
        <w:t>、2名中级厨师</w:t>
      </w:r>
      <w:r>
        <w:rPr>
          <w:rFonts w:hint="eastAsia" w:ascii="宋体" w:hAnsi="宋体" w:eastAsia="宋体"/>
          <w:b/>
          <w:sz w:val="24"/>
          <w:szCs w:val="24"/>
          <w:lang w:eastAsia="zh-CN"/>
        </w:rPr>
        <w:t>（</w:t>
      </w:r>
      <w:r>
        <w:rPr>
          <w:rFonts w:hint="eastAsia" w:ascii="宋体" w:hAnsi="宋体" w:eastAsia="宋体"/>
          <w:b/>
          <w:sz w:val="24"/>
          <w:szCs w:val="24"/>
          <w:lang w:val="en-US" w:eastAsia="zh-CN"/>
        </w:rPr>
        <w:t>或中级烹调师</w:t>
      </w:r>
      <w:r>
        <w:rPr>
          <w:rFonts w:hint="eastAsia" w:ascii="宋体" w:hAnsi="宋体" w:eastAsia="宋体"/>
          <w:b/>
          <w:sz w:val="24"/>
          <w:szCs w:val="24"/>
          <w:lang w:eastAsia="zh-CN"/>
        </w:rPr>
        <w:t>）</w:t>
      </w:r>
      <w:r>
        <w:rPr>
          <w:rFonts w:hint="eastAsia" w:ascii="宋体" w:hAnsi="宋体" w:eastAsia="宋体"/>
          <w:b/>
          <w:sz w:val="24"/>
          <w:szCs w:val="24"/>
        </w:rPr>
        <w:t>、2名中级以上（含中级）面点师。应当统计所有员工的信息，建立员工信息档案，并提交学校管理部门备案；若员工信息发生变动应当及时更新并上报学校管理部门。</w:t>
      </w:r>
    </w:p>
    <w:p>
      <w:pPr>
        <w:rPr>
          <w:rFonts w:ascii="宋体" w:hAnsi="宋体" w:eastAsia="宋体"/>
          <w:b/>
          <w:sz w:val="24"/>
          <w:szCs w:val="24"/>
        </w:rPr>
      </w:pPr>
      <w:r>
        <w:rPr>
          <w:rFonts w:ascii="宋体" w:hAnsi="宋体" w:eastAsia="宋体"/>
          <w:b/>
          <w:sz w:val="24"/>
          <w:szCs w:val="24"/>
        </w:rPr>
        <w:t>7.</w:t>
      </w:r>
      <w:r>
        <w:rPr>
          <w:rFonts w:hint="eastAsia" w:ascii="宋体" w:hAnsi="宋体" w:eastAsia="宋体"/>
          <w:b/>
          <w:sz w:val="24"/>
          <w:szCs w:val="24"/>
        </w:rPr>
        <w:t>2.中标方承诺投入的管理、技术骨干人员原则上不得擅自变动。在合同执行过程中，如确实需要对上述人员进行更换，需按规定程序和要求申报批准，且新进或增加的人员需满足上述资质条件，同时中标方必须将变更人员的相关信息 资料及时上报备案。学校根据实际情况，有权要求更换以上人员，中标方须给予配合。</w:t>
      </w:r>
    </w:p>
    <w:p>
      <w:pPr>
        <w:rPr>
          <w:rFonts w:ascii="宋体" w:hAnsi="宋体" w:eastAsia="宋体"/>
          <w:b/>
          <w:sz w:val="24"/>
          <w:szCs w:val="24"/>
        </w:rPr>
      </w:pPr>
      <w:r>
        <w:rPr>
          <w:rFonts w:ascii="宋体" w:hAnsi="宋体" w:eastAsia="宋体"/>
          <w:b/>
          <w:sz w:val="24"/>
          <w:szCs w:val="24"/>
        </w:rPr>
        <w:t>7.</w:t>
      </w:r>
      <w:r>
        <w:rPr>
          <w:rFonts w:hint="eastAsia" w:ascii="宋体" w:hAnsi="宋体" w:eastAsia="宋体"/>
          <w:b/>
          <w:sz w:val="24"/>
          <w:szCs w:val="24"/>
        </w:rPr>
        <w:t>3.餐厅员工工资、福利、社会保险等费用由中标方支付。中标方应有完整的管理机构，遵守国家劳动法规，按规定给员工办理用工手续，保障劳动者的权益和工资、福利待遇等。餐厅员工的管理、劳动合同的签订、劳务纠纷的处理均由中标方自行解决，在经营过程中与员工发生的一切纠纷均与深圳大学无关。不得因纠纷影响学校的正常教学和生活秩序。</w:t>
      </w:r>
    </w:p>
    <w:p>
      <w:pPr>
        <w:rPr>
          <w:rFonts w:ascii="宋体" w:hAnsi="宋体" w:eastAsia="宋体"/>
          <w:b/>
          <w:sz w:val="24"/>
          <w:szCs w:val="24"/>
        </w:rPr>
      </w:pPr>
      <w:r>
        <w:rPr>
          <w:rFonts w:ascii="宋体" w:hAnsi="宋体" w:eastAsia="宋体"/>
          <w:b/>
          <w:sz w:val="24"/>
          <w:szCs w:val="24"/>
        </w:rPr>
        <w:t>7.</w:t>
      </w:r>
      <w:r>
        <w:rPr>
          <w:rFonts w:hint="eastAsia" w:ascii="宋体" w:hAnsi="宋体" w:eastAsia="宋体"/>
          <w:b/>
          <w:sz w:val="24"/>
          <w:szCs w:val="24"/>
        </w:rPr>
        <w:t>4.中标方需自行负责解决餐厅员工的住宿及交通安全问题。</w:t>
      </w:r>
    </w:p>
    <w:p>
      <w:pPr>
        <w:rPr>
          <w:rFonts w:ascii="宋体" w:hAnsi="宋体" w:eastAsia="宋体"/>
          <w:b/>
          <w:sz w:val="24"/>
          <w:szCs w:val="24"/>
        </w:rPr>
      </w:pPr>
      <w:r>
        <w:rPr>
          <w:rFonts w:hint="eastAsia" w:ascii="宋体" w:hAnsi="宋体" w:eastAsia="宋体"/>
          <w:b/>
          <w:sz w:val="24"/>
          <w:szCs w:val="24"/>
        </w:rPr>
        <w:t>8</w:t>
      </w:r>
      <w:r>
        <w:rPr>
          <w:rFonts w:ascii="宋体" w:hAnsi="宋体" w:eastAsia="宋体"/>
          <w:b/>
          <w:sz w:val="24"/>
          <w:szCs w:val="24"/>
        </w:rPr>
        <w:t>.</w:t>
      </w:r>
      <w:r>
        <w:rPr>
          <w:rFonts w:hint="eastAsia" w:ascii="宋体" w:hAnsi="宋体" w:eastAsia="宋体"/>
          <w:b/>
          <w:sz w:val="24"/>
          <w:szCs w:val="24"/>
        </w:rPr>
        <w:t> 资产管理</w:t>
      </w:r>
    </w:p>
    <w:p>
      <w:pPr>
        <w:rPr>
          <w:rFonts w:ascii="宋体" w:hAnsi="宋体" w:eastAsia="宋体"/>
          <w:b/>
          <w:sz w:val="24"/>
          <w:szCs w:val="24"/>
        </w:rPr>
      </w:pPr>
      <w:r>
        <w:rPr>
          <w:rFonts w:ascii="宋体" w:hAnsi="宋体" w:eastAsia="宋体"/>
          <w:b/>
          <w:sz w:val="24"/>
          <w:szCs w:val="24"/>
        </w:rPr>
        <w:t>8.</w:t>
      </w:r>
      <w:r>
        <w:rPr>
          <w:rFonts w:hint="eastAsia" w:ascii="宋体" w:hAnsi="宋体" w:eastAsia="宋体"/>
          <w:b/>
          <w:sz w:val="24"/>
          <w:szCs w:val="24"/>
        </w:rPr>
        <w:t>1.在经营期内，餐厅内学校的固定资产由中标方负责管理使用，除特别说明之外，所有设施设备须定期维保、年检等，抽排系统的风管每学期不少于一次的疏通清洁，相关费用由中标方承担。</w:t>
      </w:r>
    </w:p>
    <w:p>
      <w:pPr>
        <w:rPr>
          <w:rFonts w:ascii="宋体" w:hAnsi="宋体" w:eastAsia="宋体"/>
          <w:b/>
          <w:sz w:val="24"/>
          <w:szCs w:val="24"/>
        </w:rPr>
      </w:pPr>
      <w:r>
        <w:rPr>
          <w:rFonts w:ascii="宋体" w:hAnsi="宋体" w:eastAsia="宋体"/>
          <w:b/>
          <w:sz w:val="24"/>
          <w:szCs w:val="24"/>
        </w:rPr>
        <w:t>8.</w:t>
      </w:r>
      <w:r>
        <w:rPr>
          <w:rFonts w:hint="eastAsia" w:ascii="宋体" w:hAnsi="宋体" w:eastAsia="宋体"/>
          <w:b/>
          <w:sz w:val="24"/>
          <w:szCs w:val="24"/>
        </w:rPr>
        <w:t>2.中标方须保障餐厅内的硬、软件设施完好，做好维保工作，尽力延长使用年限。在使用过程中产生的维修、更换费用，由中标方自行承担。</w:t>
      </w:r>
    </w:p>
    <w:p>
      <w:pPr>
        <w:rPr>
          <w:rFonts w:ascii="宋体" w:hAnsi="宋体" w:eastAsia="宋体"/>
          <w:b/>
          <w:sz w:val="24"/>
          <w:szCs w:val="24"/>
        </w:rPr>
      </w:pPr>
      <w:r>
        <w:rPr>
          <w:rFonts w:ascii="宋体" w:hAnsi="宋体" w:eastAsia="宋体"/>
          <w:b/>
          <w:sz w:val="24"/>
          <w:szCs w:val="24"/>
        </w:rPr>
        <w:t>8.</w:t>
      </w:r>
      <w:r>
        <w:rPr>
          <w:rFonts w:hint="eastAsia" w:ascii="宋体" w:hAnsi="宋体" w:eastAsia="宋体"/>
          <w:b/>
          <w:sz w:val="24"/>
          <w:szCs w:val="24"/>
        </w:rPr>
        <w:t>3.根据标准化餐厅规范要求和实际经营需求，中标方添置补充餐厨器具等，对烟道维护、厨房设施、设备日常维护及用于提升就餐环境所购置的电视、显示屏等费用，投标供应商投标时须另行考虑此项预算，并在投标文件中明确资金投入方案及承诺。中标方自行配置的不可拆卸设施设备部分，不得破坏性拆除 ，须无偿留归学校所有；所添置小型炊具、餐具和可移动电器等设施设备自行处置，学校对中标方投资的所有设施设备不回收、不折价、不抵扣。</w:t>
      </w:r>
    </w:p>
    <w:p>
      <w:pPr>
        <w:rPr>
          <w:rFonts w:ascii="宋体" w:hAnsi="宋体" w:eastAsia="宋体"/>
          <w:b/>
          <w:sz w:val="24"/>
          <w:szCs w:val="24"/>
        </w:rPr>
      </w:pPr>
      <w:r>
        <w:rPr>
          <w:rFonts w:ascii="宋体" w:hAnsi="宋体" w:eastAsia="宋体"/>
          <w:b/>
          <w:sz w:val="24"/>
          <w:szCs w:val="24"/>
        </w:rPr>
        <w:t>8.</w:t>
      </w:r>
      <w:r>
        <w:rPr>
          <w:rFonts w:hint="eastAsia" w:ascii="宋体" w:hAnsi="宋体" w:eastAsia="宋体"/>
          <w:b/>
          <w:sz w:val="24"/>
          <w:szCs w:val="24"/>
        </w:rPr>
        <w:t>4.中标方不得将学校资产及中标投资做任何形式的抵押。</w:t>
      </w:r>
    </w:p>
    <w:p>
      <w:pPr>
        <w:rPr>
          <w:rFonts w:ascii="宋体" w:hAnsi="宋体" w:eastAsia="宋体"/>
          <w:b/>
          <w:sz w:val="24"/>
          <w:szCs w:val="24"/>
        </w:rPr>
      </w:pPr>
      <w:r>
        <w:rPr>
          <w:rFonts w:ascii="宋体" w:hAnsi="宋体" w:eastAsia="宋体"/>
          <w:b/>
          <w:sz w:val="24"/>
          <w:szCs w:val="24"/>
        </w:rPr>
        <w:t>8.</w:t>
      </w:r>
      <w:r>
        <w:rPr>
          <w:rFonts w:hint="eastAsia" w:ascii="宋体" w:hAnsi="宋体" w:eastAsia="宋体"/>
          <w:b/>
          <w:sz w:val="24"/>
          <w:szCs w:val="24"/>
        </w:rPr>
        <w:t>5.中标方对学校配置的公物，设施造成损坏和丢失的，依照学校资产管理的有关规定进行赔偿 。</w:t>
      </w:r>
    </w:p>
    <w:p>
      <w:pPr>
        <w:rPr>
          <w:rFonts w:ascii="宋体" w:hAnsi="宋体" w:eastAsia="宋体"/>
          <w:b/>
          <w:sz w:val="24"/>
          <w:szCs w:val="24"/>
        </w:rPr>
      </w:pPr>
      <w:r>
        <w:rPr>
          <w:rFonts w:hint="eastAsia" w:ascii="宋体" w:hAnsi="宋体" w:eastAsia="宋体"/>
          <w:b/>
          <w:sz w:val="24"/>
          <w:szCs w:val="24"/>
        </w:rPr>
        <w:t>9</w:t>
      </w:r>
      <w:r>
        <w:rPr>
          <w:rFonts w:ascii="宋体" w:hAnsi="宋体" w:eastAsia="宋体"/>
          <w:b/>
          <w:sz w:val="24"/>
          <w:szCs w:val="24"/>
        </w:rPr>
        <w:t>.</w:t>
      </w:r>
      <w:r>
        <w:rPr>
          <w:rFonts w:hint="eastAsia" w:ascii="宋体" w:hAnsi="宋体" w:eastAsia="宋体"/>
          <w:b/>
          <w:sz w:val="24"/>
          <w:szCs w:val="24"/>
        </w:rPr>
        <w:t>应急处置</w:t>
      </w:r>
    </w:p>
    <w:p>
      <w:pPr>
        <w:rPr>
          <w:rFonts w:ascii="宋体" w:hAnsi="宋体" w:eastAsia="宋体"/>
          <w:b/>
          <w:sz w:val="24"/>
          <w:szCs w:val="24"/>
        </w:rPr>
      </w:pPr>
      <w:r>
        <w:rPr>
          <w:rFonts w:hint="eastAsia" w:ascii="宋体" w:hAnsi="宋体" w:eastAsia="宋体"/>
          <w:b/>
          <w:sz w:val="24"/>
          <w:szCs w:val="24"/>
        </w:rPr>
        <w:t>中标方须提供完整的应急管理方案，保证企业抗风险能力。具体方案须包含以下内容：</w:t>
      </w:r>
    </w:p>
    <w:p>
      <w:pPr>
        <w:rPr>
          <w:rFonts w:ascii="宋体" w:hAnsi="宋体" w:eastAsia="宋体"/>
          <w:b/>
          <w:sz w:val="24"/>
          <w:szCs w:val="24"/>
        </w:rPr>
      </w:pPr>
      <w:r>
        <w:rPr>
          <w:rFonts w:hint="eastAsia" w:ascii="宋体" w:hAnsi="宋体" w:eastAsia="宋体"/>
          <w:b/>
          <w:sz w:val="24"/>
          <w:szCs w:val="24"/>
        </w:rPr>
        <w:t>1. 校内断水断电等突发情况应急处置；</w:t>
      </w:r>
    </w:p>
    <w:p>
      <w:pPr>
        <w:rPr>
          <w:rFonts w:ascii="宋体" w:hAnsi="宋体" w:eastAsia="宋体"/>
          <w:b/>
          <w:sz w:val="24"/>
          <w:szCs w:val="24"/>
        </w:rPr>
      </w:pPr>
      <w:r>
        <w:rPr>
          <w:rFonts w:hint="eastAsia" w:ascii="宋体" w:hAnsi="宋体" w:eastAsia="宋体"/>
          <w:b/>
          <w:sz w:val="24"/>
          <w:szCs w:val="24"/>
        </w:rPr>
        <w:t>2. 常用采购链临时断供应急处置；</w:t>
      </w:r>
    </w:p>
    <w:p>
      <w:pPr>
        <w:rPr>
          <w:rFonts w:ascii="宋体" w:hAnsi="宋体" w:eastAsia="宋体"/>
          <w:b/>
          <w:sz w:val="24"/>
          <w:szCs w:val="24"/>
        </w:rPr>
      </w:pPr>
      <w:r>
        <w:rPr>
          <w:rFonts w:hint="eastAsia" w:ascii="宋体" w:hAnsi="宋体" w:eastAsia="宋体"/>
          <w:b/>
          <w:sz w:val="24"/>
          <w:szCs w:val="24"/>
        </w:rPr>
        <w:t>3. 出现师生大面积食品中毒情况的应急处置；</w:t>
      </w:r>
    </w:p>
    <w:p>
      <w:pPr>
        <w:rPr>
          <w:rFonts w:ascii="宋体" w:hAnsi="宋体" w:eastAsia="宋体"/>
          <w:b/>
          <w:sz w:val="24"/>
          <w:szCs w:val="24"/>
        </w:rPr>
      </w:pPr>
      <w:r>
        <w:rPr>
          <w:rFonts w:hint="eastAsia" w:ascii="宋体" w:hAnsi="宋体" w:eastAsia="宋体"/>
          <w:b/>
          <w:sz w:val="24"/>
          <w:szCs w:val="24"/>
        </w:rPr>
        <w:t>4. 出现消防安全、生产安全事故的应急处置；</w:t>
      </w:r>
    </w:p>
    <w:p>
      <w:pPr>
        <w:rPr>
          <w:rFonts w:ascii="宋体" w:hAnsi="宋体" w:eastAsia="宋体"/>
          <w:b/>
          <w:sz w:val="24"/>
          <w:szCs w:val="24"/>
        </w:rPr>
      </w:pPr>
      <w:r>
        <w:rPr>
          <w:rFonts w:hint="eastAsia" w:ascii="宋体" w:hAnsi="宋体" w:eastAsia="宋体"/>
          <w:b/>
          <w:sz w:val="24"/>
          <w:szCs w:val="24"/>
        </w:rPr>
        <w:t>5. 出现意外事件、恶意事件引发师生热议甚至社会舆论的应急处置。</w:t>
      </w:r>
    </w:p>
    <w:p>
      <w:pPr>
        <w:rPr>
          <w:rFonts w:ascii="宋体" w:hAnsi="宋体" w:eastAsia="宋体"/>
          <w:b/>
          <w:sz w:val="24"/>
          <w:szCs w:val="24"/>
        </w:rPr>
      </w:pPr>
      <w:r>
        <w:rPr>
          <w:rFonts w:hint="eastAsia" w:ascii="宋体" w:hAnsi="宋体" w:eastAsia="宋体"/>
          <w:b/>
          <w:sz w:val="24"/>
          <w:szCs w:val="24"/>
        </w:rPr>
        <w:t>（四）、财务规定</w:t>
      </w:r>
    </w:p>
    <w:p>
      <w:pPr>
        <w:rPr>
          <w:rFonts w:ascii="宋体" w:hAnsi="宋体" w:eastAsia="宋体"/>
          <w:b/>
          <w:sz w:val="24"/>
          <w:szCs w:val="24"/>
        </w:rPr>
      </w:pPr>
      <w:r>
        <w:rPr>
          <w:rFonts w:hint="eastAsia" w:ascii="宋体" w:hAnsi="宋体" w:eastAsia="宋体"/>
          <w:b/>
          <w:sz w:val="24"/>
          <w:szCs w:val="24"/>
        </w:rPr>
        <w:t>（1）依法经营，遵守国家法律法规，按国家有关规定缴纳税金。</w:t>
      </w:r>
    </w:p>
    <w:p>
      <w:pPr>
        <w:rPr>
          <w:rFonts w:ascii="宋体" w:hAnsi="宋体" w:eastAsia="宋体"/>
          <w:b/>
          <w:sz w:val="24"/>
          <w:szCs w:val="24"/>
        </w:rPr>
      </w:pPr>
      <w:r>
        <w:rPr>
          <w:rFonts w:hint="eastAsia" w:ascii="宋体" w:hAnsi="宋体" w:eastAsia="宋体"/>
          <w:b/>
          <w:sz w:val="24"/>
          <w:szCs w:val="24"/>
        </w:rPr>
        <w:t>（2）财务透明，接受学校监督。</w:t>
      </w:r>
    </w:p>
    <w:p>
      <w:pPr>
        <w:rPr>
          <w:rFonts w:ascii="宋体" w:hAnsi="宋体" w:eastAsia="宋体"/>
          <w:b/>
          <w:sz w:val="24"/>
          <w:szCs w:val="24"/>
        </w:rPr>
      </w:pPr>
      <w:r>
        <w:rPr>
          <w:rFonts w:hint="eastAsia" w:ascii="宋体" w:hAnsi="宋体" w:eastAsia="宋体"/>
          <w:b/>
          <w:sz w:val="24"/>
          <w:szCs w:val="24"/>
        </w:rPr>
        <w:t>（3）中标方必须通过深圳大学提供的校园卡系统与消费者进行交易，具体参照深圳大学校园卡管理办法</w:t>
      </w:r>
      <w:r>
        <w:rPr>
          <w:rFonts w:hint="eastAsia" w:ascii="宋体" w:hAnsi="宋体" w:eastAsia="宋体"/>
          <w:b/>
          <w:sz w:val="24"/>
          <w:szCs w:val="24"/>
          <w:lang w:eastAsia="zh-CN"/>
        </w:rPr>
        <w:t>（</w:t>
      </w:r>
      <w:r>
        <w:rPr>
          <w:rFonts w:hint="eastAsia" w:ascii="宋体" w:hAnsi="宋体" w:eastAsia="宋体"/>
          <w:b/>
          <w:sz w:val="24"/>
          <w:szCs w:val="24"/>
          <w:lang w:val="en-US" w:eastAsia="zh-CN"/>
        </w:rPr>
        <w:t>附件2</w:t>
      </w:r>
      <w:r>
        <w:rPr>
          <w:rFonts w:hint="eastAsia" w:ascii="宋体" w:hAnsi="宋体" w:eastAsia="宋体"/>
          <w:b/>
          <w:sz w:val="24"/>
          <w:szCs w:val="24"/>
          <w:lang w:eastAsia="zh-CN"/>
        </w:rPr>
        <w:t>）</w:t>
      </w:r>
      <w:r>
        <w:rPr>
          <w:rFonts w:hint="eastAsia" w:ascii="宋体" w:hAnsi="宋体" w:eastAsia="宋体"/>
          <w:b/>
          <w:sz w:val="24"/>
          <w:szCs w:val="24"/>
        </w:rPr>
        <w:t>，所涉卡机购置费及相关手续费由中标方自行承担。严禁现金交易，一经发现，将扣除10%的保证金以作处罚，并计入中标方年度考核评分。其他交易方式需通过学校批准。</w:t>
      </w:r>
    </w:p>
    <w:p>
      <w:pPr>
        <w:rPr>
          <w:rFonts w:ascii="宋体" w:hAnsi="宋体" w:eastAsia="宋体"/>
          <w:b/>
          <w:sz w:val="24"/>
          <w:szCs w:val="24"/>
        </w:rPr>
      </w:pPr>
      <w:r>
        <w:rPr>
          <w:rFonts w:hint="eastAsia" w:ascii="宋体" w:hAnsi="宋体" w:eastAsia="宋体"/>
          <w:b/>
          <w:sz w:val="24"/>
          <w:szCs w:val="24"/>
        </w:rPr>
        <w:t>（4）中标方应规范财务管理，配备符合从业资质的财务人员，每月10日前向学校上交上月工作简报和财务报表 。</w:t>
      </w:r>
    </w:p>
    <w:p>
      <w:pPr>
        <w:rPr>
          <w:rFonts w:ascii="宋体" w:hAnsi="宋体" w:eastAsia="宋体"/>
          <w:b/>
          <w:sz w:val="24"/>
          <w:szCs w:val="24"/>
        </w:rPr>
      </w:pPr>
      <w:r>
        <w:rPr>
          <w:rFonts w:hint="eastAsia" w:ascii="宋体" w:hAnsi="宋体" w:eastAsia="宋体"/>
          <w:b/>
          <w:sz w:val="24"/>
          <w:szCs w:val="24"/>
        </w:rPr>
        <w:t>（5） 餐厅水电、燃气、电话费等，中标方按照经营中实际使用量每月在刷卡消费额中扣除。</w:t>
      </w:r>
    </w:p>
    <w:p>
      <w:pPr>
        <w:rPr>
          <w:rFonts w:ascii="宋体" w:hAnsi="宋体" w:eastAsia="宋体"/>
          <w:b/>
          <w:sz w:val="24"/>
          <w:szCs w:val="24"/>
        </w:rPr>
      </w:pPr>
      <w:r>
        <w:rPr>
          <w:rFonts w:hint="eastAsia" w:ascii="宋体" w:hAnsi="宋体" w:eastAsia="宋体"/>
          <w:b/>
          <w:sz w:val="24"/>
          <w:szCs w:val="24"/>
        </w:rPr>
        <w:t>（6）中标方每月20日前与学校结算上月经营费用。</w:t>
      </w:r>
    </w:p>
    <w:p>
      <w:pPr>
        <w:rPr>
          <w:rFonts w:ascii="宋体" w:hAnsi="宋体" w:eastAsia="宋体"/>
          <w:b/>
          <w:sz w:val="24"/>
          <w:szCs w:val="24"/>
        </w:rPr>
      </w:pPr>
      <w:r>
        <w:rPr>
          <w:rFonts w:hint="eastAsia" w:ascii="宋体" w:hAnsi="宋体" w:eastAsia="宋体"/>
          <w:b/>
          <w:sz w:val="24"/>
          <w:szCs w:val="24"/>
        </w:rPr>
        <w:t>（五）、监管 </w:t>
      </w:r>
    </w:p>
    <w:p>
      <w:pPr>
        <w:rPr>
          <w:rFonts w:ascii="宋体" w:hAnsi="宋体" w:eastAsia="宋体"/>
          <w:b/>
          <w:sz w:val="24"/>
          <w:szCs w:val="24"/>
        </w:rPr>
      </w:pPr>
      <w:r>
        <w:rPr>
          <w:rFonts w:hint="eastAsia" w:ascii="宋体" w:hAnsi="宋体" w:eastAsia="宋体"/>
          <w:b/>
          <w:sz w:val="24"/>
          <w:szCs w:val="24"/>
        </w:rPr>
        <w:t>1</w:t>
      </w:r>
      <w:r>
        <w:rPr>
          <w:rFonts w:ascii="宋体" w:hAnsi="宋体" w:eastAsia="宋体"/>
          <w:b/>
          <w:sz w:val="24"/>
          <w:szCs w:val="24"/>
        </w:rPr>
        <w:t>.</w:t>
      </w:r>
      <w:r>
        <w:rPr>
          <w:rFonts w:hint="eastAsia" w:ascii="宋体" w:hAnsi="宋体" w:eastAsia="宋体"/>
          <w:b/>
          <w:sz w:val="24"/>
          <w:szCs w:val="24"/>
        </w:rPr>
        <w:t>中标方必须守法经营，接受卫生防疫部门、市场监督管理部门等相关部门的抽查抽检工作和管理部门的送检工作，检验结果必须对外公布；接受深圳大学、学校各相关部门和学校委派第三方机构的监督管理；积极配合学校管理部门的检查、抽检与监督工作，接受管理部门对原材料采购、生产流程、卫生消毒、供应价格、服务规范等的全方位监控。</w:t>
      </w:r>
    </w:p>
    <w:p>
      <w:pPr>
        <w:rPr>
          <w:rFonts w:ascii="宋体" w:hAnsi="宋体" w:eastAsia="宋体"/>
          <w:b/>
          <w:sz w:val="24"/>
          <w:szCs w:val="24"/>
        </w:rPr>
      </w:pPr>
      <w:r>
        <w:rPr>
          <w:rFonts w:hint="eastAsia" w:ascii="宋体" w:hAnsi="宋体" w:eastAsia="宋体"/>
          <w:b/>
          <w:sz w:val="24"/>
          <w:szCs w:val="24"/>
        </w:rPr>
        <w:t>2</w:t>
      </w:r>
      <w:r>
        <w:rPr>
          <w:rFonts w:ascii="宋体" w:hAnsi="宋体" w:eastAsia="宋体"/>
          <w:b/>
          <w:sz w:val="24"/>
          <w:szCs w:val="24"/>
        </w:rPr>
        <w:t>.</w:t>
      </w:r>
      <w:r>
        <w:rPr>
          <w:rFonts w:hint="eastAsia" w:ascii="宋体" w:hAnsi="宋体" w:eastAsia="宋体"/>
          <w:b/>
          <w:sz w:val="24"/>
          <w:szCs w:val="24"/>
        </w:rPr>
        <w:t>学校将定期组织考核，如果中标方年度考核不及格，经学校提出整改要求后，仍不整改，且情节恶劣的，学校有权单方面解除合同，中标方负全部责任。</w:t>
      </w:r>
    </w:p>
    <w:p>
      <w:pPr>
        <w:rPr>
          <w:rFonts w:ascii="宋体" w:hAnsi="宋体" w:eastAsia="宋体"/>
          <w:b/>
          <w:sz w:val="24"/>
          <w:szCs w:val="24"/>
        </w:rPr>
      </w:pPr>
    </w:p>
    <w:p>
      <w:pPr>
        <w:keepNext/>
        <w:keepLines/>
        <w:adjustRightInd w:val="0"/>
        <w:spacing w:before="231" w:beforeLines="50" w:after="231" w:afterLines="5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四、商务</w:t>
      </w:r>
      <w:r>
        <w:rPr>
          <w:rFonts w:ascii="宋体" w:hAnsi="宋体" w:eastAsia="宋体" w:cs="Times New Roman"/>
          <w:b/>
          <w:bCs/>
          <w:kern w:val="0"/>
          <w:sz w:val="28"/>
          <w:szCs w:val="28"/>
        </w:rPr>
        <w:t>需求</w:t>
      </w:r>
    </w:p>
    <w:p>
      <w:pPr>
        <w:adjustRightInd w:val="0"/>
        <w:snapToGrid w:val="0"/>
        <w:spacing w:line="360" w:lineRule="auto"/>
        <w:jc w:val="left"/>
        <w:rPr>
          <w:rFonts w:ascii="仿宋" w:hAnsi="仿宋" w:cs="仿宋"/>
        </w:rPr>
      </w:pPr>
      <w:r>
        <w:rPr>
          <w:rFonts w:hint="eastAsia"/>
          <w:szCs w:val="21"/>
        </w:rPr>
        <w:t>1</w:t>
      </w:r>
      <w:r>
        <w:rPr>
          <w:szCs w:val="21"/>
        </w:rPr>
        <w:t>、</w:t>
      </w:r>
      <w:r>
        <w:rPr>
          <w:rFonts w:hint="eastAsia" w:ascii="仿宋" w:hAnsi="仿宋" w:cs="仿宋"/>
        </w:rPr>
        <w:t>服务期限及续签要求：合同首次签约生效期限为自合同签订之日起1年。本项目为长期服务类项目，首次签约期届满前，由学校组织评定委员会对中标方的服务质量进行评定，评议结果达标，再由评定委员会将评定结果报学校审批，同意后可续签</w:t>
      </w:r>
      <w:r>
        <w:rPr>
          <w:rFonts w:ascii="仿宋" w:hAnsi="仿宋" w:cs="仿宋"/>
        </w:rPr>
        <w:t>2</w:t>
      </w:r>
      <w:r>
        <w:rPr>
          <w:rFonts w:hint="eastAsia" w:ascii="仿宋" w:hAnsi="仿宋" w:cs="仿宋"/>
        </w:rPr>
        <w:t>年合同，最多可续签</w:t>
      </w:r>
      <w:r>
        <w:rPr>
          <w:rFonts w:ascii="仿宋" w:hAnsi="仿宋" w:cs="仿宋"/>
        </w:rPr>
        <w:t>2</w:t>
      </w:r>
      <w:r>
        <w:rPr>
          <w:rFonts w:hint="eastAsia" w:ascii="仿宋" w:hAnsi="仿宋" w:cs="仿宋"/>
        </w:rPr>
        <w:t>次</w:t>
      </w:r>
      <w:r>
        <w:rPr>
          <w:rFonts w:ascii="仿宋" w:hAnsi="仿宋" w:cs="仿宋"/>
        </w:rPr>
        <w:t>,</w:t>
      </w:r>
      <w:r>
        <w:rPr>
          <w:rFonts w:hint="eastAsia" w:ascii="仿宋" w:hAnsi="仿宋" w:cs="仿宋"/>
        </w:rPr>
        <w:t>项目总合同年限不可超过5年。</w:t>
      </w:r>
    </w:p>
    <w:p>
      <w:pPr>
        <w:adjustRightInd w:val="0"/>
        <w:snapToGrid w:val="0"/>
        <w:spacing w:line="360" w:lineRule="auto"/>
        <w:ind w:firstLine="420" w:firstLineChars="200"/>
        <w:jc w:val="left"/>
        <w:rPr>
          <w:color w:val="000000"/>
          <w:szCs w:val="21"/>
        </w:rPr>
      </w:pPr>
      <w:r>
        <w:rPr>
          <w:rFonts w:hint="eastAsia" w:ascii="仿宋" w:hAnsi="仿宋" w:cs="仿宋"/>
        </w:rPr>
        <w:t>如果年度考核不能满足深圳大学要求，经学校提出整改要求后，在规定期限内仍整改不达标的，学校有权单方面解除合同，中标方负完全责任。合同期结束后，视中标方经营情况、师生满意度、相关政府部门的规定以及学校的整体规划，由学校决定是否重新招标。</w:t>
      </w:r>
    </w:p>
    <w:p>
      <w:pPr>
        <w:adjustRightInd w:val="0"/>
        <w:snapToGrid w:val="0"/>
        <w:spacing w:line="360" w:lineRule="auto"/>
        <w:jc w:val="left"/>
        <w:rPr>
          <w:rFonts w:hAnsi="宋体"/>
          <w:szCs w:val="21"/>
        </w:rPr>
      </w:pPr>
      <w:r>
        <w:rPr>
          <w:rFonts w:hint="eastAsia"/>
          <w:szCs w:val="21"/>
        </w:rPr>
        <w:t>2、中标人应在合同签订后10个工作日内支付履约保证金50万元（不接受保函），履约保证金在合同期满后无息退还</w:t>
      </w:r>
      <w:r>
        <w:rPr>
          <w:rFonts w:hint="eastAsia" w:hAnsi="宋体"/>
          <w:szCs w:val="21"/>
        </w:rPr>
        <w:t>。在</w:t>
      </w:r>
      <w:r>
        <w:rPr>
          <w:rFonts w:hAnsi="宋体"/>
          <w:szCs w:val="21"/>
        </w:rPr>
        <w:t>服务期间，</w:t>
      </w:r>
      <w:r>
        <w:rPr>
          <w:rFonts w:hint="eastAsia" w:hAnsi="宋体"/>
          <w:szCs w:val="21"/>
        </w:rPr>
        <w:t>如中标人不按双方签订的合同规定履约，采购人有权扣除部分或没收其全部履约保证金，履约保证金不足以赔偿损失的，按实际损失赔偿。</w:t>
      </w:r>
    </w:p>
    <w:p>
      <w:pPr>
        <w:adjustRightInd w:val="0"/>
        <w:snapToGrid w:val="0"/>
        <w:spacing w:line="360" w:lineRule="auto"/>
        <w:jc w:val="left"/>
        <w:rPr>
          <w:szCs w:val="21"/>
        </w:rPr>
      </w:pPr>
      <w:r>
        <w:rPr>
          <w:rFonts w:hint="eastAsia"/>
          <w:szCs w:val="21"/>
        </w:rPr>
        <w:t>3、合作期内，中标方在经营过程中出现下列情况之一者，属违约行为，深圳大学有权终止双方合，责令限期退出，并要求承担违约责任：</w:t>
      </w:r>
    </w:p>
    <w:p>
      <w:pPr>
        <w:adjustRightInd w:val="0"/>
        <w:snapToGrid w:val="0"/>
        <w:spacing w:line="360" w:lineRule="auto"/>
        <w:jc w:val="left"/>
        <w:rPr>
          <w:szCs w:val="21"/>
        </w:rPr>
      </w:pPr>
      <w:r>
        <w:rPr>
          <w:rFonts w:hint="eastAsia"/>
          <w:szCs w:val="21"/>
        </w:rPr>
        <w:t>（1） 发生师 生食物中毒，或安全生产责任事故 ，且造 成严 重后果的 ；</w:t>
      </w:r>
    </w:p>
    <w:p>
      <w:pPr>
        <w:adjustRightInd w:val="0"/>
        <w:snapToGrid w:val="0"/>
        <w:spacing w:line="360" w:lineRule="auto"/>
        <w:jc w:val="left"/>
        <w:rPr>
          <w:szCs w:val="21"/>
        </w:rPr>
      </w:pPr>
      <w:r>
        <w:rPr>
          <w:rFonts w:hint="eastAsia"/>
          <w:szCs w:val="21"/>
        </w:rPr>
        <w:t>（2） 因食品价格、质量 、卫生和服务等引发校内罢餐、 静坐 、游行等群发事件，影响 恶劣 的；</w:t>
      </w:r>
    </w:p>
    <w:p>
      <w:pPr>
        <w:adjustRightInd w:val="0"/>
        <w:snapToGrid w:val="0"/>
        <w:spacing w:line="360" w:lineRule="auto"/>
        <w:jc w:val="left"/>
        <w:rPr>
          <w:szCs w:val="21"/>
        </w:rPr>
      </w:pPr>
      <w:r>
        <w:rPr>
          <w:rFonts w:hint="eastAsia"/>
          <w:szCs w:val="21"/>
        </w:rPr>
        <w:t>（3） 因中标方责任 ，导致在合同 经营期 限一年内未取 得食品 卫生监督量化分级管理 A 级资格的 ；</w:t>
      </w:r>
    </w:p>
    <w:p>
      <w:pPr>
        <w:adjustRightInd w:val="0"/>
        <w:snapToGrid w:val="0"/>
        <w:spacing w:line="360" w:lineRule="auto"/>
        <w:jc w:val="left"/>
        <w:rPr>
          <w:szCs w:val="21"/>
        </w:rPr>
      </w:pPr>
      <w:r>
        <w:rPr>
          <w:rFonts w:hint="eastAsia"/>
          <w:szCs w:val="21"/>
        </w:rPr>
        <w:t>（4） 在经 营过程中，出现掺杂做假 ，使用或销售“三 无” 产品 ，超出 经营范围经营等违规行为 ，经规劝，限期整改依然无效且情节严重的；</w:t>
      </w:r>
    </w:p>
    <w:p>
      <w:pPr>
        <w:adjustRightInd w:val="0"/>
        <w:snapToGrid w:val="0"/>
        <w:spacing w:line="360" w:lineRule="auto"/>
        <w:jc w:val="left"/>
        <w:rPr>
          <w:szCs w:val="21"/>
        </w:rPr>
      </w:pPr>
      <w:r>
        <w:rPr>
          <w:rFonts w:hint="eastAsia"/>
          <w:szCs w:val="21"/>
        </w:rPr>
        <w:t>（5） 在经 营过程中，因使用通过非 正规渠道采购的原材料且在日 常供餐 中发生食物中毒事件的，中标方除按管理办法退 出经营外 ，还应承担相应的经济和法律责任 ；</w:t>
      </w:r>
    </w:p>
    <w:p>
      <w:pPr>
        <w:adjustRightInd w:val="0"/>
        <w:snapToGrid w:val="0"/>
        <w:spacing w:line="360" w:lineRule="auto"/>
        <w:jc w:val="left"/>
        <w:rPr>
          <w:szCs w:val="21"/>
        </w:rPr>
      </w:pPr>
      <w:r>
        <w:rPr>
          <w:rFonts w:hint="eastAsia"/>
          <w:szCs w:val="21"/>
        </w:rPr>
        <w:t>（6） 在接受有关 执法部门检查 中，因存在食品 卫生质 量问题 、安全问题被通报或被新闻媒体曝光 ，严 重损害影 响 学校声誉的 ；</w:t>
      </w:r>
    </w:p>
    <w:p>
      <w:pPr>
        <w:adjustRightInd w:val="0"/>
        <w:snapToGrid w:val="0"/>
        <w:spacing w:line="360" w:lineRule="auto"/>
        <w:jc w:val="left"/>
        <w:rPr>
          <w:szCs w:val="21"/>
        </w:rPr>
      </w:pPr>
      <w:r>
        <w:rPr>
          <w:rFonts w:hint="eastAsia"/>
          <w:szCs w:val="21"/>
        </w:rPr>
        <w:t>（7） 在经 营过程中存在转包 、分包 经营或 挂靠经营行为的；</w:t>
      </w:r>
    </w:p>
    <w:p>
      <w:pPr>
        <w:adjustRightInd w:val="0"/>
        <w:snapToGrid w:val="0"/>
        <w:spacing w:line="360" w:lineRule="auto"/>
        <w:jc w:val="left"/>
        <w:rPr>
          <w:szCs w:val="21"/>
        </w:rPr>
      </w:pPr>
      <w:r>
        <w:rPr>
          <w:rFonts w:hint="eastAsia"/>
          <w:szCs w:val="21"/>
        </w:rPr>
        <w:t>（8） 投标时以弄虚作假等欺诈 手段获得准入资格 ，或 经营情况发 生变化不符合准入条件的 ；</w:t>
      </w:r>
    </w:p>
    <w:p>
      <w:pPr>
        <w:adjustRightInd w:val="0"/>
        <w:snapToGrid w:val="0"/>
        <w:spacing w:line="360" w:lineRule="auto"/>
        <w:jc w:val="left"/>
        <w:rPr>
          <w:szCs w:val="21"/>
        </w:rPr>
      </w:pPr>
      <w:r>
        <w:rPr>
          <w:rFonts w:hint="eastAsia"/>
          <w:szCs w:val="21"/>
        </w:rPr>
        <w:t>（9） 在经营过程中 未经学校同 意 ，擅自 改变 内部结构 、 餐厅布局 、经营范围的；</w:t>
      </w:r>
    </w:p>
    <w:p>
      <w:pPr>
        <w:adjustRightInd w:val="0"/>
        <w:snapToGrid w:val="0"/>
        <w:spacing w:line="360" w:lineRule="auto"/>
        <w:jc w:val="left"/>
        <w:rPr>
          <w:szCs w:val="21"/>
        </w:rPr>
      </w:pPr>
      <w:r>
        <w:rPr>
          <w:rFonts w:hint="eastAsia"/>
          <w:szCs w:val="21"/>
        </w:rPr>
        <w:t>（1</w:t>
      </w:r>
      <w:r>
        <w:rPr>
          <w:szCs w:val="21"/>
        </w:rPr>
        <w:t>0</w:t>
      </w:r>
      <w:r>
        <w:rPr>
          <w:rFonts w:hint="eastAsia"/>
          <w:szCs w:val="21"/>
        </w:rPr>
        <w:t>） 在经 营过程中 ，因中标方过失导致一方或双方被 行政处罚或其他违反法律法规导致严 重后果的行为 的；</w:t>
      </w:r>
    </w:p>
    <w:p>
      <w:pPr>
        <w:adjustRightInd w:val="0"/>
        <w:snapToGrid w:val="0"/>
        <w:spacing w:line="360" w:lineRule="auto"/>
        <w:jc w:val="left"/>
        <w:rPr>
          <w:szCs w:val="21"/>
        </w:rPr>
      </w:pPr>
      <w:r>
        <w:rPr>
          <w:rFonts w:hint="eastAsia"/>
          <w:szCs w:val="21"/>
        </w:rPr>
        <w:t>（1</w:t>
      </w:r>
      <w:r>
        <w:rPr>
          <w:szCs w:val="21"/>
        </w:rPr>
        <w:t>1</w:t>
      </w:r>
      <w:r>
        <w:rPr>
          <w:rFonts w:hint="eastAsia"/>
          <w:szCs w:val="21"/>
        </w:rPr>
        <w:t>） 中标方与所雇佣员 工发生劳资纠纷，经有关部 门认定中标方承担主要责任 ，且在规定期 限内不予整改的；</w:t>
      </w:r>
    </w:p>
    <w:p>
      <w:pPr>
        <w:adjustRightInd w:val="0"/>
        <w:snapToGrid w:val="0"/>
        <w:spacing w:line="360" w:lineRule="auto"/>
        <w:jc w:val="left"/>
        <w:rPr>
          <w:szCs w:val="21"/>
        </w:rPr>
      </w:pPr>
      <w:r>
        <w:rPr>
          <w:rFonts w:hint="eastAsia"/>
          <w:szCs w:val="21"/>
        </w:rPr>
        <w:t>（1</w:t>
      </w:r>
      <w:r>
        <w:rPr>
          <w:szCs w:val="21"/>
        </w:rPr>
        <w:t>2</w:t>
      </w:r>
      <w:r>
        <w:rPr>
          <w:rFonts w:hint="eastAsia"/>
          <w:szCs w:val="21"/>
        </w:rPr>
        <w:t>） 发生辱骂 、殴打学校管 理人员或 学生行为且情节严重的 ；</w:t>
      </w:r>
    </w:p>
    <w:p>
      <w:pPr>
        <w:adjustRightInd w:val="0"/>
        <w:snapToGrid w:val="0"/>
        <w:spacing w:line="360" w:lineRule="auto"/>
        <w:jc w:val="left"/>
        <w:rPr>
          <w:szCs w:val="21"/>
        </w:rPr>
      </w:pPr>
      <w:r>
        <w:rPr>
          <w:rFonts w:hint="eastAsia"/>
          <w:szCs w:val="21"/>
        </w:rPr>
        <w:t>（1</w:t>
      </w:r>
      <w:r>
        <w:rPr>
          <w:szCs w:val="21"/>
        </w:rPr>
        <w:t>3</w:t>
      </w:r>
      <w:r>
        <w:rPr>
          <w:rFonts w:hint="eastAsia"/>
          <w:szCs w:val="21"/>
        </w:rPr>
        <w:t>） 中途擅自停业或 不按合同 营业的；</w:t>
      </w:r>
    </w:p>
    <w:p>
      <w:pPr>
        <w:adjustRightInd w:val="0"/>
        <w:snapToGrid w:val="0"/>
        <w:spacing w:line="360" w:lineRule="auto"/>
        <w:jc w:val="left"/>
        <w:rPr>
          <w:szCs w:val="21"/>
        </w:rPr>
      </w:pPr>
      <w:r>
        <w:rPr>
          <w:rFonts w:hint="eastAsia"/>
          <w:szCs w:val="21"/>
        </w:rPr>
        <w:t>（1</w:t>
      </w:r>
      <w:r>
        <w:rPr>
          <w:szCs w:val="21"/>
        </w:rPr>
        <w:t>4</w:t>
      </w:r>
      <w:r>
        <w:rPr>
          <w:rFonts w:hint="eastAsia"/>
          <w:szCs w:val="21"/>
        </w:rPr>
        <w:t>） 重要事项不服从学校监督管 理的；</w:t>
      </w:r>
    </w:p>
    <w:p>
      <w:pPr>
        <w:adjustRightInd w:val="0"/>
        <w:snapToGrid w:val="0"/>
        <w:spacing w:line="360" w:lineRule="auto"/>
        <w:jc w:val="left"/>
        <w:rPr>
          <w:szCs w:val="21"/>
        </w:rPr>
      </w:pPr>
      <w:r>
        <w:rPr>
          <w:rFonts w:hint="eastAsia"/>
          <w:szCs w:val="21"/>
        </w:rPr>
        <w:t>（1</w:t>
      </w:r>
      <w:r>
        <w:rPr>
          <w:szCs w:val="21"/>
        </w:rPr>
        <w:t>5</w:t>
      </w:r>
      <w:r>
        <w:rPr>
          <w:rFonts w:hint="eastAsia"/>
          <w:szCs w:val="21"/>
        </w:rPr>
        <w:t>） 违反法律 、行政法规规定的其他条件。</w:t>
      </w:r>
    </w:p>
    <w:p>
      <w:pPr>
        <w:widowControl/>
        <w:spacing w:before="100" w:beforeAutospacing="1" w:after="100" w:afterAutospacing="1" w:line="560" w:lineRule="atLeast"/>
        <w:ind w:firstLine="480"/>
        <w:jc w:val="center"/>
        <w:rPr>
          <w:rFonts w:ascii="宋体" w:hAnsi="宋体" w:eastAsia="宋体" w:cs="Times New Roman"/>
          <w:b/>
          <w:bCs/>
          <w:sz w:val="24"/>
          <w:szCs w:val="20"/>
        </w:rPr>
      </w:pPr>
    </w:p>
    <w:p>
      <w:pPr>
        <w:pStyle w:val="2"/>
        <w:rPr>
          <w:rFonts w:ascii="宋体" w:hAnsi="宋体" w:eastAsia="宋体" w:cs="Times New Roman"/>
          <w:b/>
          <w:bCs/>
          <w:sz w:val="24"/>
          <w:szCs w:val="20"/>
        </w:rPr>
      </w:pPr>
    </w:p>
    <w:p>
      <w:pPr>
        <w:rPr>
          <w:rFonts w:ascii="宋体" w:hAnsi="宋体" w:eastAsia="宋体" w:cs="Times New Roman"/>
          <w:b/>
          <w:bCs/>
          <w:sz w:val="24"/>
          <w:szCs w:val="20"/>
        </w:rPr>
      </w:pPr>
    </w:p>
    <w:p>
      <w:pPr>
        <w:pStyle w:val="2"/>
        <w:rPr>
          <w:rFonts w:ascii="宋体" w:hAnsi="宋体" w:eastAsia="宋体" w:cs="Times New Roman"/>
          <w:b/>
          <w:bCs/>
          <w:sz w:val="24"/>
          <w:szCs w:val="20"/>
        </w:rPr>
      </w:pPr>
    </w:p>
    <w:p>
      <w:pPr>
        <w:rPr>
          <w:rFonts w:ascii="宋体" w:hAnsi="宋体" w:eastAsia="宋体" w:cs="Times New Roman"/>
          <w:b/>
          <w:bCs/>
          <w:sz w:val="24"/>
          <w:szCs w:val="20"/>
        </w:rPr>
      </w:pPr>
    </w:p>
    <w:p>
      <w:pPr>
        <w:pStyle w:val="2"/>
        <w:rPr>
          <w:rFonts w:ascii="宋体" w:hAnsi="宋体" w:eastAsia="宋体" w:cs="Times New Roman"/>
          <w:b/>
          <w:bCs/>
          <w:sz w:val="24"/>
          <w:szCs w:val="20"/>
        </w:rPr>
      </w:pPr>
    </w:p>
    <w:p>
      <w:pPr>
        <w:rPr>
          <w:rFonts w:ascii="宋体" w:hAnsi="宋体" w:eastAsia="宋体" w:cs="Times New Roman"/>
          <w:b/>
          <w:bCs/>
          <w:sz w:val="24"/>
          <w:szCs w:val="20"/>
        </w:rPr>
      </w:pPr>
    </w:p>
    <w:p>
      <w:pPr>
        <w:pStyle w:val="2"/>
        <w:rPr>
          <w:rFonts w:ascii="宋体" w:hAnsi="宋体" w:eastAsia="宋体" w:cs="Times New Roman"/>
          <w:b/>
          <w:bCs/>
          <w:sz w:val="24"/>
          <w:szCs w:val="20"/>
        </w:rPr>
      </w:pPr>
    </w:p>
    <w:p>
      <w:pPr>
        <w:rPr>
          <w:rFonts w:ascii="宋体" w:hAnsi="宋体" w:eastAsia="宋体" w:cs="Times New Roman"/>
          <w:b/>
          <w:bCs/>
          <w:sz w:val="24"/>
          <w:szCs w:val="20"/>
        </w:rPr>
      </w:pPr>
    </w:p>
    <w:p>
      <w:pPr>
        <w:pStyle w:val="2"/>
        <w:rPr>
          <w:rFonts w:ascii="宋体" w:hAnsi="宋体" w:eastAsia="宋体" w:cs="Times New Roman"/>
          <w:b/>
          <w:bCs/>
          <w:sz w:val="24"/>
          <w:szCs w:val="20"/>
        </w:rPr>
      </w:pPr>
    </w:p>
    <w:p>
      <w:pPr>
        <w:rPr>
          <w:rFonts w:ascii="宋体" w:hAnsi="宋体" w:eastAsia="宋体" w:cs="Times New Roman"/>
          <w:b/>
          <w:bCs/>
          <w:sz w:val="24"/>
          <w:szCs w:val="20"/>
        </w:rPr>
      </w:pPr>
    </w:p>
    <w:p>
      <w:pPr>
        <w:pStyle w:val="2"/>
        <w:rPr>
          <w:rFonts w:ascii="宋体" w:hAnsi="宋体" w:eastAsia="宋体" w:cs="Times New Roman"/>
          <w:b/>
          <w:bCs/>
          <w:sz w:val="24"/>
          <w:szCs w:val="20"/>
        </w:rPr>
      </w:pPr>
    </w:p>
    <w:p>
      <w:pPr>
        <w:rPr>
          <w:rFonts w:ascii="宋体" w:hAnsi="宋体" w:eastAsia="宋体" w:cs="Times New Roman"/>
          <w:b/>
          <w:bCs/>
          <w:sz w:val="24"/>
          <w:szCs w:val="20"/>
        </w:rPr>
      </w:pPr>
    </w:p>
    <w:p>
      <w:pPr>
        <w:pStyle w:val="2"/>
        <w:rPr>
          <w:rFonts w:ascii="宋体" w:hAnsi="宋体" w:eastAsia="宋体" w:cs="Times New Roman"/>
          <w:b/>
          <w:bCs/>
          <w:sz w:val="24"/>
          <w:szCs w:val="20"/>
        </w:rPr>
      </w:pPr>
    </w:p>
    <w:p>
      <w:pPr>
        <w:rPr>
          <w:rFonts w:ascii="宋体" w:hAnsi="宋体" w:eastAsia="宋体" w:cs="Times New Roman"/>
          <w:b/>
          <w:bCs/>
          <w:sz w:val="24"/>
          <w:szCs w:val="20"/>
        </w:rPr>
      </w:pPr>
    </w:p>
    <w:p>
      <w:pPr>
        <w:pStyle w:val="2"/>
        <w:rPr>
          <w:rFonts w:ascii="宋体" w:hAnsi="宋体" w:eastAsia="宋体" w:cs="Times New Roman"/>
          <w:b/>
          <w:bCs/>
          <w:sz w:val="24"/>
          <w:szCs w:val="20"/>
        </w:rPr>
      </w:pPr>
    </w:p>
    <w:p>
      <w:pPr>
        <w:rPr>
          <w:rFonts w:ascii="宋体" w:hAnsi="宋体" w:eastAsia="宋体" w:cs="Times New Roman"/>
          <w:b/>
          <w:bCs/>
          <w:sz w:val="24"/>
          <w:szCs w:val="20"/>
        </w:rPr>
      </w:pPr>
    </w:p>
    <w:p>
      <w:pPr>
        <w:pStyle w:val="2"/>
        <w:rPr>
          <w:rFonts w:ascii="宋体" w:hAnsi="宋体" w:eastAsia="宋体" w:cs="Times New Roman"/>
          <w:b/>
          <w:bCs/>
          <w:sz w:val="24"/>
          <w:szCs w:val="20"/>
        </w:rPr>
      </w:pPr>
    </w:p>
    <w:p>
      <w:pPr>
        <w:rPr>
          <w:rFonts w:ascii="宋体" w:hAnsi="宋体" w:eastAsia="宋体" w:cs="Times New Roman"/>
          <w:b/>
          <w:bCs/>
          <w:sz w:val="24"/>
          <w:szCs w:val="20"/>
        </w:rPr>
      </w:pPr>
    </w:p>
    <w:p>
      <w:pPr>
        <w:pStyle w:val="2"/>
      </w:pPr>
    </w:p>
    <w:p>
      <w:pPr>
        <w:widowControl/>
        <w:spacing w:before="100" w:beforeAutospacing="1" w:after="100" w:afterAutospacing="1" w:line="560" w:lineRule="atLeast"/>
        <w:ind w:firstLine="480"/>
        <w:jc w:val="center"/>
        <w:rPr>
          <w:rFonts w:ascii="宋体" w:hAnsi="宋体" w:eastAsia="宋体" w:cs="Times New Roman"/>
          <w:b/>
          <w:bCs/>
          <w:sz w:val="24"/>
          <w:szCs w:val="20"/>
        </w:rPr>
      </w:pPr>
    </w:p>
    <w:p>
      <w:pPr>
        <w:widowControl/>
        <w:spacing w:before="100" w:beforeAutospacing="1" w:after="100" w:afterAutospacing="1" w:line="560" w:lineRule="atLeast"/>
        <w:jc w:val="center"/>
        <w:rPr>
          <w:rFonts w:ascii="Times New Roman" w:hAnsi="Times New Roman" w:eastAsia="宋体" w:cs="Times New Roman"/>
          <w:b/>
          <w:sz w:val="24"/>
          <w:szCs w:val="24"/>
        </w:rPr>
      </w:pPr>
      <w:r>
        <w:rPr>
          <w:rFonts w:hint="eastAsia" w:ascii="宋体" w:hAnsi="宋体" w:eastAsia="宋体" w:cs="Times New Roman"/>
          <w:b/>
          <w:bCs/>
          <w:sz w:val="24"/>
          <w:szCs w:val="20"/>
        </w:rPr>
        <w:t>第三章 投标文件格式、附件</w:t>
      </w:r>
    </w:p>
    <w:p>
      <w:pPr>
        <w:rPr>
          <w:rFonts w:ascii="宋体" w:hAnsi="宋体" w:eastAsia="宋体" w:cs="Times New Roman"/>
          <w:sz w:val="24"/>
          <w:szCs w:val="24"/>
        </w:rPr>
      </w:pPr>
      <w:r>
        <w:rPr>
          <w:rFonts w:hint="eastAsia" w:ascii="宋体" w:hAnsi="宋体" w:eastAsia="宋体" w:cs="Times New Roman"/>
          <w:sz w:val="24"/>
          <w:szCs w:val="24"/>
        </w:rPr>
        <w:t>投标文件组成：</w:t>
      </w:r>
    </w:p>
    <w:p>
      <w:pPr>
        <w:ind w:firstLine="840" w:firstLineChars="400"/>
        <w:rPr>
          <w:rFonts w:ascii="宋体" w:hAnsi="宋体" w:eastAsia="宋体" w:cs="Times New Roman"/>
          <w:sz w:val="24"/>
          <w:szCs w:val="24"/>
        </w:rPr>
      </w:pPr>
      <w:r>
        <w:rPr>
          <w:rFonts w:hint="eastAsia" w:ascii="宋体" w:hAnsi="宋体" w:eastAsia="宋体" w:cs="Times New Roman"/>
          <w:szCs w:val="24"/>
        </w:rPr>
        <w:t>1、投标文件第一部分</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（1）投标函</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（2）承诺函</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3</w:t>
      </w:r>
      <w:r>
        <w:rPr>
          <w:rFonts w:hint="eastAsia" w:ascii="宋体" w:hAnsi="宋体" w:eastAsia="宋体" w:cs="Times New Roman"/>
          <w:szCs w:val="21"/>
        </w:rPr>
        <w:t>）投标人情况介绍</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4</w:t>
      </w:r>
      <w:r>
        <w:rPr>
          <w:rFonts w:hint="eastAsia" w:ascii="宋体" w:hAnsi="宋体" w:eastAsia="宋体" w:cs="Times New Roman"/>
          <w:szCs w:val="21"/>
        </w:rPr>
        <w:t>）投标人资格情况及通过相关认证情况</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5</w:t>
      </w:r>
      <w:r>
        <w:rPr>
          <w:rFonts w:hint="eastAsia" w:ascii="宋体" w:hAnsi="宋体" w:eastAsia="宋体" w:cs="Times New Roman"/>
          <w:szCs w:val="21"/>
        </w:rPr>
        <w:t>）拟安排的项目负责人情况</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6</w:t>
      </w:r>
      <w:r>
        <w:rPr>
          <w:rFonts w:hint="eastAsia" w:ascii="宋体" w:hAnsi="宋体" w:eastAsia="宋体" w:cs="Times New Roman"/>
          <w:szCs w:val="21"/>
        </w:rPr>
        <w:t>）拟安排的项目团队成员（项目负责人除外）情况</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7</w:t>
      </w:r>
      <w:r>
        <w:rPr>
          <w:rFonts w:hint="eastAsia" w:ascii="宋体" w:hAnsi="宋体" w:eastAsia="宋体" w:cs="Times New Roman"/>
          <w:szCs w:val="21"/>
        </w:rPr>
        <w:t>）项目拟使用的车辆（场地、工具、机器）情况</w:t>
      </w:r>
    </w:p>
    <w:p>
      <w:pPr>
        <w:spacing w:before="115" w:beforeLines="25" w:after="115" w:afterLines="25"/>
        <w:ind w:firstLine="1547" w:firstLineChars="737"/>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8</w:t>
      </w:r>
      <w:r>
        <w:rPr>
          <w:rFonts w:hint="eastAsia" w:ascii="宋体" w:hAnsi="宋体" w:eastAsia="宋体" w:cs="Times New Roman"/>
          <w:szCs w:val="21"/>
        </w:rPr>
        <w:t>）其它招标文件要求的内容及投标人认为需要补充的内容（格式自定）</w:t>
      </w:r>
    </w:p>
    <w:p>
      <w:pPr>
        <w:ind w:firstLine="840" w:firstLineChars="400"/>
        <w:rPr>
          <w:rFonts w:ascii="宋体" w:hAnsi="宋体" w:eastAsia="宋体" w:cs="Times New Roman"/>
          <w:szCs w:val="21"/>
        </w:rPr>
      </w:pPr>
      <w:r>
        <w:rPr>
          <w:rFonts w:hint="eastAsia" w:ascii="宋体" w:hAnsi="宋体" w:eastAsia="宋体" w:cs="Times New Roman"/>
          <w:szCs w:val="21"/>
        </w:rPr>
        <w:t>2、投标文件第二</w:t>
      </w:r>
      <w:r>
        <w:rPr>
          <w:rFonts w:ascii="宋体" w:hAnsi="宋体" w:eastAsia="宋体" w:cs="Times New Roman"/>
          <w:szCs w:val="21"/>
        </w:rPr>
        <w:t>部分</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（1）法定代表人（负责人）授权委托书</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（2）实施方案</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（3）项目重点难点分析、应对措施及相关的合理化建议</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（4）质量（完成时间、安全、环保）保障措施及方案</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5</w:t>
      </w:r>
      <w:r>
        <w:rPr>
          <w:rFonts w:hint="eastAsia" w:ascii="宋体" w:hAnsi="宋体" w:eastAsia="宋体" w:cs="Times New Roman"/>
          <w:szCs w:val="21"/>
        </w:rPr>
        <w:t>）违约承诺</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6</w:t>
      </w:r>
      <w:r>
        <w:rPr>
          <w:rFonts w:ascii="宋体" w:hAnsi="宋体" w:eastAsia="宋体" w:cs="Times New Roman"/>
          <w:szCs w:val="21"/>
        </w:rPr>
        <w:t>）</w:t>
      </w:r>
      <w:r>
        <w:rPr>
          <w:rFonts w:hint="eastAsia" w:ascii="宋体" w:hAnsi="宋体" w:eastAsia="宋体" w:cs="Times New Roman"/>
          <w:szCs w:val="21"/>
        </w:rPr>
        <w:t>无违法违规行为承诺函</w:t>
      </w:r>
    </w:p>
    <w:p>
      <w:pPr>
        <w:ind w:left="210" w:leftChars="100" w:firstLine="1348" w:firstLineChars="642"/>
        <w:rPr>
          <w:rFonts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7</w:t>
      </w:r>
      <w:r>
        <w:rPr>
          <w:rFonts w:hint="eastAsia" w:ascii="宋体" w:hAnsi="宋体" w:eastAsia="宋体" w:cs="Times New Roman"/>
          <w:szCs w:val="21"/>
        </w:rPr>
        <w:t>）其它招标文件要求的内容及投标人认为需要补充的内容（格式自定）</w:t>
      </w:r>
    </w:p>
    <w:p>
      <w:pPr>
        <w:ind w:left="718" w:leftChars="342" w:firstLine="1620" w:firstLineChars="675"/>
        <w:rPr>
          <w:rFonts w:ascii="Times New Roman" w:hAnsi="Times New Roman" w:eastAsia="宋体" w:cs="Times New Roman"/>
          <w:sz w:val="24"/>
          <w:szCs w:val="24"/>
        </w:rPr>
      </w:pPr>
    </w:p>
    <w:p>
      <w:pPr>
        <w:pStyle w:val="2"/>
        <w:ind w:firstLine="211"/>
      </w:pPr>
    </w:p>
    <w:p/>
    <w:p/>
    <w:p/>
    <w:p>
      <w:pPr>
        <w:pStyle w:val="2"/>
      </w:pPr>
    </w:p>
    <w:p>
      <w:pPr>
        <w:rPr>
          <w:rFonts w:ascii="仿宋_GB2312" w:hAnsi="Times New Roman" w:eastAsia="仿宋_GB2312" w:cs="Times New Roman"/>
          <w:sz w:val="24"/>
          <w:szCs w:val="24"/>
        </w:rPr>
      </w:pPr>
    </w:p>
    <w:p>
      <w:pPr>
        <w:rPr>
          <w:rFonts w:ascii="仿宋_GB2312" w:hAnsi="Times New Roman" w:eastAsia="仿宋_GB2312" w:cs="Times New Roman"/>
          <w:b/>
          <w:sz w:val="30"/>
          <w:szCs w:val="30"/>
        </w:rPr>
      </w:pPr>
      <w:r>
        <w:rPr>
          <w:rFonts w:hint="eastAsia" w:ascii="仿宋_GB2312" w:hAnsi="Times New Roman" w:eastAsia="仿宋_GB2312" w:cs="Times New Roman"/>
          <w:b/>
          <w:sz w:val="30"/>
          <w:szCs w:val="30"/>
        </w:rPr>
        <w:t>投标文件第一部分：</w:t>
      </w:r>
    </w:p>
    <w:p>
      <w:pPr>
        <w:rPr>
          <w:rFonts w:ascii="Times New Roman" w:hAnsi="Times New Roman" w:eastAsia="宋体" w:cs="Times New Roman"/>
          <w:kern w:val="0"/>
          <w:szCs w:val="24"/>
        </w:rPr>
      </w:pPr>
    </w:p>
    <w:p>
      <w:pPr>
        <w:keepNext/>
        <w:keepLines/>
        <w:spacing w:before="260" w:after="260"/>
        <w:jc w:val="center"/>
        <w:outlineLvl w:val="2"/>
        <w:rPr>
          <w:rFonts w:ascii="黑体" w:hAnsi="宋体" w:eastAsia="黑体" w:cs="Times New Roman"/>
          <w:bCs/>
          <w:kern w:val="0"/>
          <w:sz w:val="24"/>
          <w:szCs w:val="32"/>
        </w:rPr>
      </w:pPr>
      <w:r>
        <w:rPr>
          <w:rFonts w:hint="eastAsia" w:ascii="黑体" w:hAnsi="宋体" w:eastAsia="黑体" w:cs="Times New Roman"/>
          <w:bCs/>
          <w:kern w:val="0"/>
          <w:sz w:val="24"/>
          <w:szCs w:val="32"/>
        </w:rPr>
        <w:t>一、投标函</w:t>
      </w:r>
    </w:p>
    <w:p>
      <w:pPr>
        <w:spacing w:line="360" w:lineRule="auto"/>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 xml:space="preserve">  深圳大学  </w:t>
      </w:r>
    </w:p>
    <w:p>
      <w:pPr>
        <w:spacing w:after="231" w:afterLines="50"/>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pPr>
        <w:spacing w:after="231" w:afterLines="50"/>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、如果我方中标，我方将按照规定提交上述总价％作为履约担保（可提供保函或现金）。</w:t>
      </w:r>
    </w:p>
    <w:p>
      <w:pPr>
        <w:spacing w:after="231" w:afterLines="50"/>
        <w:ind w:firstLine="411" w:firstLineChars="196"/>
        <w:rPr>
          <w:rFonts w:ascii="宋体" w:hAnsi="宋体" w:eastAsia="宋体" w:cs="Times New Roman"/>
          <w:szCs w:val="21"/>
        </w:rPr>
      </w:pPr>
      <w:r>
        <w:rPr>
          <w:rFonts w:hint="eastAsia" w:ascii="宋体" w:hAnsi="宋体" w:eastAsia="宋体" w:cs="Times New Roman"/>
          <w:szCs w:val="21"/>
        </w:rPr>
        <w:t>3、我方同意所递交的投标文件在“对通用条款的补充内容”中的投标有效期内有效，在此期间内我方的投标有可能中标，我方将受此约束。</w:t>
      </w:r>
    </w:p>
    <w:p>
      <w:pPr>
        <w:spacing w:after="231" w:afterLines="50"/>
        <w:ind w:firstLine="411" w:firstLineChars="196"/>
        <w:rPr>
          <w:rFonts w:ascii="宋体" w:hAnsi="宋体" w:eastAsia="宋体" w:cs="Times New Roman"/>
          <w:szCs w:val="21"/>
        </w:rPr>
      </w:pPr>
      <w:r>
        <w:rPr>
          <w:rFonts w:hint="eastAsia" w:ascii="宋体" w:hAnsi="宋体" w:eastAsia="宋体" w:cs="Times New Roman"/>
          <w:szCs w:val="21"/>
        </w:rPr>
        <w:t>4、除非另外达成协议并生效，贵方的中标通知书和本投标文件将构成约束我们双方的合同。</w:t>
      </w:r>
    </w:p>
    <w:p>
      <w:pPr>
        <w:spacing w:after="231" w:afterLines="50"/>
        <w:ind w:firstLine="411" w:firstLineChars="196"/>
        <w:rPr>
          <w:rFonts w:ascii="宋体" w:hAnsi="宋体" w:eastAsia="宋体" w:cs="Times New Roman"/>
          <w:szCs w:val="21"/>
        </w:rPr>
      </w:pPr>
      <w:r>
        <w:rPr>
          <w:rFonts w:hint="eastAsia" w:ascii="宋体" w:hAnsi="宋体" w:eastAsia="宋体" w:cs="Times New Roman"/>
          <w:szCs w:val="21"/>
        </w:rPr>
        <w:t>5、我方理解贵方将不受必须接受你们所收到的最低标价或其它任何投标文件的约束。</w:t>
      </w:r>
    </w:p>
    <w:p>
      <w:pPr>
        <w:ind w:left="540" w:leftChars="257"/>
        <w:rPr>
          <w:rFonts w:ascii="Times New Roman" w:hAnsi="Times New Roman" w:eastAsia="宋体" w:cs="Times New Roman"/>
          <w:szCs w:val="21"/>
        </w:rPr>
      </w:pPr>
    </w:p>
    <w:p>
      <w:pPr>
        <w:ind w:left="540" w:leftChars="257"/>
        <w:rPr>
          <w:rFonts w:ascii="Times New Roman" w:hAnsi="Times New Roman" w:eastAsia="宋体" w:cs="Times New Roman"/>
          <w:szCs w:val="21"/>
        </w:rPr>
      </w:pPr>
      <w:r>
        <w:rPr>
          <w:rFonts w:hint="eastAsia" w:ascii="Times New Roman" w:hAnsi="Times New Roman" w:eastAsia="宋体" w:cs="Times New Roman"/>
          <w:szCs w:val="21"/>
        </w:rPr>
        <w:t xml:space="preserve">投标人：   (公章) </w:t>
      </w:r>
    </w:p>
    <w:p>
      <w:pPr>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单位地址：</w:t>
      </w:r>
    </w:p>
    <w:p>
      <w:pPr>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法定代表人或其委托代理人：</w:t>
      </w:r>
    </w:p>
    <w:p>
      <w:pPr>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邮政编码：  电话：  传真：</w:t>
      </w:r>
    </w:p>
    <w:p>
      <w:pPr>
        <w:ind w:left="540" w:leftChars="257"/>
        <w:rPr>
          <w:rFonts w:ascii="Times New Roman" w:hAnsi="Times New Roman" w:eastAsia="宋体" w:cs="Times New Roman"/>
          <w:szCs w:val="21"/>
        </w:rPr>
      </w:pPr>
      <w:r>
        <w:rPr>
          <w:rFonts w:hint="eastAsia" w:ascii="Times New Roman" w:hAnsi="Times New Roman" w:eastAsia="宋体" w:cs="Times New Roman"/>
          <w:szCs w:val="21"/>
        </w:rPr>
        <w:t>开户银行名称：</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rPr>
        <w:tab/>
      </w:r>
      <w:r>
        <w:rPr>
          <w:rFonts w:hint="eastAsia" w:ascii="Times New Roman" w:hAnsi="Times New Roman" w:eastAsia="宋体" w:cs="Times New Roman"/>
          <w:szCs w:val="21"/>
        </w:rPr>
        <w:t>开户银行帐号：</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p>
    <w:p>
      <w:pPr>
        <w:ind w:left="540" w:leftChars="257"/>
        <w:rPr>
          <w:rFonts w:ascii="Times New Roman" w:hAnsi="Times New Roman" w:eastAsia="宋体" w:cs="Times New Roman"/>
          <w:szCs w:val="21"/>
        </w:rPr>
      </w:pPr>
      <w:r>
        <w:rPr>
          <w:rFonts w:hint="eastAsia" w:ascii="Times New Roman" w:hAnsi="Times New Roman" w:eastAsia="宋体" w:cs="Times New Roman"/>
          <w:szCs w:val="21"/>
        </w:rPr>
        <w:t>开户银行地址：</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rPr>
        <w:tab/>
      </w:r>
      <w:r>
        <w:rPr>
          <w:rFonts w:hint="eastAsia" w:ascii="Times New Roman" w:hAnsi="Times New Roman" w:eastAsia="宋体" w:cs="Times New Roman"/>
          <w:szCs w:val="21"/>
        </w:rPr>
        <w:t>开户银行电话：</w:t>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r>
        <w:rPr>
          <w:rFonts w:hint="eastAsia" w:ascii="Times New Roman" w:hAnsi="Times New Roman" w:eastAsia="宋体" w:cs="Times New Roman"/>
          <w:szCs w:val="21"/>
          <w:u w:val="single"/>
        </w:rPr>
        <w:tab/>
      </w:r>
    </w:p>
    <w:p>
      <w:pPr>
        <w:ind w:firstLine="539" w:firstLineChars="257"/>
        <w:rPr>
          <w:rFonts w:ascii="Times New Roman" w:hAnsi="Times New Roman" w:eastAsia="宋体" w:cs="Times New Roman"/>
          <w:sz w:val="24"/>
          <w:szCs w:val="24"/>
        </w:rPr>
      </w:pPr>
      <w:r>
        <w:rPr>
          <w:rFonts w:hint="eastAsia" w:ascii="宋体" w:hAnsi="宋体" w:eastAsia="宋体" w:cs="Times New Roman"/>
          <w:szCs w:val="21"/>
        </w:rPr>
        <w:t>日期：年月日</w:t>
      </w:r>
    </w:p>
    <w:p>
      <w:pPr>
        <w:jc w:val="center"/>
        <w:rPr>
          <w:rFonts w:ascii="黑体" w:hAnsi="宋体" w:eastAsia="黑体" w:cs="Times New Roman"/>
          <w:bCs/>
          <w:kern w:val="0"/>
          <w:sz w:val="24"/>
          <w:szCs w:val="32"/>
        </w:rPr>
      </w:pPr>
      <w:r>
        <w:rPr>
          <w:rFonts w:ascii="黑体" w:hAnsi="宋体" w:eastAsia="黑体" w:cs="Times New Roman"/>
          <w:szCs w:val="24"/>
        </w:rPr>
        <w:br w:type="page"/>
      </w:r>
      <w:r>
        <w:rPr>
          <w:rFonts w:hint="eastAsia" w:ascii="黑体" w:hAnsi="宋体" w:eastAsia="黑体" w:cs="Times New Roman"/>
          <w:bCs/>
          <w:kern w:val="0"/>
          <w:sz w:val="24"/>
          <w:szCs w:val="32"/>
        </w:rPr>
        <w:t>二、投标承诺函</w:t>
      </w:r>
    </w:p>
    <w:p>
      <w:pPr>
        <w:rPr>
          <w:rFonts w:ascii="宋体" w:hAnsi="宋体" w:eastAsia="宋体" w:cs="Times New Roman"/>
          <w:sz w:val="24"/>
          <w:szCs w:val="24"/>
        </w:rPr>
      </w:pPr>
    </w:p>
    <w:p>
      <w:pPr>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深圳大学</w:t>
      </w:r>
    </w:p>
    <w:p>
      <w:pPr>
        <w:rPr>
          <w:rFonts w:ascii="宋体" w:hAnsi="宋体" w:eastAsia="宋体" w:cs="Times New Roman"/>
          <w:szCs w:val="21"/>
        </w:rPr>
      </w:pPr>
    </w:p>
    <w:p>
      <w:pPr>
        <w:ind w:firstLine="540"/>
        <w:rPr>
          <w:rFonts w:ascii="宋体" w:hAnsi="宋体" w:eastAsia="宋体" w:cs="Times New Roman"/>
          <w:szCs w:val="21"/>
        </w:rPr>
      </w:pPr>
      <w:r>
        <w:rPr>
          <w:rFonts w:hint="eastAsia" w:ascii="宋体" w:hAnsi="宋体" w:eastAsia="宋体" w:cs="Times New Roman"/>
          <w:szCs w:val="21"/>
        </w:rPr>
        <w:t>我公司承诺：</w:t>
      </w:r>
    </w:p>
    <w:p>
      <w:pPr>
        <w:ind w:firstLine="540"/>
        <w:rPr>
          <w:rFonts w:ascii="宋体" w:hAnsi="宋体" w:eastAsia="宋体" w:cs="Times New Roman"/>
          <w:szCs w:val="21"/>
        </w:rPr>
      </w:pPr>
      <w:r>
        <w:rPr>
          <w:rFonts w:hint="eastAsia" w:ascii="宋体" w:hAnsi="宋体" w:eastAsia="宋体" w:cs="Times New Roman"/>
          <w:szCs w:val="21"/>
        </w:rPr>
        <w:t>1.对本招标项目所提供的货物、工程或服务未侵犯知识产权。我公司已清楚，提供虚假承诺或者被有关单位确认为侵犯知识产权的，三年内不得参加深圳大学的采购活动。</w:t>
      </w:r>
    </w:p>
    <w:p>
      <w:pPr>
        <w:ind w:firstLine="540"/>
        <w:rPr>
          <w:rFonts w:ascii="宋体" w:hAnsi="宋体" w:eastAsia="宋体" w:cs="Times New Roman"/>
          <w:szCs w:val="21"/>
        </w:rPr>
      </w:pPr>
      <w:r>
        <w:rPr>
          <w:rFonts w:hint="eastAsia" w:ascii="宋体" w:hAnsi="宋体" w:eastAsia="宋体" w:cs="Times New Roman"/>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pPr>
        <w:ind w:firstLine="540"/>
        <w:rPr>
          <w:rFonts w:ascii="宋体" w:hAnsi="宋体" w:eastAsia="宋体" w:cs="Times New Roman"/>
          <w:szCs w:val="21"/>
        </w:rPr>
      </w:pPr>
      <w:r>
        <w:rPr>
          <w:rFonts w:hint="eastAsia" w:ascii="宋体" w:hAnsi="宋体" w:eastAsia="宋体" w:cs="Times New Roman"/>
          <w:szCs w:val="21"/>
        </w:rPr>
        <w:t>3.在本项目招标过程中，评标委员会若对投标人进行现场勘察或实地考察或检验有关证明材料的原件，我公司将随时做好接受检查的准备。</w:t>
      </w:r>
    </w:p>
    <w:p>
      <w:pPr>
        <w:ind w:firstLine="54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接受</w:t>
      </w:r>
      <w:r>
        <w:rPr>
          <w:rFonts w:ascii="宋体" w:hAnsi="宋体" w:eastAsia="宋体" w:cs="Times New Roman"/>
          <w:szCs w:val="21"/>
        </w:rPr>
        <w:t>、遵守、满足招标文件</w:t>
      </w:r>
      <w:r>
        <w:rPr>
          <w:rFonts w:hint="eastAsia" w:ascii="宋体" w:hAnsi="宋体" w:eastAsia="宋体" w:cs="Times New Roman"/>
          <w:szCs w:val="21"/>
        </w:rPr>
        <w:t>第二章</w:t>
      </w:r>
      <w:r>
        <w:rPr>
          <w:rFonts w:ascii="宋体" w:hAnsi="宋体" w:eastAsia="宋体" w:cs="Times New Roman"/>
          <w:szCs w:val="21"/>
        </w:rPr>
        <w:t xml:space="preserve">  招标项目需求</w:t>
      </w:r>
      <w:r>
        <w:rPr>
          <w:rFonts w:hint="eastAsia" w:ascii="宋体" w:hAnsi="宋体" w:eastAsia="宋体" w:cs="Times New Roman"/>
          <w:szCs w:val="21"/>
        </w:rPr>
        <w:t xml:space="preserve"> 的</w:t>
      </w:r>
      <w:r>
        <w:rPr>
          <w:rFonts w:ascii="宋体" w:hAnsi="宋体" w:eastAsia="宋体" w:cs="Times New Roman"/>
          <w:szCs w:val="21"/>
        </w:rPr>
        <w:t>全部内容。</w:t>
      </w:r>
    </w:p>
    <w:p>
      <w:pPr>
        <w:ind w:firstLine="540"/>
        <w:rPr>
          <w:rFonts w:ascii="宋体" w:hAnsi="宋体" w:eastAsia="宋体" w:cs="Times New Roman"/>
          <w:szCs w:val="21"/>
        </w:rPr>
      </w:pPr>
    </w:p>
    <w:p>
      <w:pPr>
        <w:ind w:firstLine="645"/>
        <w:rPr>
          <w:rFonts w:ascii="宋体" w:hAnsi="宋体" w:eastAsia="宋体" w:cs="Times New Roman"/>
          <w:szCs w:val="21"/>
        </w:rPr>
      </w:pPr>
    </w:p>
    <w:p>
      <w:pPr>
        <w:ind w:firstLine="645"/>
        <w:rPr>
          <w:rFonts w:ascii="宋体" w:hAnsi="宋体" w:eastAsia="宋体" w:cs="Times New Roman"/>
          <w:szCs w:val="21"/>
        </w:rPr>
      </w:pPr>
    </w:p>
    <w:p>
      <w:pPr>
        <w:ind w:firstLine="3360" w:firstLineChars="1600"/>
        <w:rPr>
          <w:rFonts w:ascii="宋体" w:hAnsi="宋体" w:eastAsia="宋体" w:cs="Times New Roman"/>
          <w:szCs w:val="21"/>
        </w:rPr>
      </w:pPr>
    </w:p>
    <w:p>
      <w:pPr>
        <w:ind w:firstLine="2730" w:firstLineChars="1300"/>
        <w:rPr>
          <w:rFonts w:ascii="宋体" w:hAnsi="宋体" w:eastAsia="宋体" w:cs="Times New Roman"/>
          <w:szCs w:val="21"/>
        </w:rPr>
      </w:pPr>
      <w:r>
        <w:rPr>
          <w:rFonts w:hint="eastAsia" w:ascii="宋体" w:hAnsi="宋体" w:eastAsia="宋体" w:cs="Times New Roman"/>
          <w:szCs w:val="21"/>
        </w:rPr>
        <w:t>公司名称：                             （公章）</w:t>
      </w:r>
    </w:p>
    <w:p>
      <w:pPr>
        <w:spacing w:line="360" w:lineRule="auto"/>
        <w:ind w:firstLine="420" w:firstLineChars="200"/>
        <w:rPr>
          <w:rFonts w:ascii="宋体" w:hAnsi="Times New Roman" w:eastAsia="宋体" w:cs="Times New Roman"/>
          <w:bCs/>
          <w:szCs w:val="21"/>
        </w:rPr>
      </w:pPr>
    </w:p>
    <w:p>
      <w:pPr>
        <w:spacing w:line="360" w:lineRule="auto"/>
        <w:ind w:firstLine="5670" w:firstLineChars="2700"/>
        <w:rPr>
          <w:rFonts w:ascii="宋体" w:hAnsi="Times New Roman" w:eastAsia="宋体" w:cs="Times New Roman"/>
          <w:bCs/>
          <w:szCs w:val="21"/>
        </w:rPr>
      </w:pPr>
      <w:r>
        <w:rPr>
          <w:rFonts w:hint="eastAsia" w:ascii="宋体" w:hAnsi="Times New Roman" w:eastAsia="宋体" w:cs="Times New Roman"/>
          <w:bCs/>
          <w:szCs w:val="21"/>
        </w:rPr>
        <w:t xml:space="preserve"> 二〇    年   月    日</w:t>
      </w:r>
    </w:p>
    <w:p>
      <w:pPr>
        <w:spacing w:line="360" w:lineRule="auto"/>
        <w:ind w:firstLine="420" w:firstLineChars="200"/>
        <w:rPr>
          <w:rFonts w:ascii="宋体" w:hAnsi="宋体" w:eastAsia="宋体" w:cs="Times New Roman"/>
          <w:b/>
          <w:bCs/>
          <w:sz w:val="24"/>
          <w:szCs w:val="24"/>
        </w:rPr>
      </w:pPr>
      <w:r>
        <w:rPr>
          <w:rFonts w:ascii="宋体" w:hAnsi="Times New Roman" w:eastAsia="宋体" w:cs="Times New Roman"/>
          <w:bCs/>
          <w:szCs w:val="21"/>
        </w:rPr>
        <w:br w:type="page"/>
      </w:r>
    </w:p>
    <w:p>
      <w:pPr>
        <w:keepNext/>
        <w:keepLines/>
        <w:spacing w:before="120" w:after="120"/>
        <w:jc w:val="center"/>
        <w:outlineLvl w:val="2"/>
        <w:rPr>
          <w:rFonts w:ascii="黑体" w:hAnsi="宋体" w:eastAsia="黑体" w:cs="Times New Roman"/>
          <w:bCs/>
          <w:kern w:val="0"/>
          <w:sz w:val="24"/>
          <w:szCs w:val="32"/>
        </w:rPr>
      </w:pPr>
      <w:r>
        <w:rPr>
          <w:rFonts w:hint="eastAsia" w:ascii="黑体" w:hAnsi="宋体" w:eastAsia="黑体" w:cs="Times New Roman"/>
          <w:bCs/>
          <w:kern w:val="0"/>
          <w:sz w:val="24"/>
          <w:szCs w:val="32"/>
          <w:lang w:val="en-US" w:eastAsia="zh-CN"/>
        </w:rPr>
        <w:t>三</w:t>
      </w:r>
      <w:r>
        <w:rPr>
          <w:rFonts w:hint="eastAsia" w:ascii="黑体" w:hAnsi="宋体" w:eastAsia="黑体" w:cs="Times New Roman"/>
          <w:bCs/>
          <w:kern w:val="0"/>
          <w:sz w:val="24"/>
          <w:szCs w:val="32"/>
        </w:rPr>
        <w:t>、投标人情况介绍</w:t>
      </w:r>
    </w:p>
    <w:tbl>
      <w:tblPr>
        <w:tblStyle w:val="42"/>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77"/>
        <w:gridCol w:w="4514"/>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序号</w:t>
            </w:r>
          </w:p>
        </w:tc>
        <w:tc>
          <w:tcPr>
            <w:tcW w:w="2477" w:type="dxa"/>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项  目</w:t>
            </w:r>
          </w:p>
        </w:tc>
        <w:tc>
          <w:tcPr>
            <w:tcW w:w="4514"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内容及说明</w:t>
            </w:r>
          </w:p>
        </w:tc>
        <w:tc>
          <w:tcPr>
            <w:tcW w:w="1411"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一</w:t>
            </w:r>
          </w:p>
        </w:tc>
        <w:tc>
          <w:tcPr>
            <w:tcW w:w="6991" w:type="dxa"/>
            <w:gridSpan w:val="2"/>
          </w:tcPr>
          <w:p>
            <w:pPr>
              <w:rPr>
                <w:rFonts w:ascii="Times New Roman" w:hAnsi="Times New Roman" w:eastAsia="宋体" w:cs="Times New Roman"/>
                <w:b/>
                <w:szCs w:val="21"/>
              </w:rPr>
            </w:pPr>
            <w:r>
              <w:rPr>
                <w:rFonts w:hint="eastAsia" w:ascii="Times New Roman" w:hAnsi="Times New Roman" w:eastAsia="宋体" w:cs="Times New Roman"/>
                <w:b/>
                <w:szCs w:val="21"/>
              </w:rPr>
              <w:t>营业执照</w:t>
            </w:r>
          </w:p>
        </w:tc>
        <w:tc>
          <w:tcPr>
            <w:tcW w:w="141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注册年度及注册编号</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注册资金（万元）</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经营场所</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2477"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有效期</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二</w:t>
            </w:r>
          </w:p>
        </w:tc>
        <w:tc>
          <w:tcPr>
            <w:tcW w:w="6991" w:type="dxa"/>
            <w:gridSpan w:val="2"/>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税务登记证</w:t>
            </w:r>
          </w:p>
        </w:tc>
        <w:tc>
          <w:tcPr>
            <w:tcW w:w="141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税务登记证编号</w:t>
            </w:r>
          </w:p>
        </w:tc>
        <w:tc>
          <w:tcPr>
            <w:tcW w:w="4514" w:type="dxa"/>
            <w:vAlign w:val="center"/>
          </w:tcPr>
          <w:p>
            <w:pP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三</w:t>
            </w:r>
          </w:p>
        </w:tc>
        <w:tc>
          <w:tcPr>
            <w:tcW w:w="6991" w:type="dxa"/>
            <w:gridSpan w:val="2"/>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资格（质）证书（</w:t>
            </w:r>
            <w:r>
              <w:rPr>
                <w:rFonts w:hint="eastAsia" w:ascii="Times New Roman" w:hAnsi="Times New Roman" w:eastAsia="宋体" w:cs="Times New Roman"/>
                <w:szCs w:val="21"/>
              </w:rPr>
              <w:t>若有其他资质证书，可按表格格式扩展</w:t>
            </w:r>
            <w:r>
              <w:rPr>
                <w:rFonts w:hint="eastAsia" w:ascii="Times New Roman" w:hAnsi="Times New Roman" w:eastAsia="宋体" w:cs="Times New Roman"/>
                <w:b/>
                <w:szCs w:val="21"/>
              </w:rPr>
              <w:t>）</w:t>
            </w:r>
          </w:p>
        </w:tc>
        <w:tc>
          <w:tcPr>
            <w:tcW w:w="141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证书名称</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批准单位</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等级</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批准时间及编号</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47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有效期</w:t>
            </w: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四</w:t>
            </w:r>
          </w:p>
        </w:tc>
        <w:tc>
          <w:tcPr>
            <w:tcW w:w="6991" w:type="dxa"/>
            <w:gridSpan w:val="2"/>
            <w:vAlign w:val="center"/>
          </w:tcPr>
          <w:p>
            <w:pPr>
              <w:rPr>
                <w:rFonts w:ascii="Times New Roman" w:hAnsi="Times New Roman" w:eastAsia="宋体" w:cs="Times New Roman"/>
                <w:b/>
                <w:szCs w:val="21"/>
              </w:rPr>
            </w:pPr>
            <w:r>
              <w:rPr>
                <w:rFonts w:hint="eastAsia" w:ascii="Times New Roman" w:hAnsi="Times New Roman" w:eastAsia="宋体" w:cs="Times New Roman"/>
                <w:b/>
                <w:szCs w:val="21"/>
              </w:rPr>
              <w:t>其他</w:t>
            </w:r>
            <w:r>
              <w:rPr>
                <w:rFonts w:hint="eastAsia" w:ascii="Times New Roman" w:hAnsi="Times New Roman" w:eastAsia="宋体" w:cs="Times New Roman"/>
                <w:szCs w:val="21"/>
              </w:rPr>
              <w:t>（投标人认为需补充的其他说明）</w:t>
            </w:r>
          </w:p>
        </w:tc>
        <w:tc>
          <w:tcPr>
            <w:tcW w:w="1411" w:type="dxa"/>
            <w:vAlign w:val="center"/>
          </w:tcPr>
          <w:p>
            <w:pPr>
              <w:jc w:val="center"/>
              <w:rPr>
                <w:rFonts w:ascii="Times New Roman" w:hAnsi="Times New Roman"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2477" w:type="dxa"/>
            <w:vAlign w:val="center"/>
          </w:tcPr>
          <w:p>
            <w:pPr>
              <w:jc w:val="center"/>
              <w:rPr>
                <w:rFonts w:ascii="Times New Roman" w:hAnsi="Times New Roman" w:eastAsia="宋体" w:cs="Times New Roman"/>
                <w:szCs w:val="21"/>
              </w:rPr>
            </w:pPr>
          </w:p>
        </w:tc>
        <w:tc>
          <w:tcPr>
            <w:tcW w:w="4514" w:type="dxa"/>
            <w:vAlign w:val="center"/>
          </w:tcPr>
          <w:p>
            <w:pPr>
              <w:jc w:val="center"/>
              <w:rPr>
                <w:rFonts w:ascii="Times New Roman" w:hAnsi="Times New Roman" w:eastAsia="宋体" w:cs="Times New Roman"/>
                <w:szCs w:val="21"/>
              </w:rPr>
            </w:pPr>
          </w:p>
        </w:tc>
        <w:tc>
          <w:tcPr>
            <w:tcW w:w="1411" w:type="dxa"/>
            <w:vAlign w:val="center"/>
          </w:tcPr>
          <w:p>
            <w:pPr>
              <w:jc w:val="center"/>
              <w:rPr>
                <w:rFonts w:ascii="Times New Roman" w:hAnsi="Times New Roman" w:eastAsia="宋体" w:cs="Times New Roman"/>
                <w:szCs w:val="21"/>
              </w:rPr>
            </w:pPr>
          </w:p>
        </w:tc>
      </w:tr>
    </w:tbl>
    <w:p>
      <w:pPr>
        <w:ind w:left="630" w:hanging="630" w:hangingChars="300"/>
        <w:rPr>
          <w:rFonts w:ascii="Times New Roman" w:hAnsi="Times New Roman" w:eastAsia="宋体" w:cs="Times New Roman"/>
          <w:szCs w:val="24"/>
        </w:rPr>
      </w:pPr>
      <w:r>
        <w:rPr>
          <w:rFonts w:hint="eastAsia" w:ascii="Times New Roman" w:hAnsi="Times New Roman" w:eastAsia="宋体" w:cs="Times New Roman"/>
          <w:szCs w:val="24"/>
        </w:rPr>
        <w:t>注：1、在按要求填写好此表格后，各投标单位可以用其它的方式，就自身整体情况作出详细的介绍。</w:t>
      </w:r>
    </w:p>
    <w:p>
      <w:pPr>
        <w:ind w:left="420"/>
        <w:rPr>
          <w:rFonts w:ascii="Times New Roman" w:hAnsi="Times New Roman" w:eastAsia="宋体" w:cs="Times New Roman"/>
          <w:b/>
          <w:bCs/>
          <w:szCs w:val="24"/>
        </w:rPr>
      </w:pPr>
      <w:r>
        <w:rPr>
          <w:rFonts w:hint="eastAsia" w:ascii="Times New Roman" w:hAnsi="Times New Roman" w:eastAsia="宋体" w:cs="Times New Roman"/>
          <w:b/>
          <w:szCs w:val="24"/>
        </w:rPr>
        <w:t>2、提供招标公告中“5、投标人资格要求：”中的相关证明材料扫描件。</w:t>
      </w:r>
    </w:p>
    <w:p>
      <w:pPr>
        <w:ind w:left="632" w:hanging="632" w:hangingChars="300"/>
        <w:rPr>
          <w:rFonts w:ascii="Times New Roman" w:hAnsi="Times New Roman" w:eastAsia="宋体" w:cs="Times New Roman"/>
          <w:b/>
          <w:bCs/>
          <w:szCs w:val="24"/>
        </w:rPr>
      </w:pPr>
    </w:p>
    <w:p>
      <w:pPr>
        <w:ind w:left="632" w:hanging="632" w:hangingChars="300"/>
        <w:rPr>
          <w:rFonts w:ascii="Times New Roman" w:hAnsi="Times New Roman" w:eastAsia="宋体" w:cs="Times New Roman"/>
          <w:b/>
          <w:bCs/>
          <w:szCs w:val="24"/>
        </w:rPr>
      </w:pP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lang w:val="en-US" w:eastAsia="zh-CN"/>
        </w:rPr>
        <w:t>四</w:t>
      </w:r>
      <w:r>
        <w:rPr>
          <w:rFonts w:hint="eastAsia" w:ascii="黑体" w:hAnsi="宋体" w:eastAsia="黑体" w:cs="Times New Roman"/>
          <w:bCs/>
          <w:kern w:val="0"/>
          <w:sz w:val="24"/>
          <w:szCs w:val="24"/>
        </w:rPr>
        <w:t>、投标人资格情况及通过相关认证情况</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lang w:val="en-US" w:eastAsia="zh-CN"/>
        </w:rPr>
        <w:t>五</w:t>
      </w:r>
      <w:r>
        <w:rPr>
          <w:rFonts w:hint="eastAsia" w:ascii="黑体" w:hAnsi="宋体" w:eastAsia="黑体" w:cs="Times New Roman"/>
          <w:bCs/>
          <w:kern w:val="0"/>
          <w:sz w:val="24"/>
          <w:szCs w:val="24"/>
        </w:rPr>
        <w:t>、拟安排的项目负责人情况</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lang w:val="en-US" w:eastAsia="zh-CN"/>
        </w:rPr>
        <w:t>六</w:t>
      </w:r>
      <w:r>
        <w:rPr>
          <w:rFonts w:hint="eastAsia" w:ascii="黑体" w:hAnsi="宋体" w:eastAsia="黑体" w:cs="Times New Roman"/>
          <w:bCs/>
          <w:kern w:val="0"/>
          <w:sz w:val="24"/>
          <w:szCs w:val="24"/>
        </w:rPr>
        <w:t>、拟安排的项目团队成员（项目负责人除外）情况</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lang w:val="en-US" w:eastAsia="zh-CN"/>
        </w:rPr>
        <w:t>七</w:t>
      </w:r>
      <w:r>
        <w:rPr>
          <w:rFonts w:hint="eastAsia" w:ascii="黑体" w:hAnsi="宋体" w:eastAsia="黑体" w:cs="Times New Roman"/>
          <w:bCs/>
          <w:kern w:val="0"/>
          <w:sz w:val="24"/>
          <w:szCs w:val="24"/>
        </w:rPr>
        <w:t>、项目拟使用的车辆（场地、工具、机器）情况</w:t>
      </w:r>
    </w:p>
    <w:p>
      <w:pPr>
        <w:keepNext/>
        <w:keepLines/>
        <w:spacing w:before="260" w:after="260"/>
        <w:jc w:val="center"/>
        <w:outlineLvl w:val="2"/>
        <w:rPr>
          <w:rFonts w:hint="eastAsia" w:ascii="黑体" w:hAnsi="宋体" w:eastAsia="黑体" w:cs="Times New Roman"/>
          <w:bCs/>
          <w:kern w:val="0"/>
          <w:sz w:val="24"/>
          <w:szCs w:val="24"/>
          <w:lang w:eastAsia="zh-CN"/>
        </w:rPr>
      </w:pPr>
      <w:r>
        <w:rPr>
          <w:rFonts w:hint="eastAsia" w:ascii="黑体" w:hAnsi="宋体" w:eastAsia="黑体" w:cs="Times New Roman"/>
          <w:bCs/>
          <w:kern w:val="0"/>
          <w:sz w:val="24"/>
          <w:szCs w:val="24"/>
          <w:lang w:val="en-US" w:eastAsia="zh-CN"/>
        </w:rPr>
        <w:t>八、其它招标文件要求的内容及投标人认为需要补充的内容（格式自定）</w:t>
      </w:r>
    </w:p>
    <w:p>
      <w:pPr>
        <w:rPr>
          <w:rFonts w:ascii="Times New Roman" w:hAnsi="Times New Roman" w:eastAsia="宋体" w:cs="Times New Roman"/>
          <w:szCs w:val="24"/>
        </w:rPr>
      </w:pPr>
    </w:p>
    <w:p>
      <w:pPr>
        <w:widowControl/>
        <w:jc w:val="left"/>
        <w:rPr>
          <w:rFonts w:ascii="仿宋_GB2312" w:hAnsi="Times New Roman" w:eastAsia="仿宋_GB2312" w:cs="Times New Roman"/>
          <w:b/>
          <w:sz w:val="30"/>
          <w:szCs w:val="30"/>
        </w:rPr>
      </w:pPr>
      <w:r>
        <w:rPr>
          <w:rFonts w:ascii="仿宋_GB2312" w:hAnsi="Times New Roman" w:eastAsia="仿宋_GB2312" w:cs="Times New Roman"/>
          <w:b/>
          <w:sz w:val="30"/>
          <w:szCs w:val="30"/>
        </w:rPr>
        <w:br w:type="page"/>
      </w:r>
    </w:p>
    <w:p>
      <w:pPr>
        <w:rPr>
          <w:rFonts w:ascii="Times New Roman" w:hAnsi="Times New Roman" w:eastAsia="宋体" w:cs="Times New Roman"/>
          <w:b/>
          <w:sz w:val="30"/>
          <w:szCs w:val="30"/>
        </w:rPr>
      </w:pPr>
      <w:r>
        <w:rPr>
          <w:rFonts w:hint="eastAsia" w:ascii="仿宋_GB2312" w:hAnsi="Times New Roman" w:eastAsia="仿宋_GB2312" w:cs="Times New Roman"/>
          <w:b/>
          <w:sz w:val="30"/>
          <w:szCs w:val="30"/>
        </w:rPr>
        <w:t>投标文件第二部分：</w:t>
      </w:r>
    </w:p>
    <w:p>
      <w:pPr>
        <w:keepNext/>
        <w:keepLines/>
        <w:spacing w:before="260" w:after="260"/>
        <w:jc w:val="center"/>
        <w:outlineLvl w:val="2"/>
        <w:rPr>
          <w:rFonts w:ascii="黑体" w:hAnsi="宋体" w:eastAsia="黑体" w:cs="Times New Roman"/>
          <w:bCs/>
          <w:sz w:val="24"/>
          <w:szCs w:val="24"/>
        </w:rPr>
      </w:pPr>
      <w:r>
        <w:rPr>
          <w:rFonts w:ascii="宋体" w:hAnsi="宋体" w:eastAsia="宋体" w:cs="Times New Roman"/>
          <w:b/>
          <w:bCs/>
          <w:sz w:val="28"/>
          <w:szCs w:val="32"/>
        </w:rPr>
        <w:tab/>
      </w:r>
      <w:r>
        <w:rPr>
          <w:rFonts w:hint="eastAsia" w:ascii="黑体" w:hAnsi="宋体" w:eastAsia="黑体" w:cs="Times New Roman"/>
          <w:bCs/>
          <w:kern w:val="0"/>
          <w:sz w:val="24"/>
          <w:szCs w:val="24"/>
        </w:rPr>
        <w:t>一、法定代表人（</w:t>
      </w:r>
      <w:r>
        <w:rPr>
          <w:rFonts w:ascii="黑体" w:hAnsi="宋体" w:eastAsia="黑体" w:cs="Times New Roman"/>
          <w:bCs/>
          <w:kern w:val="0"/>
          <w:sz w:val="24"/>
          <w:szCs w:val="24"/>
        </w:rPr>
        <w:t>负责人）授权</w:t>
      </w:r>
      <w:r>
        <w:rPr>
          <w:rFonts w:hint="eastAsia" w:ascii="黑体" w:hAnsi="宋体" w:eastAsia="黑体" w:cs="Times New Roman"/>
          <w:bCs/>
          <w:kern w:val="0"/>
          <w:sz w:val="24"/>
          <w:szCs w:val="24"/>
        </w:rPr>
        <w:t>书</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pPr>
        <w:spacing w:line="360" w:lineRule="auto"/>
        <w:ind w:firstLine="420"/>
        <w:rPr>
          <w:rFonts w:ascii="Times New Roman" w:hAnsi="Times New Roman" w:eastAsia="宋体" w:cs="Times New Roman"/>
          <w:szCs w:val="21"/>
        </w:rPr>
      </w:pPr>
      <w:r>
        <w:rPr>
          <w:rFonts w:hint="eastAsia" w:ascii="Times New Roman" w:hAnsi="Times New Roman" w:eastAsia="宋体" w:cs="Times New Roman"/>
          <w:szCs w:val="21"/>
        </w:rPr>
        <w:t>代理人无转委托权，特此委托。</w:t>
      </w:r>
    </w:p>
    <w:p>
      <w:pPr>
        <w:rPr>
          <w:rFonts w:ascii="Times New Roman" w:hAnsi="Times New Roman" w:eastAsia="宋体" w:cs="Times New Roman"/>
          <w:szCs w:val="21"/>
        </w:rPr>
      </w:pPr>
    </w:p>
    <w:p>
      <w:pPr>
        <w:spacing w:line="360" w:lineRule="auto"/>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代理人：性别：年龄：</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联系电话：  手机：</w:t>
      </w:r>
    </w:p>
    <w:p>
      <w:pPr>
        <w:spacing w:line="360" w:lineRule="auto"/>
        <w:ind w:left="540" w:leftChars="257"/>
        <w:rPr>
          <w:rFonts w:ascii="Times New Roman" w:hAnsi="Times New Roman" w:eastAsia="宋体" w:cs="Times New Roman"/>
          <w:szCs w:val="21"/>
          <w:u w:val="single"/>
        </w:rPr>
      </w:pPr>
      <w:r>
        <w:rPr>
          <w:rFonts w:hint="eastAsia" w:ascii="Times New Roman" w:hAnsi="Times New Roman" w:eastAsia="宋体" w:cs="Times New Roman"/>
          <w:szCs w:val="21"/>
        </w:rPr>
        <w:t>身份证号码：职务：</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投标人：</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法定代表人：</w:t>
      </w:r>
      <w:r>
        <w:rPr>
          <w:rFonts w:hint="eastAsia" w:ascii="Times New Roman" w:hAnsi="Times New Roman" w:eastAsia="宋体" w:cs="Times New Roman"/>
          <w:szCs w:val="21"/>
          <w:u w:val="single"/>
        </w:rPr>
        <w:t xml:space="preserve">                                     （亲笔签名</w:t>
      </w:r>
      <w:r>
        <w:rPr>
          <w:rFonts w:ascii="Times New Roman" w:hAnsi="Times New Roman" w:eastAsia="宋体" w:cs="Times New Roman"/>
          <w:szCs w:val="21"/>
          <w:u w:val="single"/>
        </w:rPr>
        <w:t>或签章</w:t>
      </w:r>
      <w:r>
        <w:rPr>
          <w:rFonts w:hint="eastAsia" w:ascii="Times New Roman" w:hAnsi="Times New Roman" w:eastAsia="宋体" w:cs="Times New Roman"/>
          <w:szCs w:val="21"/>
          <w:u w:val="single"/>
        </w:rPr>
        <w:t>）（公章）</w:t>
      </w:r>
    </w:p>
    <w:p>
      <w:pPr>
        <w:spacing w:line="360" w:lineRule="auto"/>
        <w:ind w:left="540" w:leftChars="257"/>
        <w:rPr>
          <w:rFonts w:ascii="Times New Roman" w:hAnsi="Times New Roman" w:eastAsia="宋体" w:cs="Times New Roman"/>
          <w:szCs w:val="21"/>
        </w:rPr>
      </w:pPr>
      <w:r>
        <w:rPr>
          <w:rFonts w:hint="eastAsia" w:ascii="Times New Roman" w:hAnsi="Times New Roman" w:eastAsia="宋体" w:cs="Times New Roman"/>
          <w:szCs w:val="21"/>
        </w:rPr>
        <w:t>授权委托日期：年月 日</w:t>
      </w:r>
    </w:p>
    <w:p>
      <w:pPr>
        <w:rPr>
          <w:rFonts w:ascii="Times New Roman" w:hAnsi="Times New Roman" w:eastAsia="宋体" w:cs="Times New Roman"/>
          <w:szCs w:val="24"/>
        </w:rPr>
      </w:pP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二、实施方案</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三、项目重点难点分析、应对措施及相关的合理化建议</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四、质量（完成时间、安全、环保）保障措施及方案</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lang w:val="en-US" w:eastAsia="zh-CN"/>
        </w:rPr>
        <w:t>五</w:t>
      </w:r>
      <w:r>
        <w:rPr>
          <w:rFonts w:hint="eastAsia" w:ascii="黑体" w:hAnsi="宋体" w:eastAsia="黑体" w:cs="Times New Roman"/>
          <w:bCs/>
          <w:kern w:val="0"/>
          <w:sz w:val="24"/>
          <w:szCs w:val="24"/>
        </w:rPr>
        <w:t>、违约承诺</w:t>
      </w:r>
      <w:r>
        <w:rPr>
          <w:rFonts w:ascii="黑体" w:hAnsi="宋体" w:eastAsia="黑体" w:cs="Times New Roman"/>
          <w:bCs/>
          <w:kern w:val="0"/>
          <w:sz w:val="24"/>
          <w:szCs w:val="24"/>
        </w:rPr>
        <w:br w:type="page"/>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lang w:val="en-US" w:eastAsia="zh-CN"/>
        </w:rPr>
        <w:t>六</w:t>
      </w:r>
      <w:r>
        <w:rPr>
          <w:rFonts w:hint="eastAsia" w:ascii="黑体" w:hAnsi="宋体" w:eastAsia="黑体" w:cs="Times New Roman"/>
          <w:bCs/>
          <w:kern w:val="0"/>
          <w:sz w:val="24"/>
          <w:szCs w:val="24"/>
        </w:rPr>
        <w:t>、无违法违规行为承诺函</w:t>
      </w:r>
    </w:p>
    <w:p>
      <w:pPr>
        <w:spacing w:line="360" w:lineRule="auto"/>
        <w:rPr>
          <w:rFonts w:ascii="宋体" w:hAnsi="宋体"/>
          <w:sz w:val="24"/>
        </w:rPr>
      </w:pPr>
      <w:r>
        <w:rPr>
          <w:rFonts w:hint="eastAsia" w:ascii="宋体" w:hAnsi="宋体"/>
          <w:sz w:val="24"/>
        </w:rPr>
        <w:t>深圳大学招投标管理中心：</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我公司在参加本次项目投标活动</w:t>
      </w:r>
      <w:r>
        <w:rPr>
          <w:rFonts w:ascii="宋体" w:hAnsi="宋体"/>
          <w:sz w:val="24"/>
        </w:rPr>
        <w:t>中，作出如下承诺</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一</w:t>
      </w:r>
      <w:r>
        <w:rPr>
          <w:rFonts w:ascii="宋体" w:hAnsi="宋体"/>
          <w:sz w:val="24"/>
        </w:rPr>
        <w:t>、参加本次采购活动前三年内，在经营活动中没有重大非法记录，</w:t>
      </w:r>
    </w:p>
    <w:p>
      <w:pPr>
        <w:spacing w:line="360" w:lineRule="auto"/>
        <w:ind w:firstLine="480" w:firstLineChars="200"/>
        <w:rPr>
          <w:rFonts w:ascii="宋体" w:hAnsi="宋体"/>
          <w:sz w:val="24"/>
        </w:rPr>
      </w:pPr>
      <w:r>
        <w:rPr>
          <w:rFonts w:hint="eastAsia" w:ascii="宋体" w:hAnsi="宋体"/>
          <w:sz w:val="24"/>
        </w:rPr>
        <w:t>二</w:t>
      </w:r>
      <w:r>
        <w:rPr>
          <w:rFonts w:ascii="宋体" w:hAnsi="宋体"/>
          <w:sz w:val="24"/>
        </w:rPr>
        <w:t>、未挂靠</w:t>
      </w:r>
      <w:r>
        <w:rPr>
          <w:rFonts w:hint="eastAsia" w:ascii="宋体" w:hAnsi="宋体"/>
          <w:sz w:val="24"/>
        </w:rPr>
        <w:t>、</w:t>
      </w:r>
      <w:r>
        <w:rPr>
          <w:rFonts w:ascii="宋体" w:hAnsi="宋体"/>
          <w:sz w:val="24"/>
        </w:rPr>
        <w:t>借用资质进行投标等违法违规行为，</w:t>
      </w:r>
    </w:p>
    <w:p>
      <w:pPr>
        <w:spacing w:line="360" w:lineRule="auto"/>
        <w:ind w:firstLine="480" w:firstLineChars="200"/>
        <w:rPr>
          <w:rFonts w:ascii="宋体" w:hAnsi="宋体"/>
          <w:sz w:val="24"/>
        </w:rPr>
      </w:pPr>
      <w:r>
        <w:rPr>
          <w:rFonts w:hint="eastAsia" w:ascii="宋体" w:hAnsi="宋体"/>
          <w:sz w:val="24"/>
        </w:rPr>
        <w:t>三</w:t>
      </w:r>
      <w:r>
        <w:rPr>
          <w:rFonts w:ascii="宋体" w:hAnsi="宋体"/>
          <w:sz w:val="24"/>
        </w:rPr>
        <w:t>、提供的相关文件均真实、有效。</w:t>
      </w:r>
    </w:p>
    <w:p>
      <w:pPr>
        <w:spacing w:line="360" w:lineRule="auto"/>
        <w:ind w:firstLine="480" w:firstLineChars="200"/>
        <w:rPr>
          <w:rFonts w:ascii="宋体" w:hAnsi="宋体"/>
          <w:sz w:val="24"/>
        </w:rPr>
      </w:pPr>
      <w:r>
        <w:rPr>
          <w:rFonts w:hint="eastAsia" w:ascii="宋体" w:hAnsi="宋体"/>
          <w:sz w:val="24"/>
        </w:rPr>
        <w:t>若查实</w:t>
      </w:r>
      <w:r>
        <w:rPr>
          <w:rFonts w:ascii="宋体" w:hAnsi="宋体"/>
          <w:sz w:val="24"/>
        </w:rPr>
        <w:t>我公司提供的</w:t>
      </w:r>
      <w:r>
        <w:rPr>
          <w:rFonts w:hint="eastAsia" w:ascii="宋体" w:hAnsi="宋体"/>
          <w:sz w:val="24"/>
        </w:rPr>
        <w:t>资料</w:t>
      </w:r>
      <w:r>
        <w:rPr>
          <w:rFonts w:ascii="宋体" w:hAnsi="宋体"/>
          <w:sz w:val="24"/>
        </w:rPr>
        <w:t>及上述承诺不</w:t>
      </w:r>
      <w:r>
        <w:rPr>
          <w:rFonts w:hint="eastAsia" w:ascii="宋体" w:hAnsi="宋体"/>
          <w:sz w:val="24"/>
        </w:rPr>
        <w:t>属实</w:t>
      </w:r>
      <w:r>
        <w:rPr>
          <w:rFonts w:ascii="宋体" w:hAnsi="宋体"/>
          <w:sz w:val="24"/>
        </w:rPr>
        <w:t>，则招标人有权取消我公司的投标资格及中标资格，且我公司将无条件承担由此给本次招标带来的一切</w:t>
      </w:r>
      <w:r>
        <w:rPr>
          <w:rFonts w:hint="eastAsia" w:ascii="宋体" w:hAnsi="宋体"/>
          <w:sz w:val="24"/>
        </w:rPr>
        <w:t>后果</w:t>
      </w:r>
      <w:r>
        <w:rPr>
          <w:rFonts w:ascii="宋体" w:hAnsi="宋体"/>
          <w:sz w:val="24"/>
        </w:rPr>
        <w:t>（</w:t>
      </w:r>
      <w:r>
        <w:rPr>
          <w:rFonts w:hint="eastAsia" w:ascii="宋体" w:hAnsi="宋体"/>
          <w:sz w:val="24"/>
        </w:rPr>
        <w:t>包括</w:t>
      </w:r>
      <w:r>
        <w:rPr>
          <w:rFonts w:ascii="宋体" w:hAnsi="宋体"/>
          <w:sz w:val="24"/>
        </w:rPr>
        <w:t>经济损失）</w:t>
      </w:r>
      <w:r>
        <w:rPr>
          <w:rFonts w:hint="eastAsia" w:ascii="宋体" w:hAnsi="宋体"/>
          <w:sz w:val="24"/>
        </w:rPr>
        <w:t>。</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特此声明</w:t>
      </w:r>
    </w:p>
    <w:p>
      <w:pPr>
        <w:spacing w:line="360" w:lineRule="auto"/>
        <w:rPr>
          <w:rFonts w:ascii="宋体" w:hAnsi="宋体"/>
          <w:sz w:val="24"/>
        </w:rPr>
      </w:pPr>
      <w:r>
        <w:rPr>
          <w:rFonts w:hint="eastAsia" w:ascii="宋体" w:hAnsi="宋体"/>
          <w:sz w:val="24"/>
        </w:rPr>
        <w:t>投标人名称：</w:t>
      </w:r>
      <w:r>
        <w:rPr>
          <w:rFonts w:hint="eastAsia" w:ascii="宋体" w:hAnsi="宋体"/>
          <w:b/>
          <w:color w:val="FF0000"/>
          <w:sz w:val="24"/>
        </w:rPr>
        <w:t>（加盖公章）</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法定</w:t>
      </w:r>
      <w:r>
        <w:rPr>
          <w:rFonts w:ascii="宋体" w:hAnsi="宋体"/>
          <w:sz w:val="24"/>
        </w:rPr>
        <w:t>代表或</w:t>
      </w:r>
      <w:r>
        <w:rPr>
          <w:rFonts w:hint="eastAsia" w:ascii="宋体" w:hAnsi="宋体"/>
          <w:sz w:val="24"/>
        </w:rPr>
        <w:t>投标代表签名：</w:t>
      </w:r>
    </w:p>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日期：    年   月  日</w:t>
      </w:r>
    </w:p>
    <w:p>
      <w:pPr>
        <w:widowControl/>
        <w:jc w:val="left"/>
      </w:pPr>
      <w:r>
        <w:br w:type="page"/>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lang w:val="en-US" w:eastAsia="zh-CN"/>
        </w:rPr>
        <w:t>七</w:t>
      </w:r>
      <w:r>
        <w:rPr>
          <w:rFonts w:hint="eastAsia" w:ascii="黑体" w:hAnsi="宋体" w:eastAsia="黑体" w:cs="Times New Roman"/>
          <w:bCs/>
          <w:kern w:val="0"/>
          <w:sz w:val="24"/>
          <w:szCs w:val="24"/>
        </w:rPr>
        <w:t>、</w:t>
      </w:r>
      <w:r>
        <w:rPr>
          <w:rFonts w:hint="eastAsia" w:ascii="黑体" w:hAnsi="宋体" w:eastAsia="黑体" w:cs="Times New Roman"/>
          <w:bCs/>
          <w:sz w:val="24"/>
          <w:szCs w:val="24"/>
        </w:rPr>
        <w:t>其它招标文件要求的内容及投标人认为需要补充的内容</w:t>
      </w:r>
      <w:r>
        <w:rPr>
          <w:rFonts w:hint="eastAsia" w:ascii="黑体" w:hAnsi="宋体" w:eastAsia="黑体" w:cs="Times New Roman"/>
          <w:bCs/>
          <w:kern w:val="0"/>
          <w:sz w:val="24"/>
          <w:szCs w:val="24"/>
        </w:rPr>
        <w:t>（格式自定）</w:t>
      </w:r>
    </w:p>
    <w:p>
      <w:pPr>
        <w:rPr>
          <w:rFonts w:ascii="Times New Roman" w:hAnsi="Times New Roman" w:eastAsia="宋体" w:cs="Times New Roman"/>
          <w:szCs w:val="24"/>
        </w:rPr>
      </w:pPr>
    </w:p>
    <w:p>
      <w:pPr>
        <w:keepNext/>
        <w:keepLines/>
        <w:adjustRightInd w:val="0"/>
        <w:spacing w:before="260" w:after="260"/>
        <w:jc w:val="center"/>
        <w:textAlignment w:val="baseline"/>
        <w:outlineLvl w:val="1"/>
        <w:rPr>
          <w:rFonts w:ascii="宋体" w:hAnsi="宋体" w:eastAsia="宋体" w:cs="Times New Roman"/>
          <w:b/>
          <w:bCs/>
          <w:sz w:val="24"/>
          <w:szCs w:val="20"/>
        </w:rPr>
      </w:pPr>
      <w:r>
        <w:rPr>
          <w:rFonts w:hint="eastAsia" w:ascii="宋体" w:hAnsi="宋体" w:eastAsia="宋体" w:cs="Times New Roman"/>
          <w:b/>
          <w:bCs/>
          <w:sz w:val="24"/>
          <w:szCs w:val="20"/>
        </w:rPr>
        <w:t>第四章  采购合同的签订、履约及验收</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一、重要提示</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（一）中标人将于中标通知书发出之日起十个工作日内，按照招标文件和投标文件内容与采购单位签订书面合同，合同书应采用本招标文件规定的合同样本；</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（二）中标人如不按招标文件 第二册 通用条款第47.1款的规定与采购单位签订合同，则深圳大学</w:t>
      </w:r>
      <w:r>
        <w:rPr>
          <w:rFonts w:ascii="Times New Roman" w:hAnsi="Times New Roman" w:eastAsia="宋体" w:cs="Times New Roman"/>
          <w:szCs w:val="24"/>
        </w:rPr>
        <w:t>招投标管理中心</w:t>
      </w:r>
      <w:r>
        <w:rPr>
          <w:rFonts w:hint="eastAsia" w:ascii="Times New Roman" w:hAnsi="Times New Roman" w:eastAsia="宋体" w:cs="Times New Roman"/>
          <w:szCs w:val="24"/>
        </w:rPr>
        <w:t>有充分的理由废除中标，并没收其投标保证金，给深圳大学造成的损失超过投标担保数额的，还应当对超过部分予以赔偿，同时承担相应法律责任；</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（三）中标人应当按照合同约定履行义务，完成中标项目，不得将中标项目转让（转包）给他人；</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（四）采购人与中标人签订的合同必须遵守本招标文件的合同条件，并且不得更改合同条件。</w:t>
      </w:r>
    </w:p>
    <w:p>
      <w:pPr>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（五）采购人与中标人应于合同签订之日起10日内，由采购人或委托中标人将采购合同副本抄送深圳大学</w:t>
      </w:r>
      <w:r>
        <w:rPr>
          <w:rFonts w:ascii="Times New Roman" w:hAnsi="Times New Roman" w:eastAsia="宋体" w:cs="Times New Roman"/>
          <w:szCs w:val="24"/>
        </w:rPr>
        <w:t>招投标管理中心</w:t>
      </w:r>
      <w:r>
        <w:rPr>
          <w:rFonts w:hint="eastAsia" w:ascii="Times New Roman" w:hAnsi="Times New Roman" w:eastAsia="宋体" w:cs="Times New Roman"/>
          <w:szCs w:val="24"/>
        </w:rPr>
        <w:t>备案。</w:t>
      </w:r>
    </w:p>
    <w:p>
      <w:pPr>
        <w:ind w:firstLine="411" w:firstLineChars="196"/>
        <w:rPr>
          <w:rFonts w:ascii="Times New Roman" w:hAnsi="Times New Roman" w:eastAsia="宋体" w:cs="Times New Roman"/>
          <w:szCs w:val="24"/>
        </w:rPr>
      </w:pPr>
      <w:r>
        <w:rPr>
          <w:rFonts w:hint="eastAsia" w:ascii="Times New Roman" w:hAnsi="Times New Roman" w:eastAsia="宋体" w:cs="Times New Roman"/>
          <w:szCs w:val="24"/>
        </w:rPr>
        <w:t>（六）依据</w:t>
      </w:r>
      <w:r>
        <w:rPr>
          <w:rFonts w:ascii="Times New Roman" w:hAnsi="Times New Roman" w:eastAsia="宋体" w:cs="Times New Roman"/>
          <w:szCs w:val="24"/>
        </w:rPr>
        <w:t>相关规定</w:t>
      </w:r>
      <w:r>
        <w:rPr>
          <w:rFonts w:hint="eastAsia" w:ascii="Times New Roman" w:hAnsi="Times New Roman" w:eastAsia="宋体" w:cs="Times New Roman"/>
          <w:szCs w:val="24"/>
        </w:rPr>
        <w:t>，供应商未按规定签订、履行采购合同，造成严重后果的，一至三年内禁止其参与深圳大学的采购，并由深圳大学</w:t>
      </w:r>
      <w:r>
        <w:rPr>
          <w:rFonts w:ascii="Times New Roman" w:hAnsi="Times New Roman" w:eastAsia="宋体" w:cs="Times New Roman"/>
          <w:szCs w:val="24"/>
        </w:rPr>
        <w:t>采购管理</w:t>
      </w:r>
      <w:r>
        <w:rPr>
          <w:rFonts w:hint="eastAsia" w:ascii="Times New Roman" w:hAnsi="Times New Roman" w:eastAsia="宋体" w:cs="Times New Roman"/>
          <w:szCs w:val="24"/>
        </w:rPr>
        <w:t>部门记入供应商诚信档案；情节严重的，取消其参与深圳大学的采购资格；给他人造成损失的，依法承担赔偿责任。</w:t>
      </w:r>
    </w:p>
    <w:p>
      <w:pPr>
        <w:ind w:firstLine="411" w:firstLineChars="196"/>
        <w:rPr>
          <w:rFonts w:ascii="Times New Roman" w:hAnsi="Times New Roman" w:eastAsia="宋体" w:cs="Times New Roman"/>
          <w:szCs w:val="24"/>
        </w:rPr>
      </w:pPr>
      <w:r>
        <w:rPr>
          <w:rFonts w:hint="eastAsia" w:ascii="Times New Roman" w:hAnsi="Times New Roman" w:eastAsia="宋体" w:cs="Times New Roman"/>
          <w:szCs w:val="24"/>
        </w:rPr>
        <w:t>（七）供应商必须诚信投标，对项目需求进行实质性响应。采购单位将组织（必要时，邀请参加本项目投标的供应商）实施项目履约验收，如未按合同履约，将按上述第（六）条规定进行处理。</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二、合同条款及格式（仅供参考）</w:t>
      </w:r>
    </w:p>
    <w:p>
      <w:pPr>
        <w:keepNext/>
        <w:keepLines/>
        <w:spacing w:before="260" w:after="260"/>
        <w:jc w:val="center"/>
        <w:outlineLvl w:val="2"/>
        <w:rPr>
          <w:rFonts w:ascii="黑体" w:hAnsi="宋体" w:eastAsia="黑体" w:cs="Times New Roman"/>
          <w:bCs/>
          <w:kern w:val="0"/>
          <w:sz w:val="24"/>
          <w:szCs w:val="24"/>
        </w:rPr>
      </w:pPr>
      <w:r>
        <w:rPr>
          <w:rFonts w:hint="eastAsia" w:ascii="黑体" w:hAnsi="宋体" w:eastAsia="黑体" w:cs="Times New Roman"/>
          <w:bCs/>
          <w:kern w:val="0"/>
          <w:sz w:val="24"/>
          <w:szCs w:val="24"/>
        </w:rPr>
        <w:t>三、深圳大学采购履约情况反馈表</w:t>
      </w:r>
    </w:p>
    <w:p>
      <w:pPr>
        <w:spacing w:line="240" w:lineRule="atLeast"/>
        <w:rPr>
          <w:rFonts w:ascii="宋体" w:hAnsi="宋体" w:eastAsia="宋体" w:cs="Times New Roman"/>
          <w:b/>
          <w:szCs w:val="21"/>
        </w:rPr>
      </w:pPr>
      <w:r>
        <w:rPr>
          <w:rFonts w:hint="eastAsia" w:ascii="宋体" w:hAnsi="宋体" w:eastAsia="宋体" w:cs="Times New Roman"/>
          <w:b/>
          <w:szCs w:val="21"/>
        </w:rPr>
        <w:t>采购单位名称：                       联系人及电话：</w:t>
      </w:r>
    </w:p>
    <w:p>
      <w:pPr>
        <w:spacing w:line="60" w:lineRule="exact"/>
        <w:rPr>
          <w:rFonts w:ascii="宋体" w:hAnsi="宋体" w:eastAsia="宋体" w:cs="Times New Roman"/>
          <w:b/>
          <w:szCs w:val="21"/>
        </w:rPr>
      </w:pPr>
    </w:p>
    <w:tbl>
      <w:tblPr>
        <w:tblStyle w:val="42"/>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采购项目名称</w:t>
            </w:r>
          </w:p>
        </w:tc>
        <w:tc>
          <w:tcPr>
            <w:tcW w:w="2520" w:type="dxa"/>
            <w:vAlign w:val="center"/>
          </w:tcPr>
          <w:p>
            <w:pPr>
              <w:spacing w:line="240" w:lineRule="atLeast"/>
              <w:jc w:val="center"/>
              <w:rPr>
                <w:rFonts w:ascii="宋体" w:hAnsi="宋体" w:eastAsia="宋体" w:cs="Times New Roman"/>
                <w:szCs w:val="21"/>
              </w:rPr>
            </w:pPr>
          </w:p>
        </w:tc>
        <w:tc>
          <w:tcPr>
            <w:tcW w:w="1980" w:type="dxa"/>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项目编号</w:t>
            </w:r>
          </w:p>
        </w:tc>
        <w:tc>
          <w:tcPr>
            <w:tcW w:w="2135" w:type="dxa"/>
            <w:vAlign w:val="center"/>
          </w:tcPr>
          <w:p>
            <w:pPr>
              <w:spacing w:line="240" w:lineRule="atLeas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中标供应商名称</w:t>
            </w:r>
          </w:p>
        </w:tc>
        <w:tc>
          <w:tcPr>
            <w:tcW w:w="2520" w:type="dxa"/>
            <w:vAlign w:val="center"/>
          </w:tcPr>
          <w:p>
            <w:pPr>
              <w:spacing w:line="240" w:lineRule="atLeast"/>
              <w:jc w:val="center"/>
              <w:rPr>
                <w:rFonts w:ascii="宋体" w:hAnsi="宋体" w:eastAsia="宋体" w:cs="Times New Roman"/>
                <w:szCs w:val="21"/>
              </w:rPr>
            </w:pPr>
          </w:p>
        </w:tc>
        <w:tc>
          <w:tcPr>
            <w:tcW w:w="1980" w:type="dxa"/>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供应商</w:t>
            </w:r>
          </w:p>
          <w:p>
            <w:pPr>
              <w:spacing w:line="240" w:lineRule="atLeast"/>
              <w:jc w:val="center"/>
              <w:rPr>
                <w:rFonts w:ascii="宋体" w:hAnsi="宋体" w:eastAsia="宋体" w:cs="Times New Roman"/>
                <w:szCs w:val="21"/>
              </w:rPr>
            </w:pPr>
            <w:r>
              <w:rPr>
                <w:rFonts w:hint="eastAsia" w:ascii="宋体" w:hAnsi="宋体" w:eastAsia="宋体" w:cs="Times New Roman"/>
                <w:szCs w:val="21"/>
              </w:rPr>
              <w:t>联系人及电话</w:t>
            </w:r>
          </w:p>
        </w:tc>
        <w:tc>
          <w:tcPr>
            <w:tcW w:w="2135" w:type="dxa"/>
            <w:vAlign w:val="center"/>
          </w:tcPr>
          <w:p>
            <w:pPr>
              <w:spacing w:line="240" w:lineRule="atLeas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中标金额</w:t>
            </w:r>
          </w:p>
        </w:tc>
        <w:tc>
          <w:tcPr>
            <w:tcW w:w="2520" w:type="dxa"/>
            <w:vAlign w:val="center"/>
          </w:tcPr>
          <w:p>
            <w:pPr>
              <w:spacing w:line="240" w:lineRule="atLeast"/>
              <w:jc w:val="center"/>
              <w:rPr>
                <w:rFonts w:ascii="宋体" w:hAnsi="宋体" w:eastAsia="宋体" w:cs="Times New Roman"/>
                <w:szCs w:val="21"/>
              </w:rPr>
            </w:pPr>
          </w:p>
        </w:tc>
        <w:tc>
          <w:tcPr>
            <w:tcW w:w="1980" w:type="dxa"/>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合同履约时间</w:t>
            </w:r>
          </w:p>
        </w:tc>
        <w:tc>
          <w:tcPr>
            <w:tcW w:w="2135" w:type="dxa"/>
            <w:vAlign w:val="center"/>
          </w:tcPr>
          <w:p>
            <w:pPr>
              <w:spacing w:line="240" w:lineRule="atLeast"/>
              <w:rPr>
                <w:rFonts w:ascii="宋体" w:hAnsi="宋体" w:eastAsia="宋体" w:cs="Times New Roman"/>
                <w:szCs w:val="21"/>
              </w:rPr>
            </w:pPr>
            <w:r>
              <w:rPr>
                <w:rFonts w:hint="eastAsia" w:ascii="宋体" w:hAnsi="宋体" w:eastAsia="宋体" w:cs="Times New Roman"/>
                <w:szCs w:val="21"/>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pPr>
              <w:spacing w:line="240" w:lineRule="atLeast"/>
              <w:jc w:val="center"/>
              <w:rPr>
                <w:rFonts w:ascii="宋体" w:hAnsi="宋体" w:eastAsia="宋体" w:cs="Times New Roman"/>
                <w:b/>
                <w:szCs w:val="21"/>
              </w:rPr>
            </w:pPr>
            <w:r>
              <w:rPr>
                <w:rFonts w:hint="eastAsia" w:ascii="宋体" w:hAnsi="宋体" w:eastAsia="宋体" w:cs="Times New Roman"/>
                <w:b/>
                <w:szCs w:val="21"/>
              </w:rPr>
              <w:t>履约情况评价</w:t>
            </w:r>
          </w:p>
        </w:tc>
        <w:tc>
          <w:tcPr>
            <w:tcW w:w="1440" w:type="dxa"/>
            <w:gridSpan w:val="2"/>
            <w:tcBorders>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总体评价</w:t>
            </w:r>
          </w:p>
        </w:tc>
        <w:tc>
          <w:tcPr>
            <w:tcW w:w="6635" w:type="dxa"/>
            <w:gridSpan w:val="3"/>
            <w:tcBorders>
              <w:left w:val="single" w:color="auto" w:sz="4" w:space="0"/>
            </w:tcBorders>
            <w:vAlign w:val="center"/>
          </w:tcPr>
          <w:p>
            <w:pPr>
              <w:spacing w:line="240" w:lineRule="atLeast"/>
              <w:ind w:firstLine="105" w:firstLineChars="50"/>
              <w:jc w:val="center"/>
              <w:rPr>
                <w:rFonts w:ascii="宋体" w:hAnsi="宋体" w:eastAsia="宋体" w:cs="Times New Roman"/>
                <w:szCs w:val="21"/>
              </w:rPr>
            </w:pPr>
            <w:r>
              <w:rPr>
                <w:rFonts w:hint="eastAsia" w:ascii="宋体" w:hAnsi="宋体" w:eastAsia="宋体" w:cs="Times New Roman"/>
                <w:szCs w:val="21"/>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restart"/>
            <w:tcBorders>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分项评价</w:t>
            </w: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质量方面</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价格方面</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服务方面</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时间方面</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环境保护</w:t>
            </w:r>
          </w:p>
        </w:tc>
        <w:tc>
          <w:tcPr>
            <w:tcW w:w="6635" w:type="dxa"/>
            <w:gridSpan w:val="3"/>
            <w:tcBorders>
              <w:lef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eastAsia="宋体" w:cs="Times New Roman"/>
                <w:szCs w:val="21"/>
              </w:rPr>
            </w:pPr>
          </w:p>
        </w:tc>
        <w:tc>
          <w:tcPr>
            <w:tcW w:w="720" w:type="dxa"/>
            <w:vMerge w:val="continue"/>
            <w:tcBorders>
              <w:right w:val="single" w:color="auto" w:sz="4" w:space="0"/>
            </w:tcBorders>
            <w:vAlign w:val="center"/>
          </w:tcPr>
          <w:p>
            <w:pPr>
              <w:spacing w:line="240" w:lineRule="atLeast"/>
              <w:jc w:val="center"/>
              <w:rPr>
                <w:rFonts w:ascii="宋体" w:hAnsi="宋体" w:eastAsia="宋体" w:cs="Times New Roman"/>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其他</w:t>
            </w:r>
          </w:p>
        </w:tc>
        <w:tc>
          <w:tcPr>
            <w:tcW w:w="6635" w:type="dxa"/>
            <w:gridSpan w:val="3"/>
            <w:tcBorders>
              <w:left w:val="single" w:color="auto" w:sz="4" w:space="0"/>
            </w:tcBorders>
            <w:vAlign w:val="center"/>
          </w:tcPr>
          <w:p>
            <w:pPr>
              <w:spacing w:before="231" w:beforeLines="50" w:after="231" w:afterLines="50" w:line="240" w:lineRule="atLeast"/>
              <w:rPr>
                <w:rFonts w:ascii="宋体" w:hAnsi="宋体" w:eastAsia="宋体" w:cs="Times New Roman"/>
                <w:szCs w:val="21"/>
                <w:u w:val="single"/>
              </w:rPr>
            </w:pPr>
            <w:r>
              <w:rPr>
                <w:rFonts w:hint="eastAsia" w:ascii="宋体" w:hAnsi="宋体" w:eastAsia="宋体" w:cs="Times New Roman"/>
                <w:szCs w:val="21"/>
              </w:rPr>
              <w:t>评价内容为：</w:t>
            </w:r>
          </w:p>
          <w:p>
            <w:pPr>
              <w:spacing w:before="231" w:beforeLines="50" w:after="231" w:afterLines="50" w:line="240" w:lineRule="atLeast"/>
              <w:rPr>
                <w:rFonts w:ascii="宋体" w:hAnsi="宋体" w:eastAsia="宋体" w:cs="Times New Roman"/>
                <w:szCs w:val="21"/>
              </w:rPr>
            </w:pPr>
            <w:r>
              <w:rPr>
                <w:rFonts w:hint="eastAsia" w:ascii="宋体" w:hAnsi="宋体" w:eastAsia="宋体" w:cs="Times New Roman"/>
                <w:szCs w:val="21"/>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1" w:hRule="atLeast"/>
          <w:jc w:val="center"/>
        </w:trPr>
        <w:tc>
          <w:tcPr>
            <w:tcW w:w="1562" w:type="dxa"/>
            <w:gridSpan w:val="2"/>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具体情况说明</w:t>
            </w:r>
          </w:p>
        </w:tc>
        <w:tc>
          <w:tcPr>
            <w:tcW w:w="7355" w:type="dxa"/>
            <w:gridSpan w:val="4"/>
          </w:tcPr>
          <w:p>
            <w:pPr>
              <w:spacing w:line="240" w:lineRule="atLeast"/>
              <w:rPr>
                <w:rFonts w:ascii="宋体" w:hAnsi="宋体" w:eastAsia="宋体" w:cs="Times New Roman"/>
                <w:szCs w:val="21"/>
              </w:rPr>
            </w:pPr>
          </w:p>
          <w:p>
            <w:pPr>
              <w:spacing w:line="240" w:lineRule="atLeast"/>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10" w:hRule="atLeast"/>
          <w:jc w:val="center"/>
        </w:trPr>
        <w:tc>
          <w:tcPr>
            <w:tcW w:w="1562" w:type="dxa"/>
            <w:gridSpan w:val="2"/>
            <w:vAlign w:val="center"/>
          </w:tcPr>
          <w:p>
            <w:pPr>
              <w:spacing w:line="240" w:lineRule="atLeast"/>
              <w:jc w:val="center"/>
              <w:rPr>
                <w:rFonts w:ascii="宋体" w:hAnsi="宋体" w:eastAsia="宋体" w:cs="Times New Roman"/>
                <w:szCs w:val="21"/>
              </w:rPr>
            </w:pPr>
            <w:r>
              <w:rPr>
                <w:rFonts w:hint="eastAsia" w:ascii="宋体" w:hAnsi="宋体" w:eastAsia="宋体" w:cs="Times New Roman"/>
                <w:szCs w:val="21"/>
              </w:rPr>
              <w:t>采购单位意见</w:t>
            </w:r>
          </w:p>
          <w:p>
            <w:pPr>
              <w:spacing w:line="240" w:lineRule="atLeast"/>
              <w:jc w:val="center"/>
              <w:rPr>
                <w:rFonts w:ascii="宋体" w:hAnsi="宋体" w:eastAsia="宋体" w:cs="Times New Roman"/>
                <w:szCs w:val="21"/>
              </w:rPr>
            </w:pPr>
            <w:r>
              <w:rPr>
                <w:rFonts w:hint="eastAsia" w:ascii="宋体" w:hAnsi="宋体" w:eastAsia="宋体" w:cs="Times New Roman"/>
                <w:szCs w:val="21"/>
              </w:rPr>
              <w:t>（公章）</w:t>
            </w:r>
          </w:p>
        </w:tc>
        <w:tc>
          <w:tcPr>
            <w:tcW w:w="7355" w:type="dxa"/>
            <w:gridSpan w:val="4"/>
            <w:vAlign w:val="center"/>
          </w:tcPr>
          <w:p>
            <w:pPr>
              <w:spacing w:line="240" w:lineRule="atLeast"/>
              <w:rPr>
                <w:rFonts w:ascii="宋体" w:hAnsi="宋体" w:eastAsia="宋体" w:cs="Times New Roman"/>
                <w:szCs w:val="21"/>
              </w:rPr>
            </w:pPr>
          </w:p>
          <w:p>
            <w:pPr>
              <w:spacing w:line="240" w:lineRule="atLeast"/>
              <w:ind w:firstLine="3780" w:firstLineChars="1800"/>
              <w:rPr>
                <w:rFonts w:ascii="宋体" w:hAnsi="宋体" w:eastAsia="宋体" w:cs="Times New Roman"/>
                <w:szCs w:val="21"/>
              </w:rPr>
            </w:pPr>
          </w:p>
          <w:p>
            <w:pPr>
              <w:spacing w:line="240" w:lineRule="atLeast"/>
              <w:ind w:firstLine="3780" w:firstLineChars="1800"/>
              <w:rPr>
                <w:rFonts w:ascii="宋体" w:hAnsi="宋体" w:eastAsia="宋体" w:cs="Times New Roman"/>
                <w:szCs w:val="21"/>
              </w:rPr>
            </w:pPr>
            <w:r>
              <w:rPr>
                <w:rFonts w:hint="eastAsia" w:ascii="宋体" w:hAnsi="宋体" w:eastAsia="宋体" w:cs="Times New Roman"/>
                <w:szCs w:val="21"/>
              </w:rPr>
              <w:t>日期：   年   月   日</w:t>
            </w:r>
          </w:p>
        </w:tc>
      </w:tr>
    </w:tbl>
    <w:p>
      <w:pPr>
        <w:spacing w:line="240" w:lineRule="atLeast"/>
        <w:rPr>
          <w:rFonts w:ascii="宋体" w:hAnsi="宋体" w:eastAsia="宋体" w:cs="Times New Roman"/>
          <w:szCs w:val="21"/>
        </w:rPr>
      </w:pPr>
      <w:r>
        <w:rPr>
          <w:rFonts w:hint="eastAsia" w:ascii="宋体" w:hAnsi="宋体" w:eastAsia="宋体" w:cs="Times New Roman"/>
          <w:szCs w:val="21"/>
        </w:rPr>
        <w:t>说明：</w:t>
      </w:r>
    </w:p>
    <w:p>
      <w:pPr>
        <w:spacing w:line="240" w:lineRule="atLeast"/>
        <w:rPr>
          <w:rFonts w:ascii="宋体" w:hAnsi="宋体" w:eastAsia="宋体" w:cs="Times New Roman"/>
          <w:szCs w:val="21"/>
        </w:rPr>
      </w:pPr>
      <w:r>
        <w:rPr>
          <w:rFonts w:hint="eastAsia" w:ascii="宋体" w:hAnsi="宋体" w:eastAsia="宋体" w:cs="Times New Roman"/>
          <w:szCs w:val="21"/>
        </w:rPr>
        <w:t>1、本表为采购单位向深圳</w:t>
      </w:r>
      <w:r>
        <w:rPr>
          <w:rFonts w:ascii="宋体" w:hAnsi="宋体" w:eastAsia="宋体" w:cs="Times New Roman"/>
          <w:szCs w:val="21"/>
        </w:rPr>
        <w:t>大学招投标管理中心反映</w:t>
      </w:r>
      <w:r>
        <w:rPr>
          <w:rFonts w:hint="eastAsia" w:ascii="宋体" w:hAnsi="宋体" w:eastAsia="宋体" w:cs="Times New Roman"/>
          <w:szCs w:val="21"/>
        </w:rPr>
        <w:t>深圳</w:t>
      </w:r>
      <w:r>
        <w:rPr>
          <w:rFonts w:ascii="宋体" w:hAnsi="宋体" w:eastAsia="宋体" w:cs="Times New Roman"/>
          <w:szCs w:val="21"/>
        </w:rPr>
        <w:t>大学</w:t>
      </w:r>
      <w:r>
        <w:rPr>
          <w:rFonts w:hint="eastAsia" w:ascii="宋体" w:hAnsi="宋体" w:eastAsia="宋体" w:cs="Times New Roman"/>
          <w:szCs w:val="21"/>
        </w:rPr>
        <w:t>采购项目履约情况时所用；</w:t>
      </w:r>
    </w:p>
    <w:p>
      <w:pPr>
        <w:spacing w:line="240" w:lineRule="atLeast"/>
        <w:rPr>
          <w:rFonts w:ascii="宋体" w:hAnsi="宋体" w:eastAsia="宋体" w:cs="Times New Roman"/>
          <w:szCs w:val="21"/>
        </w:rPr>
      </w:pPr>
      <w:r>
        <w:rPr>
          <w:rFonts w:hint="eastAsia" w:ascii="宋体" w:hAnsi="宋体" w:eastAsia="宋体" w:cs="Times New Roman"/>
          <w:szCs w:val="21"/>
        </w:rPr>
        <w:t>2、履约情况评价分为优、良、中、差四个等级，请在对应的框前打“√”，然后在“具体情况说明”一栏详细说明有关情况。</w:t>
      </w:r>
    </w:p>
    <w:p>
      <w:pPr>
        <w:spacing w:line="240" w:lineRule="atLeast"/>
        <w:rPr>
          <w:rFonts w:ascii="宋体" w:hAnsi="宋体" w:eastAsia="宋体" w:cs="Times New Roman"/>
          <w:szCs w:val="21"/>
        </w:rPr>
      </w:pPr>
    </w:p>
    <w:p>
      <w:pPr>
        <w:spacing w:line="240" w:lineRule="atLeast"/>
        <w:rPr>
          <w:rFonts w:ascii="宋体" w:hAnsi="宋体" w:eastAsia="宋体" w:cs="Times New Roman"/>
          <w:szCs w:val="21"/>
        </w:rPr>
      </w:pPr>
    </w:p>
    <w:p>
      <w:pPr>
        <w:pStyle w:val="4"/>
        <w:rPr>
          <w:sz w:val="44"/>
        </w:rPr>
      </w:pPr>
      <w:r>
        <w:rPr>
          <w:rFonts w:hint="eastAsia"/>
        </w:rPr>
        <w:t>第二册通用条款（公开招标）</w:t>
      </w:r>
    </w:p>
    <w:p>
      <w:pPr>
        <w:jc w:val="center"/>
        <w:rPr>
          <w:rFonts w:ascii="宋体" w:hAnsi="宋体"/>
          <w:b/>
          <w:color w:val="FF0000"/>
          <w:sz w:val="28"/>
          <w:szCs w:val="28"/>
        </w:rPr>
      </w:pPr>
      <w:r>
        <w:rPr>
          <w:rFonts w:hint="eastAsia" w:ascii="宋体" w:hAnsi="宋体"/>
          <w:b/>
          <w:color w:val="FF0000"/>
          <w:sz w:val="28"/>
          <w:szCs w:val="28"/>
        </w:rPr>
        <w:t>（1.4.1版本）</w:t>
      </w:r>
    </w:p>
    <w:p>
      <w:pPr>
        <w:keepNext/>
        <w:keepLines/>
        <w:numPr>
          <w:ilvl w:val="0"/>
          <w:numId w:val="10"/>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总则</w:t>
      </w:r>
    </w:p>
    <w:p>
      <w:pPr>
        <w:spacing w:line="360" w:lineRule="auto"/>
        <w:rPr>
          <w:rFonts w:ascii="黑体" w:hAnsi="宋体" w:eastAsia="黑体"/>
          <w:sz w:val="24"/>
          <w:szCs w:val="24"/>
        </w:rPr>
      </w:pPr>
      <w:r>
        <w:rPr>
          <w:rFonts w:hint="eastAsia" w:ascii="黑体" w:hAnsi="宋体" w:eastAsia="黑体"/>
          <w:sz w:val="24"/>
        </w:rPr>
        <w:t>1.通用条款说明</w:t>
      </w:r>
    </w:p>
    <w:p>
      <w:pPr>
        <w:ind w:firstLine="411" w:firstLineChars="196"/>
        <w:rPr>
          <w:rFonts w:ascii="宋体" w:hAnsi="宋体" w:eastAsia="宋体"/>
          <w:szCs w:val="21"/>
        </w:rPr>
      </w:pPr>
      <w:r>
        <w:rPr>
          <w:rFonts w:hint="eastAsia" w:ascii="宋体" w:hAnsi="宋体"/>
          <w:szCs w:val="21"/>
        </w:rPr>
        <w:t>1.1深圳大学招投标管理中心发出招标文件通用条款版本，列出深圳大学采购项目进行招标采购所适用的通用条款内容。如有需要，深圳大学招投标管理中心可以对通用条款增加附录或补充内容。</w:t>
      </w:r>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1.3“专用条款”是对本次采购项目的具体要求，包含投标人资格要求、招标项目需求、投标文件格式、附件等内容。</w:t>
      </w:r>
    </w:p>
    <w:p>
      <w:pPr>
        <w:ind w:firstLine="411" w:firstLineChars="196"/>
        <w:rPr>
          <w:rFonts w:ascii="宋体" w:hAnsi="宋体"/>
          <w:szCs w:val="21"/>
        </w:rPr>
      </w:pPr>
      <w:r>
        <w:rPr>
          <w:rFonts w:hint="eastAsia" w:ascii="宋体" w:hAnsi="宋体"/>
          <w:szCs w:val="21"/>
        </w:rPr>
        <w:t>1.4“通用条款”是适用于采购项目的基础性条款，具有普遍性和通用性。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spacing w:line="360" w:lineRule="auto"/>
        <w:rPr>
          <w:rFonts w:ascii="黑体" w:hAnsi="宋体" w:eastAsia="黑体"/>
          <w:sz w:val="24"/>
          <w:szCs w:val="24"/>
        </w:rPr>
      </w:pPr>
      <w:r>
        <w:rPr>
          <w:rFonts w:hint="eastAsia" w:ascii="黑体" w:hAnsi="宋体" w:eastAsia="黑体"/>
          <w:sz w:val="24"/>
        </w:rPr>
        <w:t>2．招标说明</w:t>
      </w:r>
    </w:p>
    <w:p>
      <w:pPr>
        <w:ind w:firstLine="411" w:firstLineChars="196"/>
        <w:rPr>
          <w:rFonts w:ascii="宋体" w:hAnsi="宋体" w:eastAsia="宋体"/>
          <w:szCs w:val="21"/>
        </w:rPr>
      </w:pPr>
      <w:r>
        <w:rPr>
          <w:rFonts w:hint="eastAsia" w:ascii="宋体" w:hAnsi="宋体"/>
          <w:szCs w:val="21"/>
        </w:rPr>
        <w:t>本项目按照《深圳经济特区政府采购条例》、 《深圳经济特区政府采购条例实施细则》和深圳大学的有关规定，并参考有关法规和规定通过招标方式确定中标供应商。</w:t>
      </w:r>
    </w:p>
    <w:p>
      <w:pPr>
        <w:spacing w:line="360" w:lineRule="auto"/>
        <w:rPr>
          <w:rFonts w:ascii="黑体" w:hAnsi="宋体" w:eastAsia="黑体"/>
          <w:sz w:val="24"/>
          <w:szCs w:val="24"/>
        </w:rPr>
      </w:pPr>
      <w:r>
        <w:rPr>
          <w:rFonts w:hint="eastAsia" w:ascii="黑体" w:hAnsi="宋体" w:eastAsia="黑体"/>
          <w:sz w:val="24"/>
        </w:rPr>
        <w:t>3．定义</w:t>
      </w:r>
    </w:p>
    <w:p>
      <w:pPr>
        <w:ind w:firstLine="420" w:firstLineChars="200"/>
        <w:rPr>
          <w:rFonts w:ascii="宋体" w:hAnsi="宋体" w:eastAsia="宋体"/>
          <w:szCs w:val="21"/>
        </w:rPr>
      </w:pPr>
      <w:r>
        <w:rPr>
          <w:rFonts w:hint="eastAsia"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3.1“学校采购机构”系指深圳大学招投标管理中心；</w:t>
      </w:r>
    </w:p>
    <w:p>
      <w:pPr>
        <w:ind w:firstLine="411" w:firstLineChars="196"/>
        <w:rPr>
          <w:rFonts w:ascii="宋体" w:hAnsi="宋体"/>
          <w:szCs w:val="21"/>
        </w:rPr>
      </w:pPr>
      <w:r>
        <w:rPr>
          <w:rFonts w:hint="eastAsia" w:ascii="宋体" w:hAnsi="宋体"/>
          <w:szCs w:val="21"/>
        </w:rPr>
        <w:t xml:space="preserve">3.2“采购人”或“采购单位”：系指深圳大学、深圳大学下属单位； </w:t>
      </w:r>
    </w:p>
    <w:p>
      <w:pPr>
        <w:ind w:firstLine="411" w:firstLineChars="196"/>
        <w:rPr>
          <w:rFonts w:ascii="宋体" w:hAnsi="宋体"/>
          <w:szCs w:val="21"/>
        </w:rPr>
      </w:pPr>
      <w:r>
        <w:rPr>
          <w:rFonts w:hint="eastAsia" w:ascii="宋体" w:hAnsi="宋体"/>
          <w:szCs w:val="21"/>
        </w:rPr>
        <w:t>3.3“投标人”或“投标方”，即供应商，是指参加投标竞争并愿意按照招标文件要求向采购人提供货物、工程或者服务的依法成立的法人、其他组织或者自然人；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3.4“评审委员会”和“谈判小组”是依据《深圳经济特区政府采购条例》、《深圳经济特区政府采购条例实施细则》和深圳大学的有关规定组建的专门负责本次招标的评审（谈判）工作的临时性机构；</w:t>
      </w:r>
    </w:p>
    <w:p>
      <w:pPr>
        <w:ind w:firstLine="411" w:firstLineChars="196"/>
        <w:rPr>
          <w:rFonts w:ascii="宋体" w:hAnsi="宋体"/>
          <w:szCs w:val="21"/>
        </w:rPr>
      </w:pPr>
      <w:r>
        <w:rPr>
          <w:rFonts w:hint="eastAsia" w:ascii="宋体" w:hAnsi="宋体"/>
          <w:szCs w:val="21"/>
        </w:rPr>
        <w:t>3.5“日期”指公历日；</w:t>
      </w:r>
    </w:p>
    <w:p>
      <w:pPr>
        <w:ind w:firstLine="411" w:firstLineChars="196"/>
        <w:rPr>
          <w:rFonts w:ascii="宋体" w:hAnsi="宋体"/>
          <w:szCs w:val="21"/>
        </w:rPr>
      </w:pPr>
      <w:r>
        <w:rPr>
          <w:rFonts w:hint="eastAsia" w:ascii="宋体" w:hAnsi="宋体"/>
          <w:szCs w:val="21"/>
        </w:rPr>
        <w:t>3.6“时间”如未特别说明，均为北京时间；</w:t>
      </w:r>
    </w:p>
    <w:p>
      <w:pPr>
        <w:ind w:firstLine="411" w:firstLineChars="196"/>
        <w:rPr>
          <w:rFonts w:ascii="宋体" w:hAnsi="宋体"/>
          <w:szCs w:val="21"/>
        </w:rPr>
      </w:pPr>
      <w:r>
        <w:rPr>
          <w:rFonts w:hint="eastAsia" w:ascii="宋体" w:hAnsi="宋体"/>
          <w:szCs w:val="21"/>
        </w:rPr>
        <w:t>3.7“合同”指由本次招标所产生的合同或合约文件；</w:t>
      </w:r>
    </w:p>
    <w:p>
      <w:pPr>
        <w:ind w:firstLine="411" w:firstLineChars="196"/>
        <w:rPr>
          <w:rFonts w:ascii="宋体" w:hAnsi="宋体"/>
          <w:szCs w:val="21"/>
        </w:rPr>
      </w:pPr>
      <w:r>
        <w:rPr>
          <w:rFonts w:hint="eastAsia" w:ascii="宋体" w:hAnsi="宋体"/>
          <w:szCs w:val="21"/>
        </w:rPr>
        <w:t>3.8招标文件中的标题或题名仅起引导作用，而不应视为对招标文件内容的理解和解释。</w:t>
      </w:r>
    </w:p>
    <w:p>
      <w:pPr>
        <w:spacing w:line="360" w:lineRule="auto"/>
        <w:rPr>
          <w:rFonts w:ascii="黑体" w:hAnsi="宋体" w:eastAsia="黑体"/>
          <w:sz w:val="24"/>
          <w:szCs w:val="24"/>
        </w:rPr>
      </w:pPr>
      <w:r>
        <w:rPr>
          <w:rFonts w:hint="eastAsia" w:ascii="黑体" w:hAnsi="宋体" w:eastAsia="黑体"/>
          <w:sz w:val="24"/>
        </w:rPr>
        <w:t>4. 供应商责任</w:t>
      </w:r>
    </w:p>
    <w:p>
      <w:pPr>
        <w:ind w:firstLine="411" w:firstLineChars="196"/>
        <w:rPr>
          <w:rFonts w:ascii="宋体" w:hAnsi="宋体" w:eastAsia="宋体"/>
          <w:szCs w:val="21"/>
        </w:rPr>
      </w:pPr>
      <w:r>
        <w:rPr>
          <w:rFonts w:hint="eastAsia" w:ascii="宋体" w:hAnsi="宋体"/>
          <w:szCs w:val="21"/>
        </w:rPr>
        <w:t>4.1欢迎诚信、有实力和有社会责任心的供应商参与深圳大学采购事务。</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spacing w:line="360" w:lineRule="auto"/>
        <w:rPr>
          <w:rFonts w:ascii="黑体" w:hAnsi="宋体" w:eastAsia="黑体"/>
          <w:sz w:val="24"/>
          <w:szCs w:val="24"/>
        </w:rPr>
      </w:pPr>
      <w:r>
        <w:rPr>
          <w:rFonts w:hint="eastAsia" w:ascii="黑体" w:hAnsi="宋体" w:eastAsia="黑体"/>
          <w:sz w:val="24"/>
        </w:rPr>
        <w:t>5．投标人参加深圳大学采购活动的条件</w:t>
      </w:r>
    </w:p>
    <w:p>
      <w:pPr>
        <w:ind w:firstLine="411" w:firstLineChars="196"/>
        <w:rPr>
          <w:rFonts w:ascii="宋体" w:hAnsi="宋体" w:eastAsia="宋体"/>
          <w:szCs w:val="21"/>
        </w:rPr>
      </w:pPr>
      <w:r>
        <w:rPr>
          <w:rFonts w:hint="eastAsia" w:ascii="宋体" w:hAnsi="宋体"/>
          <w:szCs w:val="21"/>
        </w:rPr>
        <w:t>5.1投标人的资格要求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参加本项目的投标人应具备的资格条件详见本项目招标公告中的内容。</w:t>
      </w:r>
    </w:p>
    <w:p>
      <w:pPr>
        <w:spacing w:line="360" w:lineRule="auto"/>
        <w:rPr>
          <w:rFonts w:ascii="黑体" w:hAnsi="宋体" w:eastAsia="黑体"/>
          <w:sz w:val="24"/>
          <w:szCs w:val="24"/>
        </w:rPr>
      </w:pPr>
      <w:r>
        <w:rPr>
          <w:rFonts w:hint="eastAsia" w:ascii="黑体" w:hAnsi="宋体" w:eastAsia="黑体"/>
          <w:sz w:val="24"/>
        </w:rPr>
        <w:t>6．联合体投标</w:t>
      </w:r>
    </w:p>
    <w:p>
      <w:pPr>
        <w:ind w:firstLine="411" w:firstLineChars="196"/>
        <w:rPr>
          <w:rFonts w:ascii="宋体" w:hAnsi="宋体" w:eastAsia="宋体"/>
        </w:rPr>
      </w:pPr>
      <w:r>
        <w:rPr>
          <w:rFonts w:hint="eastAsia" w:ascii="宋体" w:hAnsi="宋体"/>
        </w:rPr>
        <w:t>6.1　</w:t>
      </w:r>
      <w:r>
        <w:rPr>
          <w:rFonts w:hint="eastAsia"/>
        </w:rPr>
        <w:t>以下有关联合体投标的条款仅适用于允许投标人组成联合体投标的项目。</w:t>
      </w:r>
    </w:p>
    <w:p>
      <w:pPr>
        <w:ind w:firstLine="411" w:firstLineChars="196"/>
        <w:rPr>
          <w:rFonts w:ascii="宋体" w:hAnsi="宋体"/>
        </w:rPr>
      </w:pPr>
      <w:r>
        <w:rPr>
          <w:rFonts w:hint="eastAsia" w:ascii="宋体" w:hAnsi="宋体"/>
        </w:rPr>
        <w:t>6.2　由两个或</w:t>
      </w:r>
      <w:r>
        <w:rPr>
          <w:rFonts w:hint="eastAsia"/>
        </w:rPr>
        <w:t>两个以上的自然人、法人或者其他组织可以组成一个联合体，以一个供应商的身份</w:t>
      </w:r>
      <w:r>
        <w:rPr>
          <w:rFonts w:hint="eastAsia" w:ascii="宋体" w:hAnsi="宋体"/>
        </w:rPr>
        <w:t>共同投标时，应符合以下原则：</w:t>
      </w:r>
    </w:p>
    <w:p>
      <w:pPr>
        <w:ind w:firstLine="411" w:firstLineChars="196"/>
        <w:rPr>
          <w:rFonts w:ascii="宋体" w:hAnsi="宋体"/>
        </w:rPr>
      </w:pPr>
      <w:r>
        <w:rPr>
          <w:rFonts w:hint="eastAsia" w:ascii="宋体" w:hAnsi="宋体"/>
        </w:rPr>
        <w:t xml:space="preserve">（1）投标联合体各方参加深圳大学的采购活动应当具备下列条件： </w:t>
      </w:r>
    </w:p>
    <w:p>
      <w:pPr>
        <w:ind w:left="420" w:leftChars="200" w:firstLine="411" w:firstLineChars="196"/>
        <w:rPr>
          <w:rFonts w:ascii="宋体" w:hAnsi="宋体"/>
        </w:rPr>
      </w:pPr>
      <w:r>
        <w:rPr>
          <w:rFonts w:hint="eastAsia" w:ascii="宋体" w:hAnsi="宋体"/>
        </w:rPr>
        <w:t xml:space="preserve">1、具有独立承担民事责任的能力； </w:t>
      </w:r>
    </w:p>
    <w:p>
      <w:pPr>
        <w:ind w:left="420" w:firstLine="411" w:firstLineChars="196"/>
        <w:rPr>
          <w:rFonts w:ascii="宋体" w:hAnsi="宋体"/>
        </w:rPr>
      </w:pPr>
      <w:r>
        <w:rPr>
          <w:rFonts w:hint="eastAsia" w:ascii="宋体" w:hAnsi="宋体"/>
        </w:rPr>
        <w:t xml:space="preserve">2、有良好的商业信誉和健全的财务会计制度； </w:t>
      </w:r>
    </w:p>
    <w:p>
      <w:pPr>
        <w:ind w:left="420" w:leftChars="200" w:firstLine="411" w:firstLineChars="196"/>
        <w:rPr>
          <w:rFonts w:ascii="宋体" w:hAnsi="宋体"/>
        </w:rPr>
      </w:pPr>
      <w:r>
        <w:rPr>
          <w:rFonts w:hint="eastAsia" w:ascii="宋体" w:hAnsi="宋体"/>
        </w:rPr>
        <w:t xml:space="preserve">3、具有履行合同所必需的设备和专业技术能力； </w:t>
      </w:r>
    </w:p>
    <w:p>
      <w:pPr>
        <w:ind w:left="420" w:leftChars="200" w:firstLine="411" w:firstLineChars="196"/>
        <w:rPr>
          <w:rFonts w:ascii="宋体" w:hAnsi="宋体"/>
        </w:rPr>
      </w:pPr>
      <w:r>
        <w:rPr>
          <w:rFonts w:hint="eastAsia" w:ascii="宋体" w:hAnsi="宋体"/>
        </w:rPr>
        <w:t xml:space="preserve">4、有依法缴纳税收和社会保障资金的良好记录； </w:t>
      </w:r>
    </w:p>
    <w:p>
      <w:pPr>
        <w:ind w:left="420" w:leftChars="200" w:firstLine="411" w:firstLineChars="196"/>
        <w:rPr>
          <w:rFonts w:ascii="宋体" w:hAnsi="宋体"/>
        </w:rPr>
      </w:pPr>
      <w:r>
        <w:rPr>
          <w:rFonts w:hint="eastAsia" w:ascii="宋体" w:hAnsi="宋体"/>
        </w:rPr>
        <w:t xml:space="preserve">5、参加采购活动前三年内，在经营活动中没有重大违法记录； </w:t>
      </w:r>
    </w:p>
    <w:p>
      <w:pPr>
        <w:ind w:left="420" w:leftChars="200" w:firstLine="411" w:firstLineChars="196"/>
        <w:rPr>
          <w:rFonts w:ascii="宋体" w:hAnsi="宋体"/>
        </w:rPr>
      </w:pPr>
      <w:r>
        <w:rPr>
          <w:rFonts w:hint="eastAsia" w:ascii="宋体" w:hAnsi="宋体"/>
        </w:rPr>
        <w:t xml:space="preserve">6、法律、行政法规规定的其他条件。 </w:t>
      </w:r>
    </w:p>
    <w:p>
      <w:pPr>
        <w:ind w:firstLine="411" w:firstLineChars="196"/>
        <w:rPr>
          <w:rFonts w:ascii="宋体" w:hAnsi="宋体"/>
        </w:rPr>
      </w:pPr>
      <w:r>
        <w:rPr>
          <w:rFonts w:hint="eastAsia" w:ascii="宋体" w:hAnsi="宋体"/>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pPr>
        <w:ind w:firstLine="411" w:firstLineChars="196"/>
        <w:rPr>
          <w:rFonts w:ascii="宋体" w:hAnsi="宋体"/>
        </w:rPr>
      </w:pPr>
      <w:r>
        <w:rPr>
          <w:rFonts w:hint="eastAsia" w:ascii="宋体" w:hAnsi="宋体"/>
        </w:rPr>
        <w:t>（3）投标人的投标文件及中标后签署的合同协议对联合体各方均具法律约束力；</w:t>
      </w:r>
    </w:p>
    <w:p>
      <w:pPr>
        <w:ind w:firstLine="411" w:firstLineChars="196"/>
        <w:rPr>
          <w:rFonts w:ascii="宋体" w:hAnsi="宋体"/>
        </w:rPr>
      </w:pPr>
      <w:r>
        <w:rPr>
          <w:rFonts w:hint="eastAsia" w:ascii="宋体" w:hAnsi="宋体"/>
        </w:rPr>
        <w:t>（4）联合体各方应当签订共同投标协议，明确约定各方拟承担的工作和责任，并将该共同投标协议随投标文件一并递交给学校采购机构；</w:t>
      </w:r>
    </w:p>
    <w:p>
      <w:pPr>
        <w:ind w:firstLine="411" w:firstLineChars="196"/>
        <w:rPr>
          <w:rFonts w:ascii="宋体" w:hAnsi="宋体"/>
        </w:rPr>
      </w:pPr>
      <w:r>
        <w:rPr>
          <w:rFonts w:hint="eastAsia" w:ascii="宋体" w:hAnsi="宋体"/>
        </w:rPr>
        <w:t>（5）是否允许联合体参加投标，应当由采购人和采购代理机构根据项目的实际情况和潜在供应商的数量自主决定，如果决定接受联合体投标则应当在采购公告中明示。</w:t>
      </w:r>
    </w:p>
    <w:p>
      <w:pPr>
        <w:ind w:firstLine="411" w:firstLineChars="196"/>
        <w:rPr>
          <w:rFonts w:ascii="宋体" w:hAnsi="宋体"/>
        </w:rPr>
      </w:pPr>
      <w:r>
        <w:rPr>
          <w:rFonts w:hint="eastAsia" w:ascii="宋体" w:hAnsi="宋体"/>
        </w:rPr>
        <w:t>（6）联合体的各方应当共同推荐一联合体投标授权代表方，由联合体各方提交一份授权书，证明其有资格代表联合体各方签署投标文件，该授权书作为投标文件的组成部分一并提交给学校采购机构；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（8）以联合体形式参加本项目采购活动的，联合体各方不得再单独参加或者与其他供应商另外组成联合体参加同一合同项下的采购活动，出现上述情况者，其投标和与此有关联合体、总包单位的投标将被拒绝；</w:t>
      </w:r>
    </w:p>
    <w:p>
      <w:pPr>
        <w:ind w:firstLine="411" w:firstLineChars="196"/>
        <w:rPr>
          <w:rFonts w:ascii="宋体" w:hAnsi="宋体"/>
        </w:rPr>
      </w:pPr>
      <w:r>
        <w:rPr>
          <w:rFonts w:hint="eastAsia" w:ascii="宋体" w:hAnsi="宋体"/>
        </w:rPr>
        <w:t>（9）本通用条款中“投标人”一词亦指联合体各方，专用条款另有规定或说明的除外。</w:t>
      </w:r>
    </w:p>
    <w:p>
      <w:pPr>
        <w:spacing w:line="360" w:lineRule="auto"/>
        <w:rPr>
          <w:rFonts w:ascii="黑体" w:hAnsi="宋体" w:eastAsia="黑体"/>
          <w:sz w:val="24"/>
        </w:rPr>
      </w:pPr>
      <w:r>
        <w:rPr>
          <w:rFonts w:hint="eastAsia" w:ascii="黑体" w:hAnsi="宋体" w:eastAsia="黑体"/>
          <w:sz w:val="24"/>
        </w:rPr>
        <w:t>7.本项目若涉及采购货物，则合格的货物及相应服务应满足以下要求：</w:t>
      </w:r>
    </w:p>
    <w:p>
      <w:pPr>
        <w:ind w:firstLine="411" w:firstLineChars="196"/>
        <w:rPr>
          <w:rFonts w:ascii="宋体" w:hAnsi="宋体" w:eastAsia="宋体"/>
        </w:rPr>
      </w:pPr>
      <w:r>
        <w:rPr>
          <w:rFonts w:hint="eastAsia" w:ascii="宋体" w:hAnsi="宋体"/>
        </w:rPr>
        <w:t>7.1  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7.3  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7.4  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ind w:firstLine="411" w:firstLineChars="196"/>
        <w:rPr>
          <w:rFonts w:ascii="宋体" w:hAnsi="宋体"/>
        </w:rPr>
      </w:pPr>
      <w:r>
        <w:rPr>
          <w:rFonts w:hint="eastAsia" w:ascii="宋体" w:hAnsi="宋体"/>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对工期的要求：投标人在投标时对其所投项目应提交货进度、交货计划等，在合同规定的时间内完工验收。</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spacing w:line="360" w:lineRule="auto"/>
        <w:rPr>
          <w:rFonts w:ascii="黑体" w:hAnsi="宋体" w:eastAsia="黑体"/>
          <w:sz w:val="24"/>
        </w:rPr>
      </w:pPr>
      <w:r>
        <w:rPr>
          <w:rFonts w:hint="eastAsia" w:ascii="黑体" w:hAnsi="宋体" w:eastAsia="黑体"/>
          <w:sz w:val="24"/>
        </w:rPr>
        <w:t>8．投标费用</w:t>
      </w:r>
    </w:p>
    <w:p>
      <w:pPr>
        <w:ind w:firstLine="411" w:firstLineChars="196"/>
        <w:rPr>
          <w:rFonts w:ascii="宋体" w:hAnsi="宋体" w:eastAsia="宋体"/>
          <w:szCs w:val="21"/>
        </w:rPr>
      </w:pPr>
      <w:r>
        <w:rPr>
          <w:rFonts w:hint="eastAsia" w:ascii="宋体" w:hAnsi="宋体"/>
          <w:szCs w:val="21"/>
        </w:rPr>
        <w:t>不论投标结果如何，投标人应承担其编制投标文件与递交投标文件所涉及的一切费用。</w:t>
      </w:r>
    </w:p>
    <w:p>
      <w:pPr>
        <w:spacing w:line="360" w:lineRule="auto"/>
        <w:rPr>
          <w:rFonts w:ascii="黑体" w:hAnsi="宋体" w:eastAsia="黑体"/>
          <w:sz w:val="24"/>
          <w:szCs w:val="24"/>
        </w:rPr>
      </w:pPr>
      <w:r>
        <w:rPr>
          <w:rFonts w:hint="eastAsia" w:ascii="黑体" w:hAnsi="宋体" w:eastAsia="黑体"/>
          <w:sz w:val="24"/>
        </w:rPr>
        <w:t>9．踏勘现场</w:t>
      </w:r>
    </w:p>
    <w:p>
      <w:pPr>
        <w:ind w:firstLine="411" w:firstLineChars="196"/>
        <w:rPr>
          <w:rFonts w:ascii="宋体" w:hAnsi="宋体" w:eastAsia="宋体"/>
        </w:rPr>
      </w:pPr>
      <w:r>
        <w:rPr>
          <w:rFonts w:hint="eastAsia" w:ascii="宋体" w:hAnsi="宋体"/>
        </w:rPr>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9.3采购人必须通过学校采购机构向投标人提供有关现场的资料和数据。</w:t>
      </w:r>
    </w:p>
    <w:p>
      <w:pPr>
        <w:ind w:firstLine="411" w:firstLineChars="196"/>
        <w:rPr>
          <w:rFonts w:ascii="宋体" w:hAnsi="宋体"/>
        </w:rPr>
      </w:pPr>
      <w:r>
        <w:rPr>
          <w:rFonts w:hint="eastAsia" w:ascii="宋体" w:hAnsi="宋体"/>
        </w:rPr>
        <w:t>9.4任何人或任何组织在踏勘现场时向投标人提交的任何书面资料或口头承诺，未经学校采购机构在网上发布或书面通知，均作无效处理。</w:t>
      </w:r>
    </w:p>
    <w:p>
      <w:pPr>
        <w:spacing w:line="360" w:lineRule="auto"/>
        <w:rPr>
          <w:rFonts w:ascii="黑体" w:hAnsi="宋体" w:eastAsia="黑体"/>
          <w:sz w:val="24"/>
        </w:rPr>
      </w:pPr>
      <w:r>
        <w:rPr>
          <w:rFonts w:hint="eastAsia" w:ascii="黑体" w:hAnsi="宋体" w:eastAsia="黑体"/>
          <w:sz w:val="24"/>
        </w:rPr>
        <w:t>10．招标答疑</w:t>
      </w:r>
    </w:p>
    <w:p>
      <w:pPr>
        <w:ind w:firstLine="411" w:firstLineChars="196"/>
        <w:rPr>
          <w:rFonts w:ascii="宋体" w:hAnsi="宋体" w:eastAsia="宋体"/>
          <w:szCs w:val="21"/>
        </w:rPr>
      </w:pPr>
      <w:r>
        <w:rPr>
          <w:rFonts w:hint="eastAsia" w:ascii="宋体" w:hAnsi="宋体"/>
          <w:szCs w:val="21"/>
        </w:rPr>
        <w:t>10.1招标答疑的目的是澄清、解答投标人在查阅招标文件后或现场踏勘中可能提出的与投标有关的疑问或询问。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10.2投标人如对招标文件内容有疑问，必须在招标文件规定的答疑截止时间前以书面形式提交给学校采购机构。</w:t>
      </w:r>
    </w:p>
    <w:p>
      <w:pPr>
        <w:ind w:firstLine="411" w:firstLineChars="196"/>
        <w:rPr>
          <w:rFonts w:ascii="宋体" w:hAnsi="宋体"/>
          <w:szCs w:val="21"/>
        </w:rPr>
      </w:pPr>
      <w:r>
        <w:rPr>
          <w:rFonts w:hint="eastAsia" w:ascii="宋体" w:hAnsi="宋体"/>
          <w:szCs w:val="21"/>
        </w:rPr>
        <w:t>10.3学校采购机构对疑问所做出的澄清和解答，以书面答复（包括网站发布信息）为准。答疑纪要的有效性规定按照本通用条款第13.3、13.4款规定执行。</w:t>
      </w:r>
    </w:p>
    <w:p>
      <w:pPr>
        <w:ind w:firstLine="411" w:firstLineChars="196"/>
        <w:rPr>
          <w:rFonts w:ascii="宋体" w:hAnsi="宋体"/>
          <w:szCs w:val="21"/>
        </w:rPr>
      </w:pPr>
      <w:r>
        <w:rPr>
          <w:rFonts w:hint="eastAsia" w:ascii="宋体" w:hAnsi="宋体"/>
          <w:szCs w:val="21"/>
        </w:rPr>
        <w:t>10.4如学校采购机构认为有必要组织现场答疑会，投标人应按照招标文件规定的时间或学校采购机构另行书面通知（包括网站发布的通知）的时间和地点，参与现场答疑会。</w:t>
      </w:r>
    </w:p>
    <w:p>
      <w:pPr>
        <w:ind w:firstLine="411" w:firstLineChars="196"/>
        <w:rPr>
          <w:rFonts w:ascii="宋体" w:hAnsi="宋体"/>
          <w:szCs w:val="21"/>
        </w:rPr>
      </w:pPr>
      <w:r>
        <w:rPr>
          <w:rFonts w:hint="eastAsia" w:ascii="宋体" w:hAnsi="宋体"/>
          <w:szCs w:val="21"/>
        </w:rPr>
        <w:t>10.5未参与招标答疑不作为否定投标人资格的理由。</w:t>
      </w:r>
    </w:p>
    <w:p>
      <w:pPr>
        <w:ind w:firstLine="411" w:firstLineChars="196"/>
        <w:rPr>
          <w:rFonts w:ascii="宋体" w:hAnsi="宋体"/>
          <w:szCs w:val="24"/>
        </w:rPr>
      </w:pPr>
    </w:p>
    <w:p>
      <w:pPr>
        <w:keepNext/>
        <w:keepLines/>
        <w:numPr>
          <w:ilvl w:val="0"/>
          <w:numId w:val="10"/>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招标文件</w:t>
      </w:r>
    </w:p>
    <w:p>
      <w:pPr>
        <w:spacing w:line="360" w:lineRule="auto"/>
        <w:rPr>
          <w:rFonts w:ascii="黑体" w:hAnsi="宋体" w:eastAsia="黑体"/>
          <w:sz w:val="24"/>
          <w:szCs w:val="24"/>
        </w:rPr>
      </w:pPr>
      <w:r>
        <w:rPr>
          <w:rFonts w:hint="eastAsia" w:ascii="黑体" w:hAnsi="宋体" w:eastAsia="黑体"/>
          <w:sz w:val="24"/>
        </w:rPr>
        <w:t>11．招标文件的编制与组成</w:t>
      </w:r>
    </w:p>
    <w:p>
      <w:pPr>
        <w:snapToGrid w:val="0"/>
        <w:ind w:firstLine="420" w:firstLineChars="200"/>
        <w:rPr>
          <w:rFonts w:ascii="宋体" w:hAnsi="宋体" w:eastAsia="宋体"/>
          <w:szCs w:val="21"/>
        </w:rPr>
      </w:pPr>
      <w:r>
        <w:rPr>
          <w:rFonts w:hint="eastAsia" w:ascii="宋体" w:hAnsi="宋体"/>
          <w:szCs w:val="21"/>
        </w:rPr>
        <w:t>11.1招标文件除以下内容外，学校采购机构在招标（或谈判）期间发出的答疑、澄清或修改等相关公告或通知内容，均是招标文件的组成部分，对投标人起约束作用；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2"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招标项目需求</w:t>
      </w:r>
    </w:p>
    <w:p>
      <w:pPr>
        <w:ind w:left="630" w:leftChars="300" w:firstLine="411" w:firstLineChars="196"/>
        <w:rPr>
          <w:rFonts w:ascii="宋体" w:hAnsi="宋体"/>
          <w:szCs w:val="21"/>
        </w:rPr>
      </w:pPr>
      <w:r>
        <w:rPr>
          <w:rFonts w:hint="eastAsia" w:ascii="宋体" w:hAnsi="宋体"/>
          <w:szCs w:val="21"/>
        </w:rPr>
        <w:t>第三章  投标文件格式</w:t>
      </w:r>
    </w:p>
    <w:p>
      <w:pPr>
        <w:ind w:left="630" w:leftChars="300" w:firstLine="411" w:firstLineChars="196"/>
        <w:rPr>
          <w:rFonts w:ascii="宋体" w:hAnsi="宋体"/>
          <w:szCs w:val="21"/>
        </w:rPr>
      </w:pPr>
      <w:r>
        <w:rPr>
          <w:rFonts w:hint="eastAsia" w:ascii="宋体" w:hAnsi="宋体"/>
          <w:szCs w:val="21"/>
        </w:rPr>
        <w:t>第四章  合同及履约情况反馈表格式</w:t>
      </w:r>
    </w:p>
    <w:p>
      <w:pPr>
        <w:ind w:left="420" w:leftChars="200" w:firstLine="412" w:firstLineChars="196"/>
        <w:rPr>
          <w:rFonts w:ascii="宋体" w:hAnsi="宋体"/>
          <w:b/>
          <w:szCs w:val="21"/>
        </w:rPr>
      </w:pPr>
      <w:r>
        <w:rPr>
          <w:rFonts w:hint="eastAsia" w:ascii="宋体" w:hAnsi="宋体"/>
          <w:b/>
          <w:szCs w:val="21"/>
        </w:rPr>
        <w:t>第二册  通用条款</w:t>
      </w:r>
    </w:p>
    <w:p>
      <w:pPr>
        <w:tabs>
          <w:tab w:val="left" w:pos="360"/>
        </w:tabs>
        <w:ind w:firstLine="1079" w:firstLineChars="514"/>
        <w:rPr>
          <w:rFonts w:ascii="Times New Roman" w:hAnsi="Times New Roman"/>
          <w:szCs w:val="21"/>
        </w:rPr>
      </w:pPr>
      <w:r>
        <w:rPr>
          <w:rFonts w:hint="eastAsia"/>
          <w:szCs w:val="21"/>
        </w:rPr>
        <w:t>第一章总则</w:t>
      </w:r>
    </w:p>
    <w:p>
      <w:pPr>
        <w:tabs>
          <w:tab w:val="left" w:pos="360"/>
        </w:tabs>
        <w:ind w:firstLine="1079" w:firstLineChars="514"/>
        <w:rPr>
          <w:szCs w:val="21"/>
        </w:rPr>
      </w:pPr>
      <w:r>
        <w:rPr>
          <w:rFonts w:hint="eastAsia"/>
          <w:szCs w:val="21"/>
        </w:rPr>
        <w:t>第二章招标文件</w:t>
      </w:r>
    </w:p>
    <w:p>
      <w:pPr>
        <w:tabs>
          <w:tab w:val="left" w:pos="360"/>
        </w:tabs>
        <w:ind w:firstLine="1079" w:firstLineChars="514"/>
        <w:rPr>
          <w:szCs w:val="21"/>
        </w:rPr>
      </w:pPr>
      <w:r>
        <w:rPr>
          <w:rFonts w:hint="eastAsia"/>
          <w:szCs w:val="21"/>
        </w:rPr>
        <w:t>第三章投标文件的编制</w:t>
      </w:r>
    </w:p>
    <w:p>
      <w:pPr>
        <w:tabs>
          <w:tab w:val="left" w:pos="360"/>
        </w:tabs>
        <w:ind w:firstLine="1079" w:firstLineChars="514"/>
        <w:rPr>
          <w:szCs w:val="21"/>
        </w:rPr>
      </w:pPr>
      <w:r>
        <w:rPr>
          <w:rFonts w:hint="eastAsia"/>
          <w:szCs w:val="21"/>
        </w:rPr>
        <w:t>第四章投标文件的递交</w:t>
      </w:r>
    </w:p>
    <w:p>
      <w:pPr>
        <w:tabs>
          <w:tab w:val="left" w:pos="360"/>
        </w:tabs>
        <w:ind w:firstLine="1079" w:firstLineChars="514"/>
        <w:rPr>
          <w:szCs w:val="21"/>
        </w:rPr>
      </w:pPr>
      <w:r>
        <w:rPr>
          <w:rFonts w:hint="eastAsia"/>
          <w:szCs w:val="21"/>
        </w:rPr>
        <w:t>第五章开标</w:t>
      </w:r>
    </w:p>
    <w:p>
      <w:pPr>
        <w:tabs>
          <w:tab w:val="left" w:pos="360"/>
        </w:tabs>
        <w:ind w:firstLine="1079" w:firstLineChars="514"/>
        <w:rPr>
          <w:szCs w:val="21"/>
        </w:rPr>
      </w:pPr>
      <w:r>
        <w:rPr>
          <w:rFonts w:hint="eastAsia"/>
          <w:szCs w:val="21"/>
        </w:rPr>
        <w:t>第六章评标要求</w:t>
      </w:r>
    </w:p>
    <w:p>
      <w:pPr>
        <w:tabs>
          <w:tab w:val="left" w:pos="360"/>
        </w:tabs>
        <w:ind w:firstLine="1079" w:firstLineChars="514"/>
        <w:rPr>
          <w:szCs w:val="21"/>
        </w:rPr>
      </w:pPr>
      <w:r>
        <w:rPr>
          <w:rFonts w:hint="eastAsia"/>
          <w:szCs w:val="21"/>
        </w:rPr>
        <w:t>第七章评标程序及评标方法</w:t>
      </w:r>
    </w:p>
    <w:p>
      <w:pPr>
        <w:tabs>
          <w:tab w:val="left" w:pos="360"/>
        </w:tabs>
        <w:ind w:firstLine="1079" w:firstLineChars="514"/>
        <w:rPr>
          <w:szCs w:val="21"/>
        </w:rPr>
      </w:pPr>
      <w:r>
        <w:rPr>
          <w:rFonts w:hint="eastAsia"/>
          <w:szCs w:val="21"/>
        </w:rPr>
        <w:t>第八章定标及公示</w:t>
      </w:r>
    </w:p>
    <w:p>
      <w:pPr>
        <w:tabs>
          <w:tab w:val="left" w:pos="360"/>
        </w:tabs>
        <w:ind w:firstLine="1079" w:firstLineChars="514"/>
        <w:rPr>
          <w:szCs w:val="21"/>
        </w:rPr>
      </w:pPr>
      <w:r>
        <w:rPr>
          <w:rFonts w:hint="eastAsia"/>
          <w:szCs w:val="21"/>
        </w:rPr>
        <w:t>第九章公开招标失败的后续处理</w:t>
      </w:r>
    </w:p>
    <w:p>
      <w:pPr>
        <w:tabs>
          <w:tab w:val="left" w:pos="360"/>
        </w:tabs>
        <w:ind w:firstLine="1079" w:firstLineChars="514"/>
        <w:rPr>
          <w:szCs w:val="21"/>
        </w:rPr>
      </w:pPr>
      <w:r>
        <w:rPr>
          <w:rFonts w:hint="eastAsia"/>
          <w:szCs w:val="21"/>
        </w:rPr>
        <w:t>第十章合同的授予与备案</w:t>
      </w:r>
    </w:p>
    <w:p>
      <w:pPr>
        <w:tabs>
          <w:tab w:val="left" w:pos="360"/>
        </w:tabs>
        <w:ind w:firstLine="1079" w:firstLineChars="514"/>
        <w:rPr>
          <w:szCs w:val="21"/>
        </w:rPr>
      </w:pPr>
      <w:r>
        <w:rPr>
          <w:rFonts w:hint="eastAsia"/>
          <w:szCs w:val="21"/>
        </w:rPr>
        <w:t>第十一章质疑处理</w:t>
      </w:r>
    </w:p>
    <w:p>
      <w:pPr>
        <w:ind w:firstLine="411" w:firstLineChars="196"/>
        <w:rPr>
          <w:rFonts w:ascii="宋体" w:hAnsi="宋体"/>
          <w:szCs w:val="21"/>
        </w:rPr>
      </w:pPr>
      <w:r>
        <w:rPr>
          <w:rFonts w:hint="eastAsia" w:ascii="宋体" w:hAnsi="宋体"/>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pPr>
        <w:ind w:firstLine="411" w:firstLineChars="196"/>
        <w:rPr>
          <w:rFonts w:ascii="宋体" w:hAnsi="宋体"/>
          <w:szCs w:val="21"/>
        </w:rPr>
      </w:pPr>
      <w:r>
        <w:rPr>
          <w:rFonts w:hint="eastAsia" w:ascii="宋体" w:hAnsi="宋体"/>
          <w:szCs w:val="21"/>
        </w:rPr>
        <w:t>11.3</w:t>
      </w:r>
      <w:r>
        <w:rPr>
          <w:rFonts w:hint="eastAsia" w:ascii="宋体" w:hAnsi="宋体"/>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pPr>
        <w:spacing w:line="360" w:lineRule="auto"/>
        <w:rPr>
          <w:rFonts w:ascii="黑体" w:hAnsi="宋体" w:eastAsia="黑体"/>
          <w:sz w:val="24"/>
          <w:szCs w:val="24"/>
        </w:rPr>
      </w:pPr>
      <w:r>
        <w:rPr>
          <w:rFonts w:hint="eastAsia" w:ascii="黑体" w:hAnsi="宋体" w:eastAsia="黑体"/>
          <w:sz w:val="24"/>
        </w:rPr>
        <w:t>12．招标文件的澄清</w:t>
      </w:r>
    </w:p>
    <w:p>
      <w:pPr>
        <w:snapToGrid w:val="0"/>
        <w:ind w:firstLine="420" w:firstLineChars="200"/>
        <w:rPr>
          <w:rFonts w:ascii="宋体" w:hAnsi="宋体" w:eastAsia="宋体"/>
          <w:szCs w:val="21"/>
        </w:rPr>
      </w:pPr>
      <w:r>
        <w:rPr>
          <w:rFonts w:hint="eastAsia" w:ascii="宋体" w:hAnsi="宋体"/>
          <w:szCs w:val="21"/>
        </w:rPr>
        <w:t>12.1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pPr>
        <w:snapToGrid w:val="0"/>
        <w:ind w:firstLine="420" w:firstLineChars="200"/>
        <w:rPr>
          <w:rFonts w:ascii="宋体" w:hAnsi="宋体"/>
          <w:szCs w:val="21"/>
        </w:rPr>
      </w:pPr>
      <w:r>
        <w:rPr>
          <w:rFonts w:hint="eastAsia" w:ascii="宋体" w:hAnsi="宋体"/>
          <w:szCs w:val="21"/>
        </w:rPr>
        <w:t>12.2对于没有提出澄清又参与了该项目投标的供应商将被视为完全认同该</w:t>
      </w:r>
      <w:r>
        <w:rPr>
          <w:rFonts w:hint="eastAsia"/>
        </w:rPr>
        <w:t>招标文件（含澄清纪要）</w:t>
      </w:r>
      <w:r>
        <w:rPr>
          <w:rFonts w:hint="eastAsia" w:ascii="宋体" w:hAnsi="宋体"/>
          <w:szCs w:val="21"/>
        </w:rPr>
        <w:t>。</w:t>
      </w:r>
    </w:p>
    <w:p>
      <w:pPr>
        <w:snapToGrid w:val="0"/>
        <w:ind w:firstLine="420" w:firstLineChars="200"/>
        <w:rPr>
          <w:rFonts w:ascii="宋体" w:hAnsi="宋体"/>
          <w:szCs w:val="21"/>
        </w:rPr>
      </w:pPr>
      <w:r>
        <w:rPr>
          <w:rFonts w:hint="eastAsia" w:ascii="宋体" w:hAnsi="宋体"/>
          <w:szCs w:val="21"/>
        </w:rPr>
        <w:t>12.3 对招标文件中描述有歧义或前后不一致的地方，评审委员会有权进行评判，但对同一条款的评判应适用于每个投标人。</w:t>
      </w:r>
    </w:p>
    <w:p>
      <w:pPr>
        <w:spacing w:line="360" w:lineRule="auto"/>
        <w:rPr>
          <w:rFonts w:ascii="黑体" w:hAnsi="宋体" w:eastAsia="黑体"/>
          <w:sz w:val="24"/>
          <w:szCs w:val="24"/>
        </w:rPr>
      </w:pPr>
      <w:r>
        <w:rPr>
          <w:rFonts w:hint="eastAsia" w:ascii="黑体" w:hAnsi="宋体" w:eastAsia="黑体"/>
          <w:sz w:val="24"/>
        </w:rPr>
        <w:t>13．招标文件的修改</w:t>
      </w:r>
    </w:p>
    <w:p>
      <w:pPr>
        <w:ind w:firstLine="411" w:firstLineChars="196"/>
        <w:rPr>
          <w:rFonts w:ascii="宋体" w:hAnsi="宋体" w:eastAsia="宋体"/>
          <w:szCs w:val="21"/>
        </w:rPr>
      </w:pPr>
      <w:r>
        <w:rPr>
          <w:rFonts w:hint="eastAsia" w:ascii="宋体" w:hAnsi="宋体"/>
          <w:szCs w:val="21"/>
        </w:rPr>
        <w:t>13.1招标文件发出后，在投标截止日期前任何时候，确需要变更招标内容的，学校采购机构可主动或在解答投标人提出的澄清问题时对招标文件进行修改；</w:t>
      </w:r>
    </w:p>
    <w:p>
      <w:pPr>
        <w:ind w:firstLine="411" w:firstLineChars="196"/>
        <w:rPr>
          <w:rFonts w:ascii="宋体" w:hAnsi="宋体"/>
          <w:szCs w:val="21"/>
        </w:rPr>
      </w:pPr>
      <w:r>
        <w:rPr>
          <w:rFonts w:hint="eastAsia" w:ascii="宋体" w:hAnsi="宋体"/>
          <w:szCs w:val="21"/>
        </w:rPr>
        <w:t>13.2招标文件的修改以书面形式（包括网站公开发布方式）发送给所有投标人，招标文件的修改内容作为招标文件的组成部分，并具有约束力。</w:t>
      </w:r>
    </w:p>
    <w:p>
      <w:pPr>
        <w:ind w:firstLine="411" w:firstLineChars="196"/>
        <w:rPr>
          <w:rFonts w:ascii="宋体" w:hAnsi="宋体"/>
          <w:szCs w:val="21"/>
        </w:rPr>
      </w:pPr>
      <w:r>
        <w:rPr>
          <w:rFonts w:hint="eastAsia" w:ascii="宋体" w:hAnsi="宋体"/>
          <w:szCs w:val="21"/>
        </w:rPr>
        <w:t>13.3招标文件、招标文件澄清（答疑）纪要、招标文件修改补充通知内容均以书面（包括网站公开发布方式）明确的内容为准。当招标文件、修改补充通知、澄清（答疑）纪要内容相互矛盾时，以最后发出的内容为准；</w:t>
      </w:r>
    </w:p>
    <w:p>
      <w:pPr>
        <w:ind w:firstLine="411" w:firstLineChars="196"/>
        <w:rPr>
          <w:rFonts w:ascii="宋体" w:hAnsi="宋体"/>
          <w:szCs w:val="21"/>
        </w:rPr>
      </w:pPr>
      <w:r>
        <w:rPr>
          <w:rFonts w:hint="eastAsia" w:ascii="宋体" w:hAnsi="宋体"/>
          <w:szCs w:val="21"/>
        </w:rPr>
        <w:t>13.4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pPr>
        <w:keepNext/>
        <w:keepLines/>
        <w:numPr>
          <w:ilvl w:val="0"/>
          <w:numId w:val="10"/>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投标文件的编制</w:t>
      </w:r>
    </w:p>
    <w:p>
      <w:pPr>
        <w:spacing w:line="360" w:lineRule="auto"/>
        <w:rPr>
          <w:rFonts w:ascii="黑体" w:hAnsi="宋体" w:eastAsia="黑体"/>
          <w:sz w:val="24"/>
          <w:szCs w:val="24"/>
        </w:rPr>
      </w:pPr>
      <w:r>
        <w:rPr>
          <w:rFonts w:hint="eastAsia" w:ascii="黑体" w:hAnsi="宋体" w:eastAsia="黑体"/>
          <w:sz w:val="24"/>
        </w:rPr>
        <w:t>14．投标文件的语言及度量单位</w:t>
      </w:r>
    </w:p>
    <w:p>
      <w:pPr>
        <w:ind w:firstLine="411" w:firstLineChars="196"/>
        <w:rPr>
          <w:rFonts w:ascii="宋体" w:hAnsi="宋体" w:eastAsia="宋体"/>
          <w:szCs w:val="21"/>
        </w:rPr>
      </w:pPr>
      <w:r>
        <w:rPr>
          <w:rFonts w:hint="eastAsia" w:ascii="宋体" w:hAnsi="宋体"/>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p>
      <w:pPr>
        <w:spacing w:line="360" w:lineRule="auto"/>
        <w:rPr>
          <w:rFonts w:ascii="黑体" w:hAnsi="宋体" w:eastAsia="黑体"/>
          <w:sz w:val="24"/>
          <w:szCs w:val="24"/>
        </w:rPr>
      </w:pPr>
      <w:r>
        <w:rPr>
          <w:rFonts w:hint="eastAsia" w:ascii="黑体" w:hAnsi="宋体" w:eastAsia="黑体"/>
          <w:sz w:val="24"/>
        </w:rPr>
        <w:t>15．投标文件的组成</w:t>
      </w:r>
    </w:p>
    <w:p>
      <w:pPr>
        <w:ind w:firstLine="412" w:firstLineChars="196"/>
        <w:rPr>
          <w:rFonts w:ascii="宋体" w:hAnsi="宋体" w:eastAsia="宋体"/>
          <w:b/>
          <w:szCs w:val="21"/>
        </w:rPr>
      </w:pPr>
      <w:r>
        <w:rPr>
          <w:rFonts w:hint="eastAsia" w:ascii="宋体" w:hAnsi="宋体"/>
          <w:b/>
          <w:szCs w:val="21"/>
        </w:rPr>
        <w:t>具体内容请详见本项目招标文件第一册“专用条款”的相关内容。</w:t>
      </w:r>
    </w:p>
    <w:p>
      <w:pPr>
        <w:spacing w:line="360" w:lineRule="auto"/>
        <w:rPr>
          <w:rFonts w:ascii="黑体" w:hAnsi="宋体" w:eastAsia="黑体"/>
          <w:sz w:val="24"/>
          <w:szCs w:val="24"/>
        </w:rPr>
      </w:pPr>
      <w:r>
        <w:rPr>
          <w:rFonts w:hint="eastAsia" w:ascii="黑体" w:hAnsi="宋体" w:eastAsia="黑体"/>
          <w:sz w:val="24"/>
        </w:rPr>
        <w:t>16．投标文件格式</w:t>
      </w:r>
    </w:p>
    <w:p>
      <w:pPr>
        <w:ind w:firstLine="411" w:firstLineChars="196"/>
        <w:rPr>
          <w:rFonts w:ascii="宋体" w:hAnsi="宋体" w:eastAsia="宋体"/>
          <w:szCs w:val="21"/>
        </w:rPr>
      </w:pPr>
      <w:r>
        <w:rPr>
          <w:rFonts w:hint="eastAsia" w:ascii="宋体" w:hAnsi="宋体"/>
          <w:szCs w:val="21"/>
        </w:rPr>
        <w:t>投标文件包括本通用条款第15条中规定的内容。如招标文件提供了投标文件格式，则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（表格可以按同样格式扩展）。</w:t>
      </w:r>
    </w:p>
    <w:p>
      <w:pPr>
        <w:spacing w:line="360" w:lineRule="auto"/>
        <w:rPr>
          <w:rFonts w:ascii="黑体" w:hAnsi="宋体" w:eastAsia="黑体"/>
          <w:sz w:val="24"/>
          <w:szCs w:val="24"/>
        </w:rPr>
      </w:pPr>
      <w:r>
        <w:rPr>
          <w:rFonts w:hint="eastAsia" w:ascii="黑体" w:hAnsi="宋体" w:eastAsia="黑体"/>
          <w:sz w:val="24"/>
        </w:rPr>
        <w:t>17．投标货币</w:t>
      </w:r>
    </w:p>
    <w:p>
      <w:pPr>
        <w:ind w:firstLine="411" w:firstLineChars="196"/>
        <w:rPr>
          <w:rFonts w:ascii="宋体" w:hAnsi="宋体" w:eastAsia="宋体"/>
          <w:szCs w:val="21"/>
        </w:rPr>
      </w:pPr>
      <w:r>
        <w:rPr>
          <w:rFonts w:hint="eastAsia" w:ascii="宋体" w:hAnsi="宋体"/>
          <w:szCs w:val="21"/>
        </w:rPr>
        <w:t>如招标文件第一册“专用条款”无另外规定，本项目的投标应以人民币计。</w:t>
      </w:r>
    </w:p>
    <w:p>
      <w:pPr>
        <w:spacing w:line="360" w:lineRule="auto"/>
        <w:rPr>
          <w:rFonts w:ascii="黑体" w:hAnsi="宋体" w:eastAsia="黑体"/>
          <w:sz w:val="24"/>
          <w:szCs w:val="24"/>
        </w:rPr>
      </w:pPr>
      <w:r>
        <w:rPr>
          <w:rFonts w:hint="eastAsia" w:ascii="黑体" w:hAnsi="宋体" w:eastAsia="黑体"/>
          <w:sz w:val="24"/>
        </w:rPr>
        <w:t>18．证明投标文件投标技术方案的合格性和符合招标文件规定的文件要求</w:t>
      </w:r>
    </w:p>
    <w:p>
      <w:pPr>
        <w:ind w:firstLine="411" w:firstLineChars="196"/>
        <w:rPr>
          <w:rFonts w:ascii="宋体" w:hAnsi="宋体" w:eastAsia="宋体"/>
          <w:szCs w:val="21"/>
        </w:rPr>
      </w:pPr>
      <w:r>
        <w:rPr>
          <w:rFonts w:hint="eastAsia" w:ascii="宋体" w:hAnsi="宋体"/>
          <w:szCs w:val="21"/>
        </w:rPr>
        <w:t>18.1 投标人应按照本项目招标文件第一册“专用条款”的要求提交证明文件证明其投标技术方案项下的货物、工程和服务的合格性符合招标文件规定。该投标技术方案及其证明文件作为投标文件的一部分。</w:t>
      </w:r>
    </w:p>
    <w:p>
      <w:pPr>
        <w:ind w:firstLine="411" w:firstLineChars="196"/>
        <w:rPr>
          <w:rFonts w:ascii="宋体" w:hAnsi="宋体"/>
          <w:szCs w:val="21"/>
        </w:rPr>
      </w:pPr>
      <w:r>
        <w:rPr>
          <w:rFonts w:hint="eastAsia" w:ascii="宋体" w:hAnsi="宋体"/>
          <w:szCs w:val="21"/>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18.2.2投标产品从采购人开始使用至招标文件中规定的周期内正常、连续地使用所必须的备件和专用工具清单，包括备件和专用工具的货源及现行价格；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18.2.3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18.2.5我国政府机构出具的产品检验和核准证件应为证件正面、背面和附件标注的全部具体内容；产品检验和核准证件的尺寸和清晰度应该能够被阅读、识别和判断，提供原件复印件。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hint="eastAsia" w:ascii="宋体" w:hAnsi="宋体"/>
          <w:szCs w:val="21"/>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18.5为保证公平公正，除非另有规定或说明，投标人对同一项目投标时，不得同时提供两套或两套以上的投标方案。</w:t>
      </w:r>
    </w:p>
    <w:p>
      <w:pPr>
        <w:spacing w:line="360" w:lineRule="auto"/>
        <w:rPr>
          <w:rFonts w:ascii="黑体" w:hAnsi="宋体" w:eastAsia="黑体"/>
          <w:sz w:val="24"/>
          <w:szCs w:val="24"/>
        </w:rPr>
      </w:pPr>
      <w:r>
        <w:rPr>
          <w:rFonts w:hint="eastAsia" w:ascii="黑体" w:hAnsi="宋体" w:eastAsia="黑体"/>
          <w:sz w:val="24"/>
        </w:rPr>
        <w:t>19．投标文件其他证明文件的要求</w:t>
      </w:r>
    </w:p>
    <w:p>
      <w:pPr>
        <w:ind w:firstLine="411" w:firstLineChars="196"/>
        <w:rPr>
          <w:rFonts w:ascii="宋体" w:hAnsi="宋体" w:eastAsia="宋体"/>
          <w:szCs w:val="21"/>
        </w:rPr>
      </w:pPr>
      <w:r>
        <w:rPr>
          <w:rFonts w:hint="eastAsia" w:ascii="宋体" w:hAnsi="宋体"/>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0分处理。</w:t>
      </w:r>
    </w:p>
    <w:p>
      <w:pPr>
        <w:ind w:firstLine="411" w:firstLineChars="196"/>
        <w:rPr>
          <w:rFonts w:ascii="宋体" w:hAnsi="宋体"/>
          <w:szCs w:val="21"/>
        </w:rPr>
      </w:pPr>
      <w:r>
        <w:rPr>
          <w:rFonts w:hint="eastAsia" w:ascii="宋体" w:hAnsi="宋体"/>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spacing w:line="360" w:lineRule="auto"/>
        <w:rPr>
          <w:rFonts w:ascii="黑体" w:hAnsi="宋体" w:eastAsia="黑体"/>
          <w:sz w:val="24"/>
          <w:szCs w:val="24"/>
        </w:rPr>
      </w:pPr>
      <w:r>
        <w:rPr>
          <w:rFonts w:hint="eastAsia" w:ascii="黑体" w:hAnsi="宋体" w:eastAsia="黑体"/>
          <w:sz w:val="24"/>
        </w:rPr>
        <w:t>20．投标有效期</w:t>
      </w:r>
    </w:p>
    <w:p>
      <w:pPr>
        <w:ind w:firstLine="411" w:firstLineChars="196"/>
        <w:rPr>
          <w:rFonts w:ascii="宋体" w:hAnsi="宋体" w:eastAsia="宋体"/>
          <w:szCs w:val="21"/>
        </w:rPr>
      </w:pPr>
      <w:r>
        <w:rPr>
          <w:rFonts w:hint="eastAsia" w:ascii="宋体" w:hAnsi="宋体"/>
          <w:szCs w:val="21"/>
        </w:rPr>
        <w:t>20.1 投标有效期为</w:t>
      </w:r>
      <w:r>
        <w:rPr>
          <w:rFonts w:hint="eastAsia" w:ascii="Arial" w:hAnsi="Arial" w:cs="Arial"/>
          <w:szCs w:val="21"/>
        </w:rPr>
        <w:t>从投标截止之日算起的日历天数，具体见专用条款中投标有效期的天数要求。</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pPr>
        <w:ind w:firstLine="411" w:firstLineChars="196"/>
        <w:rPr>
          <w:rFonts w:ascii="宋体" w:hAnsi="宋体"/>
          <w:szCs w:val="21"/>
        </w:rPr>
      </w:pPr>
      <w:r>
        <w:rPr>
          <w:rFonts w:hint="eastAsia" w:ascii="宋体" w:hAnsi="宋体"/>
          <w:szCs w:val="21"/>
        </w:rPr>
        <w:t>20.3 中标单位的投标书有效期，截止于完成本招标文件规定的全部项目内容，并通过竣工验收及保修结束。</w:t>
      </w:r>
    </w:p>
    <w:p>
      <w:pPr>
        <w:spacing w:line="360" w:lineRule="auto"/>
        <w:rPr>
          <w:rFonts w:ascii="黑体" w:hAnsi="宋体" w:eastAsia="黑体"/>
          <w:sz w:val="24"/>
          <w:szCs w:val="24"/>
        </w:rPr>
      </w:pPr>
      <w:r>
        <w:rPr>
          <w:rFonts w:hint="eastAsia" w:ascii="黑体" w:hAnsi="宋体" w:eastAsia="黑体"/>
          <w:sz w:val="24"/>
        </w:rPr>
        <w:t>21．关于投标保证金</w:t>
      </w:r>
    </w:p>
    <w:p>
      <w:pPr>
        <w:ind w:firstLine="411" w:firstLineChars="196"/>
        <w:rPr>
          <w:rFonts w:ascii="宋体" w:hAnsi="宋体" w:eastAsia="宋体"/>
          <w:szCs w:val="21"/>
        </w:rPr>
      </w:pPr>
      <w:r>
        <w:rPr>
          <w:rFonts w:hint="eastAsia" w:ascii="宋体" w:hAnsi="宋体"/>
          <w:szCs w:val="21"/>
        </w:rPr>
        <w:t>21.1 为切实减轻企业负担，降低制度性交易成本，一般采购项目不收取投标保证金。</w:t>
      </w:r>
    </w:p>
    <w:p>
      <w:pPr>
        <w:ind w:firstLine="411" w:firstLineChars="196"/>
        <w:rPr>
          <w:rFonts w:ascii="宋体" w:hAnsi="宋体"/>
          <w:szCs w:val="21"/>
        </w:rPr>
      </w:pPr>
      <w:r>
        <w:rPr>
          <w:rFonts w:hint="eastAsia" w:ascii="宋体" w:hAnsi="宋体"/>
          <w:szCs w:val="21"/>
        </w:rPr>
        <w:t>21.2 若为重大项目，学校采购机构可自行决定另外收取投标保证金，不受21.1款限制。是否另外收取投标保证金，请见本招标文件“专用条款”《对通用条款的补充内容》中的相关要求。</w:t>
      </w:r>
    </w:p>
    <w:p>
      <w:pPr>
        <w:spacing w:line="360" w:lineRule="auto"/>
        <w:rPr>
          <w:rFonts w:ascii="黑体" w:hAnsi="宋体" w:eastAsia="黑体"/>
          <w:sz w:val="24"/>
          <w:szCs w:val="24"/>
        </w:rPr>
      </w:pPr>
      <w:r>
        <w:rPr>
          <w:rFonts w:hint="eastAsia" w:ascii="黑体" w:hAnsi="宋体" w:eastAsia="黑体"/>
          <w:sz w:val="24"/>
        </w:rPr>
        <w:t>22．投标人的替代方案</w:t>
      </w:r>
    </w:p>
    <w:p>
      <w:pPr>
        <w:ind w:firstLine="411" w:firstLineChars="196"/>
        <w:rPr>
          <w:rFonts w:ascii="宋体" w:hAnsi="宋体" w:eastAsia="宋体"/>
          <w:szCs w:val="21"/>
        </w:rPr>
      </w:pPr>
      <w:r>
        <w:rPr>
          <w:rFonts w:hint="eastAsia" w:ascii="宋体" w:hAnsi="宋体"/>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spacing w:line="360" w:lineRule="auto"/>
        <w:rPr>
          <w:rFonts w:ascii="黑体" w:hAnsi="宋体" w:eastAsia="黑体"/>
          <w:sz w:val="24"/>
          <w:szCs w:val="24"/>
        </w:rPr>
      </w:pPr>
      <w:r>
        <w:rPr>
          <w:rFonts w:hint="eastAsia" w:ascii="黑体" w:hAnsi="宋体" w:eastAsia="黑体"/>
          <w:sz w:val="24"/>
        </w:rPr>
        <w:t>23．投标文件的制作要求</w:t>
      </w:r>
    </w:p>
    <w:p>
      <w:pPr>
        <w:ind w:firstLine="411" w:firstLineChars="196"/>
        <w:rPr>
          <w:rFonts w:ascii="宋体" w:hAnsi="宋体" w:eastAsia="宋体"/>
        </w:rPr>
      </w:pPr>
      <w:r>
        <w:rPr>
          <w:rFonts w:hint="eastAsia" w:ascii="宋体" w:hAnsi="宋体"/>
        </w:rPr>
        <w:t>23.1 投标人需按项目采购文件要求准备所投项目的纸质投标文件正副本。</w:t>
      </w:r>
    </w:p>
    <w:p>
      <w:pPr>
        <w:ind w:firstLine="412" w:firstLineChars="196"/>
        <w:rPr>
          <w:rFonts w:ascii="宋体" w:hAnsi="宋体"/>
        </w:rPr>
      </w:pPr>
      <w:r>
        <w:rPr>
          <w:rFonts w:hint="eastAsia" w:ascii="宋体" w:hAnsi="宋体"/>
          <w:b/>
        </w:rPr>
        <w:tab/>
      </w:r>
      <w:r>
        <w:rPr>
          <w:rFonts w:hint="eastAsia" w:ascii="宋体" w:hAnsi="宋体"/>
        </w:rPr>
        <w:t>23.2 投标人在编辑投标文件时，在投标文件目录中属于本节点内容的必须在本节点中填写；填写到其他节点或附件的，评审委员会有权不予接受，一切后果由供应商自行承担。</w:t>
      </w:r>
    </w:p>
    <w:p>
      <w:pPr>
        <w:ind w:firstLine="411" w:firstLineChars="196"/>
        <w:rPr>
          <w:rFonts w:ascii="宋体" w:hAnsi="宋体"/>
        </w:rPr>
      </w:pPr>
      <w:r>
        <w:rPr>
          <w:rFonts w:hint="eastAsia" w:ascii="宋体" w:hAnsi="宋体"/>
        </w:rPr>
        <w:t>23.3 投标文件要求盖章、签字的地方，应按要求盖章、签字。评审委员会有权将缺、漏盖章、签字的投标文件认定为无效投标。</w:t>
      </w:r>
    </w:p>
    <w:p>
      <w:pPr>
        <w:ind w:firstLine="411" w:firstLineChars="196"/>
        <w:rPr>
          <w:rFonts w:ascii="宋体" w:hAnsi="宋体"/>
        </w:rPr>
      </w:pPr>
      <w:r>
        <w:rPr>
          <w:rFonts w:hint="eastAsia" w:ascii="宋体" w:hAnsi="宋体"/>
        </w:rPr>
        <w:t>23.4 电报、电话、传真形式的投标概不接受。</w:t>
      </w:r>
    </w:p>
    <w:p>
      <w:pPr>
        <w:keepNext/>
        <w:keepLines/>
        <w:numPr>
          <w:ilvl w:val="0"/>
          <w:numId w:val="10"/>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投标文件的递交</w:t>
      </w:r>
    </w:p>
    <w:p>
      <w:pPr>
        <w:spacing w:line="360" w:lineRule="auto"/>
        <w:rPr>
          <w:rFonts w:ascii="黑体" w:hAnsi="宋体" w:eastAsia="黑体"/>
          <w:sz w:val="24"/>
          <w:szCs w:val="24"/>
        </w:rPr>
      </w:pPr>
      <w:r>
        <w:rPr>
          <w:rFonts w:hint="eastAsia" w:ascii="黑体" w:hAnsi="宋体" w:eastAsia="黑体"/>
          <w:sz w:val="24"/>
        </w:rPr>
        <w:t>24．投标书的保密</w:t>
      </w:r>
    </w:p>
    <w:p>
      <w:pPr>
        <w:ind w:firstLine="411" w:firstLineChars="196"/>
        <w:rPr>
          <w:rFonts w:ascii="宋体" w:hAnsi="宋体" w:eastAsia="宋体"/>
        </w:rPr>
      </w:pPr>
      <w:r>
        <w:rPr>
          <w:rFonts w:hint="eastAsia" w:ascii="宋体" w:hAnsi="宋体"/>
        </w:rPr>
        <w:t>24.1在投标文件制作完成后，所有文件必须密封完整且加盖公章。</w:t>
      </w:r>
    </w:p>
    <w:p>
      <w:pPr>
        <w:ind w:firstLine="411" w:firstLineChars="196"/>
        <w:rPr>
          <w:rFonts w:ascii="宋体" w:hAnsi="宋体"/>
        </w:rPr>
      </w:pPr>
      <w:r>
        <w:rPr>
          <w:rFonts w:hint="eastAsia" w:ascii="宋体" w:hAnsi="宋体"/>
        </w:rPr>
        <w:t>24.2 所有投标文件应在其密封封面上注明项目名称、项目编号、投标人名称。</w:t>
      </w:r>
    </w:p>
    <w:p>
      <w:pPr>
        <w:spacing w:line="360" w:lineRule="auto"/>
        <w:rPr>
          <w:rFonts w:ascii="黑体" w:hAnsi="宋体" w:eastAsia="黑体"/>
          <w:sz w:val="24"/>
        </w:rPr>
      </w:pPr>
      <w:r>
        <w:rPr>
          <w:rFonts w:hint="eastAsia" w:ascii="黑体" w:hAnsi="宋体" w:eastAsia="黑体"/>
          <w:sz w:val="24"/>
        </w:rPr>
        <w:t>25．投标截止时间</w:t>
      </w:r>
    </w:p>
    <w:p>
      <w:pPr>
        <w:ind w:firstLine="411" w:firstLineChars="196"/>
        <w:rPr>
          <w:rFonts w:ascii="宋体" w:hAnsi="宋体" w:eastAsia="宋体"/>
        </w:rPr>
      </w:pPr>
      <w:r>
        <w:rPr>
          <w:rFonts w:hint="eastAsia" w:ascii="宋体" w:hAnsi="宋体"/>
        </w:rPr>
        <w:t>25.1投标人必须在采购文件规定的投标截止时间前将密封的投标文件递交到项目指定的地点。</w:t>
      </w:r>
    </w:p>
    <w:p>
      <w:pPr>
        <w:ind w:firstLine="411" w:firstLineChars="196"/>
        <w:rPr>
          <w:rFonts w:ascii="宋体" w:hAnsi="宋体"/>
        </w:rPr>
      </w:pPr>
      <w:r>
        <w:rPr>
          <w:rFonts w:hint="eastAsia" w:ascii="宋体" w:hAnsi="宋体"/>
        </w:rPr>
        <w:t>25.2学校采购机构可以按本通用条款第13条规定，通过修改招标文件自行决定酌情延长投标截止期。在此情况下，学校采购机构、采购人和投标人受投标截止期制约的所有权利和义务均应延长至新的截止期。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25.3学校采购机构不接受投标截止时间后递交的投标文件。</w:t>
      </w:r>
    </w:p>
    <w:p>
      <w:pPr>
        <w:spacing w:line="360" w:lineRule="auto"/>
        <w:rPr>
          <w:rFonts w:ascii="黑体" w:hAnsi="宋体" w:eastAsia="黑体"/>
          <w:sz w:val="24"/>
        </w:rPr>
      </w:pPr>
      <w:r>
        <w:rPr>
          <w:rFonts w:hint="eastAsia" w:ascii="黑体" w:hAnsi="宋体" w:eastAsia="黑体"/>
          <w:sz w:val="24"/>
        </w:rPr>
        <w:t>26.样品的递交</w:t>
      </w:r>
    </w:p>
    <w:p>
      <w:pPr>
        <w:ind w:firstLine="420"/>
        <w:rPr>
          <w:rFonts w:ascii="宋体" w:hAnsi="宋体" w:eastAsia="宋体"/>
          <w:szCs w:val="21"/>
        </w:rPr>
      </w:pPr>
      <w:r>
        <w:rPr>
          <w:rFonts w:hint="eastAsia" w:ascii="宋体" w:hAnsi="宋体"/>
          <w:szCs w:val="21"/>
        </w:rPr>
        <w:t>26.1 如确有必要，采购人可以要求投标人提供样品。</w:t>
      </w:r>
    </w:p>
    <w:p>
      <w:pPr>
        <w:ind w:firstLine="420"/>
        <w:rPr>
          <w:rFonts w:ascii="宋体" w:hAnsi="宋体"/>
          <w:szCs w:val="21"/>
        </w:rPr>
      </w:pPr>
      <w:r>
        <w:rPr>
          <w:rFonts w:hint="eastAsia" w:ascii="宋体" w:hAnsi="宋体"/>
          <w:szCs w:val="21"/>
        </w:rPr>
        <w:t>26.2 未中标供应商的样品将于招标结束后退还。中标供应商的样品由采购人保留，作为验收的依据。</w:t>
      </w:r>
    </w:p>
    <w:p>
      <w:pPr>
        <w:ind w:firstLine="420"/>
        <w:rPr>
          <w:rFonts w:ascii="宋体" w:hAnsi="宋体"/>
          <w:szCs w:val="21"/>
        </w:rPr>
      </w:pPr>
      <w:r>
        <w:rPr>
          <w:rFonts w:hint="eastAsia" w:ascii="宋体" w:hAnsi="宋体"/>
          <w:szCs w:val="21"/>
        </w:rPr>
        <w:t>26.3投标样品未能及时退回的，学校采购机构工作人员将及时存放到样品室，并发函或电话敦促相关单位取回。经敦促仍未能按规定取回的，视同投标供应商或采购人放弃取回，学校采购机构将定期清理。</w:t>
      </w:r>
    </w:p>
    <w:p>
      <w:pPr>
        <w:spacing w:line="360" w:lineRule="auto"/>
        <w:rPr>
          <w:rFonts w:ascii="黑体" w:hAnsi="宋体" w:eastAsia="黑体"/>
          <w:sz w:val="24"/>
          <w:szCs w:val="24"/>
        </w:rPr>
      </w:pPr>
      <w:r>
        <w:rPr>
          <w:rFonts w:hint="eastAsia" w:ascii="黑体" w:hAnsi="宋体" w:eastAsia="黑体"/>
          <w:sz w:val="24"/>
        </w:rPr>
        <w:t>27．投标文件的修改和撤销</w:t>
      </w:r>
    </w:p>
    <w:p>
      <w:pPr>
        <w:ind w:firstLine="411" w:firstLineChars="196"/>
        <w:rPr>
          <w:rFonts w:ascii="宋体" w:hAnsi="宋体" w:eastAsia="宋体"/>
        </w:rPr>
      </w:pPr>
      <w:r>
        <w:rPr>
          <w:rFonts w:hint="eastAsia" w:ascii="宋体" w:hAnsi="宋体"/>
        </w:rPr>
        <w:t>27.1投标方在提交投标文件后可对其投标文件进行修改或撤回。</w:t>
      </w:r>
    </w:p>
    <w:p>
      <w:pPr>
        <w:ind w:firstLine="411" w:firstLineChars="196"/>
        <w:rPr>
          <w:rFonts w:ascii="宋体" w:hAnsi="宋体"/>
        </w:rPr>
      </w:pPr>
      <w:r>
        <w:rPr>
          <w:rFonts w:hint="eastAsia" w:ascii="宋体" w:hAnsi="宋体"/>
        </w:rPr>
        <w:t>27.2投标截止时间以后不得修改投标文件。</w:t>
      </w:r>
    </w:p>
    <w:p>
      <w:pPr>
        <w:ind w:firstLine="411" w:firstLineChars="196"/>
        <w:rPr>
          <w:rFonts w:ascii="宋体" w:hAnsi="宋体"/>
        </w:rPr>
      </w:pPr>
      <w:r>
        <w:rPr>
          <w:rFonts w:hint="eastAsia" w:ascii="宋体" w:hAnsi="宋体"/>
        </w:rPr>
        <w:t>27.3从投标截止期至投标人在投标书中确定的投标有效期之间的这段时间内，投标人不得撤回其投标。</w:t>
      </w:r>
    </w:p>
    <w:p>
      <w:pPr>
        <w:ind w:firstLine="411" w:firstLineChars="196"/>
        <w:rPr>
          <w:rFonts w:ascii="宋体" w:hAnsi="宋体"/>
          <w:szCs w:val="21"/>
        </w:rPr>
      </w:pPr>
      <w:r>
        <w:rPr>
          <w:rFonts w:hint="eastAsia" w:ascii="宋体" w:hAnsi="宋体"/>
          <w:szCs w:val="21"/>
        </w:rPr>
        <w:t>27.4学校采购机构不退还投标文件，专用条款另有规定的除外。</w:t>
      </w:r>
    </w:p>
    <w:p>
      <w:pPr>
        <w:keepNext/>
        <w:keepLines/>
        <w:numPr>
          <w:ilvl w:val="0"/>
          <w:numId w:val="10"/>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开标</w:t>
      </w:r>
    </w:p>
    <w:p>
      <w:pPr>
        <w:spacing w:line="360" w:lineRule="auto"/>
        <w:rPr>
          <w:rFonts w:ascii="黑体" w:hAnsi="宋体" w:eastAsia="黑体"/>
          <w:sz w:val="24"/>
          <w:szCs w:val="24"/>
        </w:rPr>
      </w:pPr>
      <w:r>
        <w:rPr>
          <w:rFonts w:hint="eastAsia" w:ascii="黑体" w:hAnsi="宋体" w:eastAsia="黑体"/>
          <w:sz w:val="24"/>
        </w:rPr>
        <w:t>28．开标</w:t>
      </w:r>
    </w:p>
    <w:p>
      <w:pPr>
        <w:ind w:firstLine="359" w:firstLineChars="171"/>
        <w:rPr>
          <w:rFonts w:ascii="宋体" w:hAnsi="宋体" w:eastAsia="宋体"/>
          <w:szCs w:val="21"/>
        </w:rPr>
      </w:pPr>
      <w:r>
        <w:rPr>
          <w:rFonts w:hint="eastAsia" w:ascii="宋体" w:hAnsi="宋体"/>
          <w:szCs w:val="21"/>
        </w:rPr>
        <w:t>28.1学校采购机构将在投标截止时间后，对密封的投标文件进行拆封，开标，并在开标现场公布开标结果。</w:t>
      </w:r>
    </w:p>
    <w:p>
      <w:pPr>
        <w:keepNext/>
        <w:keepLines/>
        <w:numPr>
          <w:ilvl w:val="0"/>
          <w:numId w:val="10"/>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评标要求</w:t>
      </w:r>
    </w:p>
    <w:p>
      <w:pPr>
        <w:spacing w:line="360" w:lineRule="auto"/>
        <w:rPr>
          <w:rFonts w:ascii="黑体" w:hAnsi="宋体" w:eastAsia="黑体"/>
          <w:sz w:val="24"/>
          <w:szCs w:val="24"/>
        </w:rPr>
      </w:pPr>
      <w:r>
        <w:rPr>
          <w:rFonts w:hint="eastAsia" w:ascii="黑体" w:hAnsi="宋体" w:eastAsia="黑体"/>
          <w:sz w:val="24"/>
        </w:rPr>
        <w:t>29．评审委员会组成</w:t>
      </w:r>
    </w:p>
    <w:p>
      <w:pPr>
        <w:ind w:firstLine="411" w:firstLineChars="196"/>
        <w:rPr>
          <w:rFonts w:ascii="宋体" w:hAnsi="宋体" w:eastAsia="宋体"/>
        </w:rPr>
      </w:pPr>
      <w:r>
        <w:rPr>
          <w:rFonts w:hint="eastAsia" w:ascii="宋体" w:hAnsi="宋体"/>
        </w:rPr>
        <w:t>29.1开标结束后召开评标会议，评审委员会由学校采购机构依法组建，负责评标活动。</w:t>
      </w:r>
    </w:p>
    <w:p>
      <w:pPr>
        <w:ind w:firstLine="420"/>
        <w:rPr>
          <w:rFonts w:ascii="宋体" w:hAnsi="宋体"/>
        </w:rPr>
      </w:pPr>
      <w:r>
        <w:rPr>
          <w:rFonts w:hint="eastAsia" w:ascii="宋体" w:hAnsi="宋体"/>
        </w:rPr>
        <w:t>评标委员会由采购人代表和评审专家组成，成员人数为5人以上（含5人）单数，其中评审专家不少于成员总数的三分之二。</w:t>
      </w:r>
    </w:p>
    <w:p>
      <w:pPr>
        <w:ind w:firstLine="411" w:firstLineChars="196"/>
        <w:rPr>
          <w:rFonts w:ascii="宋体" w:hAnsi="宋体"/>
        </w:rPr>
      </w:pPr>
      <w:r>
        <w:rPr>
          <w:rFonts w:hint="eastAsia" w:ascii="宋体" w:hAnsi="宋体"/>
        </w:rPr>
        <w:t>为保证评委人选的专业性，以及评标中的公平公正性，评标委员会成员从深圳大学评标专家库中随机抽取。</w:t>
      </w:r>
    </w:p>
    <w:p>
      <w:pPr>
        <w:ind w:firstLine="411" w:firstLineChars="196"/>
        <w:rPr>
          <w:rFonts w:ascii="宋体" w:hAnsi="宋体"/>
        </w:rPr>
      </w:pPr>
      <w:r>
        <w:rPr>
          <w:rFonts w:hint="eastAsia" w:ascii="宋体" w:hAnsi="宋体"/>
        </w:rPr>
        <w:t>29.2评标定标应当遵循公平、公正、科学、择优的原则。</w:t>
      </w:r>
    </w:p>
    <w:p>
      <w:pPr>
        <w:ind w:firstLine="411" w:firstLineChars="196"/>
        <w:rPr>
          <w:rFonts w:ascii="宋体" w:hAnsi="宋体"/>
        </w:rPr>
      </w:pPr>
      <w:r>
        <w:rPr>
          <w:rFonts w:hint="eastAsia" w:ascii="宋体" w:hAnsi="宋体"/>
        </w:rPr>
        <w:t>29.3评标活动依法进行，任何单位和个人不得非法干预评标过程和结果。</w:t>
      </w:r>
    </w:p>
    <w:p>
      <w:pPr>
        <w:ind w:firstLine="411" w:firstLineChars="196"/>
        <w:rPr>
          <w:rFonts w:ascii="宋体" w:hAnsi="宋体"/>
        </w:rPr>
      </w:pPr>
      <w:r>
        <w:rPr>
          <w:rFonts w:hint="eastAsia" w:ascii="宋体" w:hAnsi="宋体"/>
        </w:rPr>
        <w:t>29.4评标过程中不允许违背评标程序或采用招标文件未载明的评标方法或评标因素进行评标。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开标后，直到签订合同为止，凡属于对投标文件的审查、澄清、评价和比较的有关资料以及中标候选人的推荐情况、与评标有关的其他任何情况均严格保密（信息公开的内容除外）。</w:t>
      </w:r>
    </w:p>
    <w:p>
      <w:pPr>
        <w:spacing w:line="360" w:lineRule="auto"/>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eastAsia="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30.3评审委员会应当认真研究招标文件，至少应了解熟悉以下内容：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spacing w:line="360" w:lineRule="auto"/>
        <w:rPr>
          <w:rFonts w:ascii="黑体" w:hAnsi="宋体" w:eastAsia="黑体"/>
          <w:sz w:val="24"/>
        </w:rPr>
      </w:pPr>
      <w:r>
        <w:rPr>
          <w:rFonts w:hint="eastAsia" w:ascii="黑体" w:hAnsi="宋体" w:eastAsia="黑体"/>
          <w:sz w:val="24"/>
        </w:rPr>
        <w:t>31．独立评标</w:t>
      </w:r>
    </w:p>
    <w:p>
      <w:pPr>
        <w:ind w:firstLine="411" w:firstLineChars="196"/>
        <w:rPr>
          <w:rFonts w:ascii="宋体" w:hAnsi="宋体" w:eastAsia="宋体"/>
          <w:bCs/>
          <w:szCs w:val="21"/>
        </w:rPr>
      </w:pPr>
      <w:r>
        <w:rPr>
          <w:rFonts w:hint="eastAsia" w:ascii="宋体" w:hAnsi="宋体"/>
          <w:bCs/>
        </w:rPr>
        <w:t>30.1评审委员会成员的评标活动应当独立进行，并应遵循投标文件初审、澄清有关问题、比较与评价、确定中标供应商、编写评标报告的工作程序。</w:t>
      </w:r>
    </w:p>
    <w:p>
      <w:pPr>
        <w:keepNext/>
        <w:keepLines/>
        <w:numPr>
          <w:ilvl w:val="0"/>
          <w:numId w:val="10"/>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评标程序及评标方法</w:t>
      </w:r>
    </w:p>
    <w:p>
      <w:pPr>
        <w:spacing w:line="360" w:lineRule="auto"/>
        <w:rPr>
          <w:rFonts w:ascii="黑体" w:hAnsi="宋体" w:eastAsia="黑体"/>
          <w:sz w:val="24"/>
          <w:szCs w:val="24"/>
        </w:rPr>
      </w:pPr>
      <w:r>
        <w:rPr>
          <w:rFonts w:hint="eastAsia" w:ascii="黑体" w:hAnsi="宋体" w:eastAsia="黑体"/>
          <w:sz w:val="24"/>
        </w:rPr>
        <w:t>32．投标文件初审</w:t>
      </w:r>
    </w:p>
    <w:p>
      <w:pPr>
        <w:ind w:firstLine="411" w:firstLineChars="196"/>
        <w:rPr>
          <w:rFonts w:ascii="宋体" w:hAnsi="宋体" w:eastAsia="宋体"/>
        </w:rPr>
      </w:pPr>
      <w:r>
        <w:rPr>
          <w:rFonts w:hint="eastAsia" w:ascii="宋体" w:hAnsi="宋体"/>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pPr>
        <w:ind w:firstLine="411" w:firstLineChars="196"/>
        <w:rPr>
          <w:rFonts w:ascii="宋体" w:hAnsi="宋体"/>
        </w:rPr>
      </w:pPr>
      <w:r>
        <w:rPr>
          <w:rFonts w:hint="eastAsia" w:ascii="宋体" w:hAnsi="宋体"/>
        </w:rPr>
        <w:t>32.2投标文件初审内容请详见《资格性审查表》和《符合性审查表》部分。投标人若有一条审查不通过则按投标无效处理。评审委员会对投标单位打√为通过审查，打×为未通过审查。</w:t>
      </w:r>
    </w:p>
    <w:p>
      <w:pPr>
        <w:ind w:firstLine="411" w:firstLineChars="196"/>
        <w:rPr>
          <w:rFonts w:ascii="宋体" w:hAnsi="宋体"/>
        </w:rPr>
      </w:pPr>
      <w:r>
        <w:rPr>
          <w:rFonts w:hint="eastAsia" w:ascii="宋体" w:hAnsi="宋体"/>
        </w:rPr>
        <w:t>32.3 投标文件初审中关于供应商家数的计算:</w:t>
      </w:r>
    </w:p>
    <w:p>
      <w:pPr>
        <w:ind w:firstLine="411" w:firstLineChars="196"/>
        <w:rPr>
          <w:rFonts w:ascii="宋体" w:hAnsi="宋体"/>
        </w:rPr>
      </w:pPr>
      <w:r>
        <w:rPr>
          <w:rFonts w:hint="eastAsia" w:ascii="宋体" w:hAnsi="宋体"/>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pPr>
        <w:ind w:firstLine="411" w:firstLineChars="196"/>
        <w:rPr>
          <w:rFonts w:ascii="宋体" w:hAnsi="宋体"/>
        </w:rPr>
      </w:pPr>
      <w:r>
        <w:rPr>
          <w:rFonts w:hint="eastAsia" w:ascii="宋体" w:hAnsi="宋体"/>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ind w:firstLine="411" w:firstLineChars="196"/>
        <w:rPr>
          <w:rFonts w:ascii="宋体" w:hAnsi="宋体"/>
        </w:rPr>
      </w:pPr>
      <w:r>
        <w:rPr>
          <w:rFonts w:hint="eastAsia" w:ascii="宋体" w:hAnsi="宋体"/>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11" w:firstLineChars="196"/>
        <w:rPr>
          <w:rFonts w:ascii="宋体" w:hAnsi="宋体"/>
        </w:rPr>
      </w:pPr>
      <w:r>
        <w:rPr>
          <w:rFonts w:hint="eastAsia" w:ascii="宋体" w:hAnsi="宋体"/>
        </w:rPr>
        <w:t>32.5投标人投标文件作无效处理的情形，具体包括但不限于以下：</w:t>
      </w:r>
    </w:p>
    <w:p>
      <w:pPr>
        <w:ind w:firstLine="411" w:firstLineChars="196"/>
        <w:rPr>
          <w:rFonts w:ascii="宋体" w:hAnsi="宋体"/>
        </w:rPr>
      </w:pPr>
      <w:r>
        <w:rPr>
          <w:rFonts w:hint="eastAsia" w:ascii="宋体" w:hAnsi="宋体"/>
        </w:rPr>
        <w:t>32.5.1不同投标人的投标文件由同一单位或者同一个人编制，或者由同一个人分阶段参与编制；</w:t>
      </w:r>
    </w:p>
    <w:p>
      <w:pPr>
        <w:ind w:firstLine="411" w:firstLineChars="196"/>
        <w:rPr>
          <w:rFonts w:ascii="宋体" w:hAnsi="宋体"/>
        </w:rPr>
      </w:pPr>
      <w:r>
        <w:rPr>
          <w:rFonts w:hint="eastAsia" w:ascii="宋体" w:hAnsi="宋体"/>
        </w:rPr>
        <w:t>32.5.2不同投标人委托同一单位或者个人办理投标事宜；</w:t>
      </w:r>
    </w:p>
    <w:p>
      <w:pPr>
        <w:ind w:firstLine="411" w:firstLineChars="196"/>
        <w:rPr>
          <w:rFonts w:ascii="宋体" w:hAnsi="宋体"/>
        </w:rPr>
      </w:pPr>
      <w:r>
        <w:rPr>
          <w:rFonts w:hint="eastAsia" w:ascii="宋体" w:hAnsi="宋体"/>
        </w:rPr>
        <w:t>32.5.3不同投标人的投标文件载明的项目管理成员或者联系人员为同一人；</w:t>
      </w:r>
    </w:p>
    <w:p>
      <w:pPr>
        <w:ind w:firstLine="411" w:firstLineChars="196"/>
        <w:rPr>
          <w:rFonts w:ascii="宋体" w:hAnsi="宋体"/>
        </w:rPr>
      </w:pPr>
      <w:r>
        <w:rPr>
          <w:rFonts w:hint="eastAsia" w:ascii="宋体" w:hAnsi="宋体"/>
        </w:rPr>
        <w:t>32.5.4不同投标人的投标文件异常一致或者投标报价呈规律性差异；</w:t>
      </w:r>
    </w:p>
    <w:p>
      <w:pPr>
        <w:ind w:firstLine="411" w:firstLineChars="196"/>
        <w:rPr>
          <w:rFonts w:ascii="宋体" w:hAnsi="宋体"/>
        </w:rPr>
      </w:pPr>
      <w:r>
        <w:rPr>
          <w:rFonts w:hint="eastAsia" w:ascii="宋体" w:hAnsi="宋体"/>
        </w:rPr>
        <w:t>32.5.5不同投标人的投标文件或部分投标文件相互混装；</w:t>
      </w:r>
    </w:p>
    <w:p>
      <w:pPr>
        <w:ind w:firstLine="411" w:firstLineChars="196"/>
        <w:rPr>
          <w:rFonts w:ascii="宋体" w:hAnsi="宋体"/>
        </w:rPr>
      </w:pPr>
      <w:r>
        <w:rPr>
          <w:rFonts w:hint="eastAsia" w:ascii="宋体" w:hAnsi="宋体"/>
        </w:rPr>
        <w:t>32.5.6投标供应商之间相互约定给予未中标的供应商利益补偿；</w:t>
      </w:r>
    </w:p>
    <w:p>
      <w:pPr>
        <w:ind w:firstLine="411" w:firstLineChars="196"/>
        <w:rPr>
          <w:rFonts w:ascii="宋体" w:hAnsi="宋体"/>
        </w:rPr>
      </w:pPr>
      <w:r>
        <w:rPr>
          <w:rFonts w:hint="eastAsia" w:ascii="宋体" w:hAnsi="宋体"/>
        </w:rPr>
        <w:t>32.5.7不同投标供应商的法定代表人、主要经营负责人、项目投标授权代表人、项目负责人、主要技术人员为同一人、属同一单位或者同一单位缴纳社会保险；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32.5.8不同投标供应商的投标文件内容存在非正常一致；</w:t>
      </w:r>
    </w:p>
    <w:p>
      <w:pPr>
        <w:ind w:firstLine="411" w:firstLineChars="196"/>
        <w:rPr>
          <w:rFonts w:ascii="宋体" w:hAnsi="宋体"/>
        </w:rPr>
      </w:pPr>
      <w:r>
        <w:rPr>
          <w:rFonts w:hint="eastAsia" w:ascii="宋体" w:hAnsi="宋体"/>
        </w:rPr>
        <w:t>32.5.9在同一单位工作人员为两家以上（含两家）供应商进行同一项投标活动；</w:t>
      </w:r>
    </w:p>
    <w:p>
      <w:pPr>
        <w:ind w:firstLine="411" w:firstLineChars="196"/>
        <w:rPr>
          <w:rFonts w:ascii="宋体" w:hAnsi="宋体"/>
        </w:rPr>
      </w:pPr>
      <w:r>
        <w:rPr>
          <w:rFonts w:hint="eastAsia" w:ascii="宋体" w:hAnsi="宋体"/>
        </w:rPr>
        <w:t>32.5.10主管部门依照法律、法规认定的其他情形。</w:t>
      </w:r>
    </w:p>
    <w:p>
      <w:pPr>
        <w:ind w:firstLine="411" w:firstLineChars="196"/>
        <w:rPr>
          <w:rFonts w:ascii="宋体" w:hAnsi="宋体"/>
        </w:rPr>
      </w:pPr>
      <w:r>
        <w:rPr>
          <w:rFonts w:hint="eastAsia" w:ascii="宋体" w:hAnsi="宋体"/>
        </w:rPr>
        <w:t>32.6 对不属于《资格性审查表》和《符合性审查表》所列的其他情形，除专用条款另有规定和32.5条款所列情形外，不得作为投标无效的理由。</w:t>
      </w:r>
    </w:p>
    <w:p>
      <w:pPr>
        <w:spacing w:line="360" w:lineRule="auto"/>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eastAsia="宋体"/>
          <w:szCs w:val="21"/>
        </w:rPr>
      </w:pP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szCs w:val="21"/>
        </w:rPr>
      </w:pPr>
      <w:r>
        <w:rPr>
          <w:rFonts w:hint="eastAsia" w:ascii="宋体" w:hAnsi="宋体"/>
          <w:szCs w:val="21"/>
        </w:rPr>
        <w:t>投标人的澄清、说明或者补正应当采用书面形式，并加盖公章，或者由法定代表人或其授权的代表签字。投标人的澄清、说明或者补正不得超出投标文件的范围或者改变投标文件的实质性内容。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spacing w:line="360" w:lineRule="auto"/>
        <w:rPr>
          <w:rFonts w:ascii="黑体" w:hAnsi="宋体" w:eastAsia="黑体"/>
          <w:sz w:val="24"/>
          <w:szCs w:val="24"/>
        </w:rPr>
      </w:pPr>
      <w:r>
        <w:rPr>
          <w:rFonts w:hint="eastAsia" w:ascii="黑体" w:hAnsi="宋体" w:eastAsia="黑体"/>
          <w:sz w:val="24"/>
        </w:rPr>
        <w:t>34．错误的修正</w:t>
      </w:r>
    </w:p>
    <w:p>
      <w:pPr>
        <w:ind w:firstLine="411" w:firstLineChars="196"/>
        <w:rPr>
          <w:rFonts w:ascii="宋体" w:hAnsi="宋体" w:eastAsia="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34.1投标文件中开标一览表内容与投标文件中相应内容不一致的，以开标一览表为准；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spacing w:line="360" w:lineRule="auto"/>
        <w:rPr>
          <w:rFonts w:ascii="黑体" w:hAnsi="宋体" w:eastAsia="黑体"/>
          <w:sz w:val="24"/>
          <w:szCs w:val="24"/>
        </w:rPr>
      </w:pPr>
      <w:r>
        <w:rPr>
          <w:rFonts w:hint="eastAsia" w:ascii="黑体" w:hAnsi="宋体" w:eastAsia="黑体"/>
          <w:sz w:val="24"/>
        </w:rPr>
        <w:t>35．投标文件的比较与评价</w:t>
      </w:r>
    </w:p>
    <w:p>
      <w:pPr>
        <w:ind w:firstLine="411" w:firstLineChars="196"/>
        <w:rPr>
          <w:rFonts w:ascii="宋体" w:hAnsi="宋体" w:eastAsia="宋体"/>
          <w:szCs w:val="21"/>
        </w:rPr>
      </w:pPr>
      <w:r>
        <w:rPr>
          <w:rFonts w:hint="eastAsia" w:ascii="宋体" w:hAnsi="宋体"/>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评审委员会成员对需要共同认定的事项存在争议的，应当按照少数服从多数的原则作出结论。持不同意见的评审委员会成员应当在评标报告上签署不同意见及理由，否则视为同意评标报告。</w:t>
      </w:r>
    </w:p>
    <w:p>
      <w:pPr>
        <w:spacing w:line="360" w:lineRule="auto"/>
        <w:rPr>
          <w:rFonts w:ascii="黑体" w:hAnsi="宋体" w:eastAsia="黑体"/>
          <w:sz w:val="24"/>
          <w:szCs w:val="24"/>
        </w:rPr>
      </w:pPr>
      <w:r>
        <w:rPr>
          <w:rFonts w:hint="eastAsia" w:ascii="黑体" w:hAnsi="宋体" w:eastAsia="黑体"/>
          <w:sz w:val="24"/>
        </w:rPr>
        <w:t>36.实地考察、演示或设备测试</w:t>
      </w:r>
    </w:p>
    <w:p>
      <w:pPr>
        <w:ind w:firstLine="411" w:firstLineChars="196"/>
        <w:rPr>
          <w:rFonts w:ascii="宋体" w:hAnsi="宋体" w:eastAsia="宋体"/>
          <w:szCs w:val="21"/>
        </w:rPr>
      </w:pPr>
      <w:r>
        <w:rPr>
          <w:rFonts w:hint="eastAsia" w:ascii="宋体" w:hAnsi="宋体"/>
          <w:szCs w:val="21"/>
        </w:rPr>
        <w:t>36.1在招标过程中，评审委员会有权决定是否对本项目投标人进行现场勘察或实地考察或检验有关证明材料的原件。投标人应随时做好接受检查的准备。</w:t>
      </w:r>
    </w:p>
    <w:p>
      <w:pPr>
        <w:ind w:firstLine="411" w:firstLineChars="196"/>
        <w:rPr>
          <w:rFonts w:ascii="宋体" w:hAnsi="宋体"/>
          <w:szCs w:val="21"/>
        </w:rPr>
      </w:pPr>
      <w:r>
        <w:rPr>
          <w:rFonts w:hint="eastAsia" w:ascii="宋体" w:hAnsi="宋体"/>
          <w:szCs w:val="21"/>
        </w:rPr>
        <w:t>36.2若招标文件要求进行现场演示或设备测试的，投标人应做好相应准备。</w:t>
      </w:r>
    </w:p>
    <w:p>
      <w:pPr>
        <w:spacing w:line="360" w:lineRule="auto"/>
        <w:rPr>
          <w:rFonts w:ascii="黑体" w:hAnsi="宋体" w:eastAsia="黑体"/>
          <w:sz w:val="24"/>
          <w:szCs w:val="24"/>
        </w:rPr>
      </w:pPr>
      <w:r>
        <w:rPr>
          <w:rFonts w:hint="eastAsia" w:ascii="黑体" w:hAnsi="宋体" w:eastAsia="黑体"/>
          <w:sz w:val="24"/>
        </w:rPr>
        <w:t>37．评标方法</w:t>
      </w:r>
    </w:p>
    <w:p>
      <w:pPr>
        <w:ind w:firstLine="412" w:firstLineChars="196"/>
        <w:rPr>
          <w:rFonts w:ascii="宋体" w:hAnsi="宋体" w:eastAsia="宋体"/>
          <w:b/>
          <w:bCs/>
          <w:szCs w:val="21"/>
        </w:rPr>
      </w:pPr>
      <w:r>
        <w:rPr>
          <w:rFonts w:hint="eastAsia" w:ascii="宋体" w:hAnsi="宋体"/>
          <w:b/>
          <w:bCs/>
          <w:szCs w:val="21"/>
        </w:rPr>
        <w:t>37.1最低价法</w:t>
      </w:r>
    </w:p>
    <w:p>
      <w:pPr>
        <w:ind w:firstLine="411" w:firstLineChars="196"/>
        <w:rPr>
          <w:rFonts w:ascii="宋体" w:hAnsi="宋体"/>
          <w:bCs/>
          <w:szCs w:val="21"/>
        </w:rPr>
      </w:pPr>
      <w:r>
        <w:rPr>
          <w:rFonts w:hint="eastAsia" w:ascii="宋体" w:hAnsi="宋体"/>
          <w:bCs/>
          <w:szCs w:val="21"/>
        </w:rPr>
        <w:t>最低评标价法，是指投标文件满足招标文件全部实质性要求，且投标报价最低的投标人为中标候选人的评标方法。</w:t>
      </w:r>
    </w:p>
    <w:p>
      <w:pPr>
        <w:ind w:firstLine="412" w:firstLineChars="196"/>
        <w:rPr>
          <w:rFonts w:ascii="宋体" w:hAnsi="宋体"/>
          <w:b/>
          <w:bCs/>
          <w:szCs w:val="21"/>
        </w:rPr>
      </w:pPr>
      <w:r>
        <w:rPr>
          <w:rFonts w:hint="eastAsia" w:ascii="宋体" w:hAnsi="宋体"/>
          <w:b/>
          <w:bCs/>
          <w:szCs w:val="21"/>
        </w:rPr>
        <w:t>37.2综合评分法</w:t>
      </w:r>
    </w:p>
    <w:p>
      <w:pPr>
        <w:ind w:firstLine="411" w:firstLineChars="196"/>
        <w:rPr>
          <w:rFonts w:ascii="宋体" w:hAnsi="宋体"/>
          <w:bCs/>
          <w:szCs w:val="21"/>
        </w:rPr>
      </w:pPr>
      <w:r>
        <w:rPr>
          <w:rFonts w:hint="eastAsia" w:ascii="宋体" w:hAnsi="宋体"/>
          <w:bCs/>
          <w:szCs w:val="21"/>
        </w:rPr>
        <w:t>综合评分法，是指投标文件满足招标文件全部实质性要求，且按照评审因素的量化指标评审得分最高的投标人为中标候选人的评标方法。</w:t>
      </w:r>
    </w:p>
    <w:p>
      <w:pPr>
        <w:ind w:firstLine="412" w:firstLineChars="196"/>
        <w:rPr>
          <w:rFonts w:ascii="宋体" w:hAnsi="宋体"/>
          <w:b/>
          <w:bCs/>
          <w:szCs w:val="21"/>
        </w:rPr>
      </w:pPr>
      <w:r>
        <w:rPr>
          <w:rFonts w:hint="eastAsia" w:ascii="宋体" w:hAnsi="宋体"/>
          <w:b/>
          <w:bCs/>
          <w:szCs w:val="21"/>
        </w:rPr>
        <w:t>37.3定性评审法</w:t>
      </w:r>
    </w:p>
    <w:p>
      <w:pPr>
        <w:ind w:firstLine="411" w:firstLineChars="196"/>
        <w:rPr>
          <w:rFonts w:ascii="宋体" w:hAnsi="宋体"/>
          <w:bCs/>
          <w:szCs w:val="21"/>
        </w:rPr>
      </w:pPr>
      <w:r>
        <w:rPr>
          <w:rFonts w:hint="eastAsia" w:ascii="宋体" w:hAnsi="宋体"/>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pPr>
        <w:ind w:firstLine="412" w:firstLineChars="196"/>
        <w:rPr>
          <w:rFonts w:ascii="宋体" w:hAnsi="宋体"/>
          <w:b/>
          <w:bCs/>
          <w:szCs w:val="21"/>
        </w:rPr>
      </w:pPr>
      <w:r>
        <w:rPr>
          <w:rFonts w:hint="eastAsia" w:ascii="宋体" w:hAnsi="宋体"/>
          <w:b/>
          <w:bCs/>
          <w:szCs w:val="21"/>
        </w:rPr>
        <w:t>37.4 本项目采用的评标方法见本项目招标文件第一册“专用条款”的相关内容。</w:t>
      </w:r>
    </w:p>
    <w:p>
      <w:pPr>
        <w:ind w:firstLine="412" w:firstLineChars="196"/>
        <w:rPr>
          <w:rFonts w:ascii="宋体" w:hAnsi="宋体"/>
          <w:b/>
          <w:bCs/>
          <w:szCs w:val="21"/>
        </w:rPr>
      </w:pPr>
      <w:r>
        <w:rPr>
          <w:rFonts w:hint="eastAsia" w:ascii="宋体" w:hAnsi="宋体"/>
          <w:b/>
          <w:bCs/>
          <w:szCs w:val="21"/>
        </w:rPr>
        <w:t>37.5重新评审的情形</w:t>
      </w:r>
    </w:p>
    <w:p>
      <w:pPr>
        <w:ind w:firstLine="411" w:firstLineChars="196"/>
        <w:rPr>
          <w:rFonts w:ascii="宋体" w:hAnsi="宋体"/>
          <w:bCs/>
          <w:szCs w:val="21"/>
        </w:rPr>
      </w:pPr>
      <w:r>
        <w:rPr>
          <w:rFonts w:hint="eastAsia" w:ascii="宋体" w:hAnsi="宋体"/>
          <w:bCs/>
          <w:szCs w:val="21"/>
        </w:rPr>
        <w:t>评标结果汇总完成后，除下列情形外，任何人不得修改评标结果：</w:t>
      </w:r>
    </w:p>
    <w:p>
      <w:pPr>
        <w:ind w:firstLine="411" w:firstLineChars="196"/>
        <w:rPr>
          <w:rFonts w:ascii="宋体" w:hAnsi="宋体"/>
          <w:bCs/>
          <w:szCs w:val="21"/>
        </w:rPr>
      </w:pPr>
      <w:r>
        <w:rPr>
          <w:rFonts w:hint="eastAsia" w:ascii="宋体" w:hAnsi="宋体"/>
          <w:bCs/>
          <w:szCs w:val="21"/>
        </w:rPr>
        <w:t>（1）分值汇总计算错误的；</w:t>
      </w:r>
    </w:p>
    <w:p>
      <w:pPr>
        <w:ind w:firstLine="411" w:firstLineChars="196"/>
        <w:rPr>
          <w:rFonts w:ascii="宋体" w:hAnsi="宋体"/>
          <w:bCs/>
          <w:szCs w:val="21"/>
        </w:rPr>
      </w:pPr>
      <w:r>
        <w:rPr>
          <w:rFonts w:hint="eastAsia" w:ascii="宋体" w:hAnsi="宋体"/>
          <w:bCs/>
          <w:szCs w:val="21"/>
        </w:rPr>
        <w:t>（2）分项评分超出评分标准范围的；</w:t>
      </w:r>
    </w:p>
    <w:p>
      <w:pPr>
        <w:ind w:firstLine="411" w:firstLineChars="196"/>
        <w:rPr>
          <w:rFonts w:ascii="宋体" w:hAnsi="宋体"/>
          <w:bCs/>
          <w:szCs w:val="21"/>
        </w:rPr>
      </w:pPr>
      <w:r>
        <w:rPr>
          <w:rFonts w:hint="eastAsia" w:ascii="宋体" w:hAnsi="宋体"/>
          <w:bCs/>
          <w:szCs w:val="21"/>
        </w:rPr>
        <w:t>（3）评审委员会成员对客观评审因素评分不一致的；</w:t>
      </w:r>
    </w:p>
    <w:p>
      <w:pPr>
        <w:ind w:firstLine="411" w:firstLineChars="196"/>
        <w:rPr>
          <w:rFonts w:ascii="宋体" w:hAnsi="宋体"/>
          <w:bCs/>
          <w:szCs w:val="21"/>
        </w:rPr>
      </w:pPr>
      <w:r>
        <w:rPr>
          <w:rFonts w:hint="eastAsia" w:ascii="宋体" w:hAnsi="宋体"/>
          <w:bCs/>
          <w:szCs w:val="21"/>
        </w:rPr>
        <w:t>（4）经评审委员会认定评分畸高、畸低的。</w:t>
      </w:r>
    </w:p>
    <w:p>
      <w:pPr>
        <w:ind w:firstLine="411" w:firstLineChars="196"/>
        <w:rPr>
          <w:rFonts w:ascii="宋体" w:hAnsi="宋体"/>
          <w:bCs/>
          <w:szCs w:val="21"/>
        </w:rPr>
      </w:pPr>
      <w:r>
        <w:rPr>
          <w:rFonts w:hint="eastAsia" w:ascii="宋体" w:hAnsi="宋体"/>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pPr>
        <w:ind w:firstLine="411" w:firstLineChars="196"/>
        <w:rPr>
          <w:rFonts w:ascii="宋体" w:hAnsi="宋体"/>
          <w:b/>
          <w:bCs/>
          <w:szCs w:val="21"/>
        </w:rPr>
      </w:pPr>
      <w:r>
        <w:rPr>
          <w:rFonts w:hint="eastAsia" w:ascii="宋体" w:hAnsi="宋体"/>
          <w:bCs/>
          <w:szCs w:val="21"/>
        </w:rPr>
        <w:t>投标人对本条第一款情形提出质疑的，采购人或者学校采购机构可以组织原评审委员会进行重新评审。</w:t>
      </w:r>
    </w:p>
    <w:p>
      <w:pPr>
        <w:ind w:firstLine="412" w:firstLineChars="196"/>
        <w:rPr>
          <w:rFonts w:ascii="宋体" w:hAnsi="宋体"/>
          <w:b/>
          <w:bCs/>
          <w:szCs w:val="21"/>
        </w:rPr>
      </w:pPr>
      <w:r>
        <w:rPr>
          <w:rFonts w:hint="eastAsia" w:ascii="宋体" w:hAnsi="宋体"/>
          <w:b/>
          <w:bCs/>
          <w:szCs w:val="21"/>
        </w:rPr>
        <w:t xml:space="preserve"> 37.6重新组建评审委员会的情形</w:t>
      </w:r>
    </w:p>
    <w:p>
      <w:pPr>
        <w:ind w:firstLine="411" w:firstLineChars="196"/>
        <w:rPr>
          <w:rFonts w:ascii="宋体" w:hAnsi="宋体"/>
          <w:bCs/>
          <w:szCs w:val="21"/>
        </w:rPr>
      </w:pPr>
      <w:r>
        <w:rPr>
          <w:rFonts w:hint="eastAsia" w:ascii="宋体" w:hAnsi="宋体"/>
          <w:bCs/>
          <w:szCs w:val="21"/>
        </w:rPr>
        <w:t>评审委员会或者其成员存在下列情形导致评标结果无效的，重新组建评审委员会进行评标：</w:t>
      </w:r>
    </w:p>
    <w:p>
      <w:pPr>
        <w:ind w:firstLine="411" w:firstLineChars="196"/>
        <w:rPr>
          <w:rFonts w:ascii="宋体" w:hAnsi="宋体"/>
          <w:bCs/>
          <w:szCs w:val="21"/>
        </w:rPr>
      </w:pPr>
      <w:r>
        <w:rPr>
          <w:rFonts w:hint="eastAsia" w:ascii="宋体" w:hAnsi="宋体"/>
          <w:bCs/>
          <w:szCs w:val="21"/>
        </w:rPr>
        <w:t>（1）评审委员会组成不符合相关规定的；</w:t>
      </w:r>
    </w:p>
    <w:p>
      <w:pPr>
        <w:ind w:firstLine="411" w:firstLineChars="196"/>
        <w:rPr>
          <w:rFonts w:ascii="宋体" w:hAnsi="宋体"/>
          <w:bCs/>
          <w:szCs w:val="21"/>
        </w:rPr>
      </w:pPr>
      <w:r>
        <w:rPr>
          <w:rFonts w:hint="eastAsia" w:ascii="宋体" w:hAnsi="宋体"/>
          <w:bCs/>
          <w:szCs w:val="21"/>
        </w:rPr>
        <w:t>（2）有《政府采购货物和服务招标投标管理办法》第六十二条第一至五项情形的；</w:t>
      </w:r>
    </w:p>
    <w:p>
      <w:pPr>
        <w:ind w:firstLine="411" w:firstLineChars="196"/>
        <w:rPr>
          <w:rFonts w:ascii="宋体" w:hAnsi="宋体"/>
          <w:bCs/>
          <w:szCs w:val="21"/>
        </w:rPr>
      </w:pPr>
      <w:r>
        <w:rPr>
          <w:rFonts w:hint="eastAsia" w:ascii="宋体" w:hAnsi="宋体"/>
          <w:bCs/>
          <w:szCs w:val="21"/>
        </w:rPr>
        <w:t>（3）评审委员会及其成员独立评标受到非法干预的；</w:t>
      </w:r>
    </w:p>
    <w:p>
      <w:pPr>
        <w:ind w:firstLine="411" w:firstLineChars="196"/>
        <w:rPr>
          <w:rFonts w:ascii="宋体" w:hAnsi="宋体"/>
          <w:bCs/>
          <w:szCs w:val="21"/>
        </w:rPr>
      </w:pPr>
      <w:r>
        <w:rPr>
          <w:rFonts w:hint="eastAsia" w:ascii="宋体" w:hAnsi="宋体"/>
          <w:bCs/>
          <w:szCs w:val="21"/>
        </w:rPr>
        <w:t>（4）有政府采购法实施条例第七十五条规定的违法行为的。</w:t>
      </w:r>
    </w:p>
    <w:p>
      <w:pPr>
        <w:ind w:firstLine="411" w:firstLineChars="196"/>
        <w:rPr>
          <w:rFonts w:ascii="宋体" w:hAnsi="宋体"/>
          <w:bCs/>
          <w:szCs w:val="21"/>
        </w:rPr>
      </w:pPr>
      <w:r>
        <w:rPr>
          <w:rFonts w:hint="eastAsia" w:ascii="宋体" w:hAnsi="宋体"/>
          <w:bCs/>
          <w:szCs w:val="21"/>
        </w:rPr>
        <w:t>有违法违规行为的原评审委员会成员不得参加重新组建的评审委员会。</w:t>
      </w:r>
    </w:p>
    <w:p>
      <w:pPr>
        <w:keepNext/>
        <w:keepLines/>
        <w:numPr>
          <w:ilvl w:val="0"/>
          <w:numId w:val="10"/>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定标及公示</w:t>
      </w:r>
    </w:p>
    <w:p>
      <w:pPr>
        <w:spacing w:line="360" w:lineRule="auto"/>
        <w:rPr>
          <w:rFonts w:ascii="黑体" w:hAnsi="宋体" w:eastAsia="黑体"/>
          <w:sz w:val="24"/>
          <w:szCs w:val="24"/>
        </w:rPr>
      </w:pPr>
      <w:r>
        <w:rPr>
          <w:rFonts w:hint="eastAsia" w:ascii="黑体" w:hAnsi="宋体" w:eastAsia="黑体"/>
          <w:sz w:val="24"/>
        </w:rPr>
        <w:t>38．定标方法</w:t>
      </w:r>
    </w:p>
    <w:p>
      <w:pPr>
        <w:ind w:firstLine="411" w:firstLineChars="196"/>
        <w:rPr>
          <w:rFonts w:ascii="宋体" w:hAnsi="宋体" w:eastAsia="宋体"/>
          <w:szCs w:val="21"/>
        </w:rPr>
      </w:pPr>
      <w:r>
        <w:rPr>
          <w:rFonts w:hint="eastAsia" w:ascii="宋体" w:hAnsi="宋体"/>
          <w:szCs w:val="21"/>
        </w:rPr>
        <w:t>38.1评审委员会依据本项目招标文件所约定的评标方法进行评审和比较，向学校采购机构提交书面评标报告，并根据评标方法比较评价结果从优到劣进行排序，并推荐中标候选人或确定中标供应商。</w:t>
      </w:r>
    </w:p>
    <w:p>
      <w:pPr>
        <w:ind w:firstLine="411" w:firstLineChars="196"/>
        <w:rPr>
          <w:rFonts w:ascii="宋体" w:hAnsi="宋体"/>
          <w:szCs w:val="21"/>
        </w:rPr>
      </w:pPr>
      <w:r>
        <w:rPr>
          <w:rFonts w:hint="eastAsia" w:ascii="宋体" w:hAnsi="宋体"/>
          <w:szCs w:val="21"/>
        </w:rPr>
        <w:t>38.2采用最低价法的，评标结果按投标报价由低到高顺序排列。投标报价相同的并列。投标文件满足招标文件全部实质性要求且投标报价最低的投标人为排名第一的中标候选人。</w:t>
      </w:r>
    </w:p>
    <w:p>
      <w:pPr>
        <w:ind w:firstLine="411" w:firstLineChars="196"/>
        <w:rPr>
          <w:rFonts w:ascii="宋体" w:hAnsi="宋体"/>
          <w:szCs w:val="21"/>
        </w:rPr>
      </w:pPr>
      <w:r>
        <w:rPr>
          <w:rFonts w:hint="eastAsia" w:ascii="宋体" w:hAnsi="宋体"/>
          <w:szCs w:val="21"/>
        </w:rPr>
        <w:t>38.3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11" w:firstLineChars="196"/>
        <w:rPr>
          <w:rFonts w:ascii="宋体" w:hAnsi="宋体"/>
          <w:szCs w:val="21"/>
        </w:rPr>
      </w:pPr>
      <w:r>
        <w:rPr>
          <w:rFonts w:hint="eastAsia" w:ascii="宋体" w:hAnsi="宋体"/>
          <w:szCs w:val="21"/>
        </w:rPr>
        <w:t>38.4出现并列的情况时，采取随机抽取的方式确定并列的投标人的排序，具体操作办法及流程由评审委员会确定。</w:t>
      </w:r>
    </w:p>
    <w:p>
      <w:pPr>
        <w:ind w:firstLine="411" w:firstLineChars="196"/>
        <w:rPr>
          <w:rFonts w:ascii="宋体" w:hAnsi="宋体"/>
          <w:szCs w:val="21"/>
        </w:rPr>
      </w:pPr>
      <w:r>
        <w:rPr>
          <w:rFonts w:hint="eastAsia" w:ascii="宋体" w:hAnsi="宋体"/>
          <w:szCs w:val="21"/>
        </w:rPr>
        <w:t>38.5专用条款另有规定的，按专用条款相关要求定标。</w:t>
      </w:r>
    </w:p>
    <w:p>
      <w:pPr>
        <w:spacing w:line="360" w:lineRule="auto"/>
        <w:rPr>
          <w:rFonts w:ascii="黑体" w:hAnsi="宋体" w:eastAsia="黑体"/>
          <w:sz w:val="24"/>
          <w:szCs w:val="24"/>
        </w:rPr>
      </w:pPr>
      <w:r>
        <w:rPr>
          <w:rFonts w:hint="eastAsia" w:ascii="黑体" w:hAnsi="宋体" w:eastAsia="黑体"/>
          <w:sz w:val="24"/>
        </w:rPr>
        <w:t>39．编写评标报告</w:t>
      </w:r>
    </w:p>
    <w:p>
      <w:pPr>
        <w:ind w:firstLine="411" w:firstLineChars="196"/>
        <w:rPr>
          <w:rFonts w:ascii="宋体" w:hAnsi="宋体" w:eastAsia="宋体"/>
          <w:szCs w:val="21"/>
        </w:rPr>
      </w:pPr>
      <w:r>
        <w:rPr>
          <w:rFonts w:hint="eastAsia" w:ascii="宋体" w:hAnsi="宋体"/>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pPr>
        <w:spacing w:line="360" w:lineRule="auto"/>
        <w:rPr>
          <w:rFonts w:ascii="黑体" w:hAnsi="宋体" w:eastAsia="黑体"/>
          <w:sz w:val="24"/>
          <w:szCs w:val="24"/>
        </w:rPr>
      </w:pPr>
      <w:r>
        <w:rPr>
          <w:rFonts w:hint="eastAsia" w:ascii="黑体" w:hAnsi="宋体" w:eastAsia="黑体"/>
          <w:sz w:val="24"/>
        </w:rPr>
        <w:t>40．中标公告</w:t>
      </w:r>
    </w:p>
    <w:p>
      <w:pPr>
        <w:ind w:firstLine="411" w:firstLineChars="196"/>
        <w:rPr>
          <w:rFonts w:ascii="宋体" w:hAnsi="宋体" w:eastAsia="宋体"/>
          <w:szCs w:val="21"/>
        </w:rPr>
      </w:pPr>
      <w:r>
        <w:rPr>
          <w:rFonts w:hint="eastAsia" w:ascii="宋体" w:hAnsi="宋体"/>
          <w:szCs w:val="21"/>
        </w:rPr>
        <w:t>40.1为体现“公开、公平、公正”的原则，评标结束后，学校采购机构将在“深圳大学招投标管理中心网站”（</w:t>
      </w:r>
      <w:r>
        <w:fldChar w:fldCharType="begin"/>
      </w:r>
      <w:r>
        <w:instrText xml:space="preserve"> HYPERLINK "http://bidding.szu.edu.cn/" </w:instrText>
      </w:r>
      <w:r>
        <w:fldChar w:fldCharType="separate"/>
      </w:r>
      <w:r>
        <w:rPr>
          <w:rStyle w:val="47"/>
          <w:rFonts w:hint="eastAsia" w:ascii="宋体" w:hAnsi="宋体"/>
          <w:szCs w:val="21"/>
        </w:rPr>
        <w:t>http://bidding.szu.edu.cn/</w:t>
      </w:r>
      <w:r>
        <w:rPr>
          <w:rStyle w:val="47"/>
          <w:rFonts w:hint="eastAsia" w:ascii="宋体" w:hAnsi="宋体"/>
          <w:szCs w:val="21"/>
        </w:rPr>
        <w:fldChar w:fldCharType="end"/>
      </w:r>
      <w:r>
        <w:rPr>
          <w:rFonts w:hint="eastAsia" w:ascii="宋体" w:hAnsi="宋体"/>
          <w:szCs w:val="21"/>
        </w:rPr>
        <w:t>）上发布中标结果公告。供应商如对评标结果有异议，可在发布公示日期起七个工作日内向学校采购机构提出。若在规定期限内未提出质疑，则视为认同该评标结果。</w:t>
      </w:r>
    </w:p>
    <w:p>
      <w:pPr>
        <w:ind w:firstLine="411" w:firstLineChars="196"/>
        <w:rPr>
          <w:rFonts w:ascii="宋体" w:hAnsi="宋体"/>
          <w:szCs w:val="21"/>
        </w:rPr>
      </w:pPr>
      <w:r>
        <w:rPr>
          <w:rFonts w:hint="eastAsia" w:ascii="宋体" w:hAnsi="宋体"/>
          <w:szCs w:val="21"/>
        </w:rPr>
        <w:t>40.2质疑投诉人应保证质疑投诉内容的真实性和可靠性，并承担相应的法律责任。</w:t>
      </w:r>
    </w:p>
    <w:p>
      <w:pPr>
        <w:spacing w:line="360" w:lineRule="auto"/>
        <w:rPr>
          <w:rFonts w:ascii="黑体" w:hAnsi="宋体" w:eastAsia="黑体"/>
          <w:sz w:val="24"/>
          <w:szCs w:val="24"/>
        </w:rPr>
      </w:pPr>
      <w:r>
        <w:rPr>
          <w:rFonts w:hint="eastAsia" w:ascii="黑体" w:hAnsi="宋体" w:eastAsia="黑体"/>
          <w:sz w:val="24"/>
        </w:rPr>
        <w:t>41．中标通知书</w:t>
      </w:r>
    </w:p>
    <w:p>
      <w:pPr>
        <w:ind w:firstLine="411" w:firstLineChars="196"/>
        <w:rPr>
          <w:rFonts w:ascii="宋体" w:hAnsi="宋体" w:eastAsia="宋体"/>
          <w:szCs w:val="21"/>
        </w:rPr>
      </w:pPr>
      <w:r>
        <w:rPr>
          <w:rFonts w:hint="eastAsia" w:ascii="宋体" w:hAnsi="宋体"/>
          <w:szCs w:val="21"/>
        </w:rPr>
        <w:t>41.1中标公告公布以后,在公示期内无有效质疑投诉,中标供应商和采购人可到学校采购机构领取《中标通知书》（咨询电话：0755—26531025，地点：深圳大学粤海校区汇元楼238室）。</w:t>
      </w:r>
    </w:p>
    <w:p>
      <w:pPr>
        <w:ind w:firstLine="411" w:firstLineChars="196"/>
        <w:rPr>
          <w:rFonts w:ascii="宋体" w:hAnsi="宋体"/>
          <w:szCs w:val="21"/>
        </w:rPr>
      </w:pPr>
      <w:r>
        <w:rPr>
          <w:rFonts w:hint="eastAsia" w:ascii="宋体" w:hAnsi="宋体"/>
          <w:szCs w:val="21"/>
        </w:rPr>
        <w:t>41.2中标通知书是合同的重要组成部分。</w:t>
      </w:r>
    </w:p>
    <w:p>
      <w:pPr>
        <w:ind w:firstLine="411" w:firstLineChars="196"/>
        <w:rPr>
          <w:rFonts w:ascii="宋体" w:hAnsi="宋体"/>
          <w:szCs w:val="21"/>
        </w:rPr>
      </w:pPr>
      <w:r>
        <w:rPr>
          <w:rFonts w:hint="eastAsia" w:ascii="宋体" w:hAnsi="宋体"/>
          <w:szCs w:val="21"/>
        </w:rPr>
        <w:t>41.3因质疑投诉或其它原因导致项目结果变更或采购终止的，学校采购机构有权吊销中标通知书或终止采购合同。</w:t>
      </w:r>
    </w:p>
    <w:p>
      <w:pPr>
        <w:keepNext/>
        <w:keepLines/>
        <w:numPr>
          <w:ilvl w:val="0"/>
          <w:numId w:val="10"/>
        </w:numPr>
        <w:adjustRightInd w:val="0"/>
        <w:spacing w:before="231" w:beforeLines="50" w:after="231" w:afterLines="50"/>
        <w:ind w:left="562" w:hanging="562"/>
        <w:jc w:val="center"/>
        <w:textAlignment w:val="baseline"/>
        <w:outlineLvl w:val="1"/>
        <w:rPr>
          <w:rFonts w:ascii="Arial" w:hAnsi="Arial" w:eastAsia="黑体"/>
          <w:b/>
          <w:bCs/>
          <w:sz w:val="28"/>
          <w:szCs w:val="28"/>
        </w:rPr>
      </w:pPr>
      <w:r>
        <w:rPr>
          <w:rFonts w:hint="eastAsia" w:ascii="Arial" w:hAnsi="Arial" w:eastAsia="黑体"/>
          <w:b/>
          <w:bCs/>
          <w:sz w:val="28"/>
          <w:szCs w:val="28"/>
        </w:rPr>
        <w:t>公开招标失败的后续处理</w:t>
      </w:r>
    </w:p>
    <w:p>
      <w:pPr>
        <w:spacing w:line="360" w:lineRule="auto"/>
        <w:rPr>
          <w:rFonts w:ascii="黑体" w:hAnsi="宋体" w:eastAsia="黑体"/>
          <w:sz w:val="24"/>
          <w:szCs w:val="24"/>
        </w:rPr>
      </w:pPr>
      <w:r>
        <w:rPr>
          <w:rFonts w:hint="eastAsia" w:ascii="黑体" w:hAnsi="宋体" w:eastAsia="黑体"/>
          <w:sz w:val="24"/>
        </w:rPr>
        <w:t>42．公开招标失败的处理</w:t>
      </w:r>
    </w:p>
    <w:p>
      <w:pPr>
        <w:ind w:firstLine="411" w:firstLineChars="196"/>
        <w:rPr>
          <w:rFonts w:ascii="宋体" w:hAnsi="宋体" w:eastAsia="宋体"/>
        </w:rPr>
      </w:pPr>
      <w:r>
        <w:rPr>
          <w:rFonts w:hint="eastAsia" w:ascii="宋体" w:hAnsi="宋体"/>
          <w:szCs w:val="21"/>
        </w:rPr>
        <w:t>42.1本项目公开招标过程中若由于投标截止后</w:t>
      </w:r>
      <w:r>
        <w:rPr>
          <w:rFonts w:hint="eastAsia" w:ascii="宋体" w:hAnsi="宋体"/>
        </w:rPr>
        <w:t>实际递交投标文件的供应商数量不足、经评审委员会评审对招标文件作实质响应的供应商不足等原因造成公开招标失败，可由学校</w:t>
      </w:r>
      <w:r>
        <w:rPr>
          <w:rFonts w:hint="eastAsia" w:ascii="宋体" w:hAnsi="宋体" w:cs="宋体"/>
        </w:rPr>
        <w:t>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szCs w:val="24"/>
        </w:rPr>
      </w:pPr>
      <w:r>
        <w:rPr>
          <w:rFonts w:hint="eastAsia" w:ascii="宋体" w:hAnsi="宋体"/>
        </w:rPr>
        <w:t>（1）由学校采购机构重新组织公开招标；</w:t>
      </w:r>
    </w:p>
    <w:p>
      <w:pPr>
        <w:ind w:firstLine="411" w:firstLineChars="196"/>
        <w:rPr>
          <w:rFonts w:ascii="宋体" w:hAnsi="宋体"/>
        </w:rPr>
      </w:pPr>
      <w:r>
        <w:rPr>
          <w:rFonts w:hint="eastAsia" w:ascii="宋体" w:hAnsi="宋体"/>
        </w:rPr>
        <w:t>（2）根据实际情况，依照学校的有关规定申请将招标失败的采购项目转为竞争性谈判或单一来源谈判方式采购。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42.4公开招标失败的采购项目重新组织公开招标，学校采购机构重新按公开招标流程组织采购活动。</w:t>
      </w:r>
    </w:p>
    <w:p>
      <w:pPr>
        <w:ind w:firstLine="411" w:firstLineChars="196"/>
        <w:rPr>
          <w:rFonts w:ascii="宋体" w:hAnsi="宋体"/>
        </w:rPr>
      </w:pPr>
      <w:r>
        <w:rPr>
          <w:rFonts w:hint="eastAsia" w:ascii="宋体" w:hAnsi="宋体"/>
        </w:rPr>
        <w:t>42.5公开招标失败的采购项目按照《深圳大学采购管理办法》及相关规定的程序批准转为竞争性谈判或单一来源谈判方式采购的，按规定要求组织采购活动。</w:t>
      </w:r>
    </w:p>
    <w:p>
      <w:pPr>
        <w:keepNext/>
        <w:keepLines/>
        <w:numPr>
          <w:ilvl w:val="0"/>
          <w:numId w:val="10"/>
        </w:numPr>
        <w:adjustRightInd w:val="0"/>
        <w:spacing w:before="231" w:beforeLines="50" w:after="231" w:afterLines="50"/>
        <w:ind w:left="643" w:hanging="643"/>
        <w:jc w:val="center"/>
        <w:textAlignment w:val="baseline"/>
        <w:outlineLvl w:val="1"/>
        <w:rPr>
          <w:rFonts w:ascii="Arial" w:hAnsi="Arial" w:eastAsia="黑体"/>
          <w:b/>
          <w:bCs/>
          <w:sz w:val="28"/>
          <w:szCs w:val="28"/>
        </w:rPr>
      </w:pPr>
      <w:r>
        <w:rPr>
          <w:rFonts w:hint="eastAsia" w:ascii="Arial" w:hAnsi="Arial" w:eastAsia="黑体"/>
          <w:b/>
          <w:bCs/>
          <w:sz w:val="32"/>
          <w:szCs w:val="32"/>
        </w:rPr>
        <w:t>合同的授予与备案</w:t>
      </w:r>
    </w:p>
    <w:p>
      <w:pPr>
        <w:spacing w:line="360" w:lineRule="auto"/>
        <w:rPr>
          <w:rFonts w:ascii="黑体" w:hAnsi="宋体" w:eastAsia="黑体"/>
          <w:sz w:val="24"/>
          <w:szCs w:val="24"/>
        </w:rPr>
      </w:pPr>
      <w:r>
        <w:rPr>
          <w:rFonts w:hint="eastAsia" w:ascii="黑体" w:hAnsi="宋体" w:eastAsia="黑体"/>
          <w:sz w:val="24"/>
        </w:rPr>
        <w:t>43．合同授予标准</w:t>
      </w:r>
    </w:p>
    <w:p>
      <w:pPr>
        <w:ind w:firstLine="411" w:firstLineChars="196"/>
        <w:rPr>
          <w:rFonts w:ascii="宋体" w:hAnsi="宋体" w:eastAsia="宋体"/>
          <w:szCs w:val="21"/>
        </w:rPr>
      </w:pPr>
      <w:r>
        <w:rPr>
          <w:rFonts w:hint="eastAsia" w:ascii="宋体" w:hAnsi="宋体"/>
          <w:szCs w:val="21"/>
        </w:rPr>
        <w:t>本项目的合同将授予按本招标文件规定评审确定的中标人。</w:t>
      </w:r>
    </w:p>
    <w:p>
      <w:pPr>
        <w:spacing w:line="360" w:lineRule="auto"/>
        <w:rPr>
          <w:rFonts w:ascii="黑体" w:hAnsi="宋体" w:eastAsia="黑体"/>
          <w:sz w:val="24"/>
          <w:szCs w:val="24"/>
        </w:rPr>
      </w:pPr>
      <w:r>
        <w:rPr>
          <w:rFonts w:hint="eastAsia" w:ascii="黑体" w:hAnsi="宋体" w:eastAsia="黑体"/>
          <w:sz w:val="24"/>
        </w:rPr>
        <w:t>44．接受和拒绝任何或所有投标的权力</w:t>
      </w:r>
    </w:p>
    <w:p>
      <w:pPr>
        <w:ind w:firstLine="411" w:firstLineChars="196"/>
        <w:rPr>
          <w:rFonts w:ascii="宋体" w:hAnsi="宋体" w:eastAsia="宋体"/>
          <w:szCs w:val="21"/>
        </w:rPr>
      </w:pPr>
      <w:r>
        <w:rPr>
          <w:rFonts w:hint="eastAsia" w:ascii="宋体" w:hAnsi="宋体"/>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pPr>
        <w:spacing w:line="360" w:lineRule="auto"/>
        <w:rPr>
          <w:rFonts w:ascii="黑体" w:hAnsi="宋体" w:eastAsia="黑体"/>
          <w:sz w:val="24"/>
          <w:szCs w:val="24"/>
        </w:rPr>
      </w:pPr>
      <w:r>
        <w:rPr>
          <w:rFonts w:hint="eastAsia" w:ascii="黑体" w:hAnsi="宋体" w:eastAsia="黑体"/>
          <w:sz w:val="24"/>
        </w:rPr>
        <w:t>45．合同协议书的签订</w:t>
      </w:r>
    </w:p>
    <w:p>
      <w:pPr>
        <w:ind w:firstLine="411" w:firstLineChars="196"/>
        <w:rPr>
          <w:rFonts w:ascii="宋体" w:hAnsi="宋体" w:eastAsia="宋体"/>
          <w:szCs w:val="21"/>
        </w:rPr>
      </w:pPr>
      <w:r>
        <w:rPr>
          <w:rFonts w:hint="eastAsia" w:ascii="宋体" w:hAnsi="宋体"/>
          <w:szCs w:val="21"/>
        </w:rPr>
        <w:t>45.1中标人将于中标通知书发出之日起10个工作日内，按照采购文件（招标文件和投标文件等）内容与采购人签订政府采购合同；合同的实质性内容应当符合招标文件的规定。</w:t>
      </w:r>
    </w:p>
    <w:p>
      <w:pPr>
        <w:spacing w:line="0" w:lineRule="atLeast"/>
        <w:ind w:firstLine="411" w:firstLineChars="196"/>
        <w:rPr>
          <w:rFonts w:ascii="宋体" w:hAnsi="宋体"/>
          <w:szCs w:val="21"/>
        </w:rPr>
      </w:pPr>
      <w:r>
        <w:rPr>
          <w:rFonts w:hint="eastAsia" w:ascii="宋体" w:hAnsi="宋体"/>
          <w:szCs w:val="21"/>
        </w:rPr>
        <w:t>45.2中标人如不按本通用条款第45.1款的规定与采购人签订合同，学校采购机构将有充分的理由取消中标人的中标，并计入供应商诚信档案。</w:t>
      </w:r>
    </w:p>
    <w:p>
      <w:pPr>
        <w:spacing w:line="0" w:lineRule="atLeast"/>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spacing w:line="360" w:lineRule="auto"/>
        <w:rPr>
          <w:rFonts w:ascii="黑体" w:hAnsi="宋体" w:eastAsia="黑体"/>
          <w:sz w:val="24"/>
          <w:szCs w:val="24"/>
        </w:rPr>
      </w:pPr>
      <w:r>
        <w:rPr>
          <w:rFonts w:hint="eastAsia" w:ascii="黑体" w:hAnsi="宋体" w:eastAsia="黑体"/>
          <w:sz w:val="24"/>
        </w:rPr>
        <w:t>46．履约担保</w:t>
      </w:r>
    </w:p>
    <w:p>
      <w:pPr>
        <w:spacing w:line="0" w:lineRule="atLeast"/>
        <w:ind w:firstLine="411" w:firstLineChars="196"/>
        <w:rPr>
          <w:rFonts w:ascii="宋体" w:hAnsi="宋体" w:eastAsia="宋体"/>
          <w:szCs w:val="21"/>
        </w:rPr>
      </w:pPr>
      <w:r>
        <w:rPr>
          <w:rFonts w:hint="eastAsia" w:ascii="宋体" w:hAnsi="宋体"/>
          <w:szCs w:val="21"/>
        </w:rPr>
        <w:t>46.1在签订项目合同的同时，中标人应按“对通用条款的补充内容”中规定的金额向采购人提交履约保证金。</w:t>
      </w:r>
    </w:p>
    <w:p>
      <w:pPr>
        <w:spacing w:line="0" w:lineRule="atLeast"/>
        <w:ind w:firstLine="411" w:firstLineChars="196"/>
        <w:rPr>
          <w:rFonts w:ascii="宋体" w:hAnsi="宋体"/>
          <w:szCs w:val="21"/>
        </w:rPr>
      </w:pPr>
      <w:r>
        <w:rPr>
          <w:rFonts w:hint="eastAsia" w:ascii="宋体" w:hAnsi="宋体"/>
          <w:szCs w:val="21"/>
        </w:rPr>
        <w:t>46.2如果中标人不能按“对通用条款的补充内容”中规</w:t>
      </w:r>
      <w:r>
        <w:rPr>
          <w:rFonts w:hint="eastAsia"/>
        </w:rPr>
        <w:t>定的金额向采购人提交履约保证金，采购人将有充分的理由通过学校采购机构取消其中标，给采购人造成</w:t>
      </w:r>
      <w:r>
        <w:rPr>
          <w:rFonts w:hint="eastAsia" w:ascii="宋体" w:hAnsi="宋体"/>
          <w:szCs w:val="21"/>
        </w:rPr>
        <w:t>的损失，中标人还应当予以赔偿。</w:t>
      </w:r>
    </w:p>
    <w:p>
      <w:pPr>
        <w:spacing w:line="360" w:lineRule="auto"/>
        <w:rPr>
          <w:rFonts w:ascii="黑体" w:hAnsi="宋体" w:eastAsia="黑体"/>
          <w:sz w:val="24"/>
          <w:szCs w:val="24"/>
        </w:rPr>
      </w:pPr>
      <w:r>
        <w:rPr>
          <w:rFonts w:hint="eastAsia" w:ascii="黑体" w:hAnsi="宋体" w:eastAsia="黑体"/>
          <w:sz w:val="24"/>
        </w:rPr>
        <w:t>47.合同的备案</w:t>
      </w:r>
    </w:p>
    <w:p>
      <w:pPr>
        <w:spacing w:line="0" w:lineRule="atLeast"/>
        <w:ind w:firstLine="411" w:firstLineChars="196"/>
        <w:rPr>
          <w:rFonts w:ascii="宋体" w:hAnsi="宋体" w:eastAsia="宋体"/>
          <w:szCs w:val="21"/>
        </w:rPr>
      </w:pPr>
      <w:r>
        <w:rPr>
          <w:rFonts w:hint="eastAsia" w:ascii="宋体" w:hAnsi="宋体"/>
          <w:szCs w:val="21"/>
        </w:rPr>
        <w:t>采购人与中标人应于合同签订之日起10日内，由采购人或委托中标人将采购合同副本抄送学校采购机构备案。</w:t>
      </w:r>
    </w:p>
    <w:p>
      <w:pPr>
        <w:spacing w:line="360" w:lineRule="auto"/>
        <w:rPr>
          <w:rFonts w:ascii="黑体" w:hAnsi="宋体" w:eastAsia="黑体"/>
          <w:sz w:val="24"/>
          <w:szCs w:val="24"/>
        </w:rPr>
      </w:pPr>
      <w:r>
        <w:rPr>
          <w:rFonts w:hint="eastAsia" w:ascii="黑体" w:hAnsi="宋体" w:eastAsia="黑体"/>
          <w:sz w:val="24"/>
        </w:rPr>
        <w:t>48.履约情况的反馈</w:t>
      </w:r>
    </w:p>
    <w:p>
      <w:pPr>
        <w:spacing w:line="0" w:lineRule="atLeast"/>
        <w:ind w:firstLine="411" w:firstLineChars="196"/>
        <w:rPr>
          <w:rFonts w:ascii="宋体" w:hAnsi="宋体" w:eastAsia="宋体"/>
          <w:szCs w:val="21"/>
        </w:rPr>
      </w:pPr>
      <w:r>
        <w:rPr>
          <w:rFonts w:hint="eastAsia" w:ascii="宋体" w:hAnsi="宋体"/>
          <w:szCs w:val="21"/>
        </w:rPr>
        <w:t>采购人应及时向学校采购机构反馈中标人的履约情况（填写《深圳大学</w:t>
      </w:r>
      <w:r>
        <w:rPr>
          <w:rFonts w:hint="eastAsia"/>
        </w:rPr>
        <w:t>采购履约情况反馈表》</w:t>
      </w:r>
      <w:r>
        <w:rPr>
          <w:rFonts w:hint="eastAsia" w:ascii="宋体" w:hAnsi="宋体"/>
          <w:szCs w:val="21"/>
        </w:rPr>
        <w:t>），中标人的履约情况将作为供应商考核的重要依据，并将成为日后深圳大学采购活动中的项目评标依据。</w:t>
      </w:r>
    </w:p>
    <w:p>
      <w:pPr>
        <w:spacing w:line="360" w:lineRule="auto"/>
        <w:rPr>
          <w:rFonts w:ascii="黑体" w:hAnsi="宋体" w:eastAsia="黑体"/>
          <w:sz w:val="24"/>
          <w:szCs w:val="24"/>
        </w:rPr>
      </w:pPr>
      <w:r>
        <w:rPr>
          <w:rFonts w:hint="eastAsia" w:ascii="黑体" w:hAnsi="宋体" w:eastAsia="黑体"/>
          <w:sz w:val="24"/>
        </w:rPr>
        <w:t>49．腐败和欺诈行为</w:t>
      </w:r>
    </w:p>
    <w:p>
      <w:pPr>
        <w:spacing w:line="0" w:lineRule="atLeast"/>
        <w:ind w:firstLine="411" w:firstLineChars="196"/>
        <w:rPr>
          <w:rFonts w:ascii="宋体" w:hAnsi="宋体" w:eastAsia="宋体"/>
          <w:szCs w:val="21"/>
        </w:rPr>
      </w:pPr>
      <w:r>
        <w:rPr>
          <w:rFonts w:hint="eastAsia" w:ascii="宋体" w:hAnsi="宋体"/>
          <w:szCs w:val="21"/>
        </w:rPr>
        <w:t>49.1 “腐败行为”是指提供、给予、接受或索取任何有价值的东西来影响招标方或采购人在采购过程或合同实施过程中的行为；</w:t>
      </w:r>
    </w:p>
    <w:p>
      <w:pPr>
        <w:spacing w:line="0" w:lineRule="atLeast"/>
        <w:ind w:firstLine="411" w:firstLineChars="196"/>
        <w:rPr>
          <w:rFonts w:ascii="宋体" w:hAnsi="宋体"/>
          <w:szCs w:val="21"/>
        </w:rPr>
      </w:pPr>
      <w:r>
        <w:rPr>
          <w:rFonts w:hint="eastAsia" w:ascii="宋体" w:hAnsi="宋体"/>
          <w:szCs w:val="21"/>
        </w:rPr>
        <w:t>49.2 “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pPr>
        <w:spacing w:line="0" w:lineRule="atLeast"/>
        <w:ind w:firstLine="411" w:firstLineChars="196"/>
        <w:rPr>
          <w:rFonts w:ascii="宋体" w:hAnsi="宋体"/>
          <w:szCs w:val="21"/>
        </w:rPr>
      </w:pPr>
      <w:r>
        <w:rPr>
          <w:rFonts w:hint="eastAsia" w:ascii="宋体" w:hAnsi="宋体"/>
          <w:szCs w:val="21"/>
        </w:rPr>
        <w:t>49.3如果评审委员会认为投标人在本合同的竞争中有腐败和欺诈行为，则拒绝接受该投标。</w:t>
      </w:r>
    </w:p>
    <w:p>
      <w:pPr>
        <w:spacing w:line="0" w:lineRule="atLeast"/>
        <w:ind w:firstLine="411" w:firstLineChars="196"/>
        <w:rPr>
          <w:rFonts w:ascii="宋体" w:hAnsi="宋体"/>
          <w:szCs w:val="21"/>
        </w:rPr>
      </w:pPr>
      <w:r>
        <w:rPr>
          <w:rFonts w:hint="eastAsia" w:ascii="宋体" w:hAnsi="宋体"/>
          <w:szCs w:val="21"/>
        </w:rPr>
        <w:t>49.4如果投标人或中标人在采购合同的竞争和实施过程中有腐败和欺诈行为，深圳大学将依据《中华人民共和国合同法》、《深圳经济特区政府采购条例》有关法律法规追究其责任。</w:t>
      </w:r>
    </w:p>
    <w:p>
      <w:pPr>
        <w:keepNext/>
        <w:keepLines/>
        <w:numPr>
          <w:ilvl w:val="0"/>
          <w:numId w:val="10"/>
        </w:numPr>
        <w:adjustRightInd w:val="0"/>
        <w:spacing w:before="231" w:beforeLines="50" w:after="231" w:afterLines="50"/>
        <w:ind w:left="643" w:hanging="643"/>
        <w:jc w:val="center"/>
        <w:textAlignment w:val="baseline"/>
        <w:outlineLvl w:val="1"/>
        <w:rPr>
          <w:rFonts w:ascii="Arial" w:hAnsi="Arial" w:eastAsia="黑体"/>
          <w:b/>
          <w:bCs/>
          <w:sz w:val="32"/>
          <w:szCs w:val="32"/>
        </w:rPr>
      </w:pPr>
      <w:r>
        <w:rPr>
          <w:rFonts w:hint="eastAsia" w:ascii="Arial" w:hAnsi="Arial" w:eastAsia="黑体"/>
          <w:b/>
          <w:bCs/>
          <w:sz w:val="32"/>
          <w:szCs w:val="32"/>
        </w:rPr>
        <w:t>质疑处理</w:t>
      </w:r>
    </w:p>
    <w:p>
      <w:pPr>
        <w:spacing w:line="360" w:lineRule="auto"/>
        <w:rPr>
          <w:rFonts w:ascii="黑体" w:hAnsi="宋体" w:eastAsia="黑体"/>
          <w:sz w:val="24"/>
          <w:szCs w:val="24"/>
        </w:rPr>
      </w:pPr>
      <w:r>
        <w:rPr>
          <w:rFonts w:hint="eastAsia" w:ascii="黑体" w:hAnsi="宋体" w:eastAsia="黑体"/>
          <w:sz w:val="24"/>
        </w:rPr>
        <w:t>50.质疑处理原则</w:t>
      </w:r>
    </w:p>
    <w:p>
      <w:pPr>
        <w:ind w:firstLine="411" w:firstLineChars="196"/>
        <w:rPr>
          <w:rFonts w:ascii="宋体" w:hAnsi="宋体" w:eastAsia="宋体"/>
          <w:szCs w:val="21"/>
        </w:rPr>
      </w:pPr>
      <w:r>
        <w:rPr>
          <w:rFonts w:hint="eastAsia" w:ascii="宋体" w:hAnsi="宋体"/>
          <w:szCs w:val="21"/>
        </w:rPr>
        <w:t>50.1质疑处理遵循公平、公正、规范、高效的原则。</w:t>
      </w:r>
    </w:p>
    <w:p>
      <w:pPr>
        <w:ind w:firstLine="411" w:firstLineChars="196"/>
        <w:rPr>
          <w:rFonts w:ascii="宋体" w:hAnsi="宋体"/>
          <w:szCs w:val="21"/>
        </w:rPr>
      </w:pPr>
      <w:r>
        <w:rPr>
          <w:rFonts w:hint="eastAsia" w:ascii="宋体" w:hAnsi="宋体"/>
          <w:szCs w:val="21"/>
        </w:rPr>
        <w:t>50.2供应商质疑实行实名制和“谁质疑，谁举证”的原则，质疑应有具体的事项及事实根据。</w:t>
      </w:r>
    </w:p>
    <w:p>
      <w:pPr>
        <w:spacing w:line="360" w:lineRule="auto"/>
        <w:rPr>
          <w:rFonts w:ascii="黑体" w:hAnsi="宋体" w:eastAsia="黑体"/>
          <w:sz w:val="24"/>
          <w:szCs w:val="24"/>
        </w:rPr>
      </w:pPr>
      <w:r>
        <w:rPr>
          <w:rFonts w:hint="eastAsia" w:ascii="黑体" w:hAnsi="宋体" w:eastAsia="黑体"/>
          <w:sz w:val="24"/>
        </w:rPr>
        <w:t>51.质疑的提出与答复</w:t>
      </w:r>
    </w:p>
    <w:p>
      <w:pPr>
        <w:ind w:firstLine="411" w:firstLineChars="196"/>
        <w:rPr>
          <w:rFonts w:ascii="宋体" w:hAnsi="宋体" w:eastAsia="宋体"/>
          <w:szCs w:val="21"/>
        </w:rPr>
      </w:pPr>
      <w:r>
        <w:rPr>
          <w:rFonts w:hint="eastAsia" w:ascii="宋体" w:hAnsi="宋体"/>
          <w:szCs w:val="21"/>
        </w:rPr>
        <w:t>51.1提出质疑</w:t>
      </w:r>
    </w:p>
    <w:p>
      <w:pPr>
        <w:ind w:firstLine="411" w:firstLineChars="196"/>
        <w:rPr>
          <w:rFonts w:ascii="宋体" w:hAnsi="宋体"/>
          <w:szCs w:val="21"/>
        </w:rPr>
      </w:pPr>
      <w:r>
        <w:rPr>
          <w:rFonts w:hint="eastAsia" w:ascii="宋体" w:hAnsi="宋体"/>
          <w:szCs w:val="21"/>
        </w:rPr>
        <w:t>参与采购活动的供应商认为自己权益在采购活动中受到损害的，应当自知道或者应当知道其权益受到损害之日起七个工作日内向学校采购机构以书面形式提出质疑。</w:t>
      </w:r>
    </w:p>
    <w:p>
      <w:pPr>
        <w:ind w:firstLine="411" w:firstLineChars="196"/>
        <w:rPr>
          <w:rFonts w:ascii="宋体" w:hAnsi="宋体"/>
          <w:szCs w:val="21"/>
        </w:rPr>
      </w:pPr>
      <w:r>
        <w:rPr>
          <w:rFonts w:hint="eastAsia" w:ascii="宋体" w:hAnsi="宋体"/>
          <w:szCs w:val="21"/>
        </w:rPr>
        <w:t>51.2法律依据</w:t>
      </w:r>
    </w:p>
    <w:p>
      <w:pPr>
        <w:ind w:firstLine="411" w:firstLineChars="196"/>
        <w:rPr>
          <w:rFonts w:ascii="宋体" w:hAnsi="宋体"/>
          <w:szCs w:val="21"/>
        </w:rPr>
      </w:pPr>
      <w:r>
        <w:rPr>
          <w:rFonts w:hint="eastAsia" w:ascii="宋体" w:hAnsi="宋体"/>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411" w:firstLineChars="196"/>
        <w:rPr>
          <w:rFonts w:ascii="宋体" w:hAnsi="宋体"/>
          <w:szCs w:val="21"/>
        </w:rPr>
      </w:pPr>
      <w:r>
        <w:rPr>
          <w:rFonts w:hint="eastAsia" w:ascii="宋体" w:hAnsi="宋体"/>
          <w:szCs w:val="21"/>
        </w:rPr>
        <w:t>51.3质疑条件</w:t>
      </w:r>
    </w:p>
    <w:p>
      <w:pPr>
        <w:ind w:firstLine="411" w:firstLineChars="196"/>
        <w:rPr>
          <w:rFonts w:ascii="宋体" w:hAnsi="宋体"/>
          <w:szCs w:val="21"/>
        </w:rPr>
      </w:pPr>
      <w:r>
        <w:rPr>
          <w:rFonts w:hint="eastAsia" w:ascii="宋体" w:hAnsi="宋体"/>
          <w:szCs w:val="21"/>
        </w:rPr>
        <w:t>51.3.1提出质疑的供应商应当是参与所质疑项目采购活动的供应商；</w:t>
      </w:r>
    </w:p>
    <w:p>
      <w:pPr>
        <w:ind w:firstLine="411" w:firstLineChars="196"/>
        <w:rPr>
          <w:rFonts w:ascii="宋体" w:hAnsi="宋体"/>
          <w:szCs w:val="21"/>
        </w:rPr>
      </w:pPr>
      <w:r>
        <w:rPr>
          <w:rFonts w:hint="eastAsia" w:ascii="宋体" w:hAnsi="宋体"/>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pPr>
        <w:ind w:firstLine="411" w:firstLineChars="196"/>
        <w:rPr>
          <w:rFonts w:ascii="宋体" w:hAnsi="宋体"/>
          <w:szCs w:val="21"/>
        </w:rPr>
      </w:pPr>
      <w:r>
        <w:rPr>
          <w:rFonts w:hint="eastAsia" w:ascii="宋体" w:hAnsi="宋体"/>
          <w:szCs w:val="21"/>
        </w:rPr>
        <w:t>51.3.3应提交书面质疑函，质疑函应当包括以下内容：（1）具体、明确的质疑事项和与质疑事项相关的请求；（2）合理的事实和依据；（3）必要的证明材料和法律依据。</w:t>
      </w:r>
    </w:p>
    <w:p>
      <w:pPr>
        <w:ind w:firstLine="420"/>
        <w:rPr>
          <w:rFonts w:ascii="宋体" w:hAnsi="宋体"/>
          <w:szCs w:val="21"/>
        </w:rPr>
      </w:pPr>
      <w:r>
        <w:rPr>
          <w:rFonts w:hint="eastAsia" w:ascii="宋体" w:hAnsi="宋体"/>
          <w:szCs w:val="21"/>
        </w:rPr>
        <w:t>51.4提交材料</w:t>
      </w:r>
    </w:p>
    <w:p>
      <w:pPr>
        <w:ind w:firstLine="420"/>
        <w:rPr>
          <w:rFonts w:ascii="宋体" w:hAnsi="宋体"/>
          <w:szCs w:val="21"/>
        </w:rPr>
      </w:pPr>
      <w:r>
        <w:rPr>
          <w:rFonts w:hint="eastAsia" w:ascii="宋体" w:hAnsi="宋体"/>
          <w:szCs w:val="21"/>
        </w:rPr>
        <w:t>质疑函、营业执照复印件、法定代表人证明。如委托代理人提交的，还需提交授权委托书及代理人身份证明。</w:t>
      </w:r>
    </w:p>
    <w:p>
      <w:pPr>
        <w:ind w:firstLine="420"/>
        <w:rPr>
          <w:rFonts w:ascii="宋体" w:hAnsi="宋体"/>
          <w:szCs w:val="21"/>
        </w:rPr>
      </w:pPr>
      <w:r>
        <w:rPr>
          <w:rFonts w:hint="eastAsia" w:ascii="宋体" w:hAnsi="宋体"/>
          <w:szCs w:val="21"/>
        </w:rPr>
        <w:t>51.5 收文部门</w:t>
      </w:r>
    </w:p>
    <w:p>
      <w:pPr>
        <w:ind w:firstLine="420"/>
        <w:rPr>
          <w:rFonts w:ascii="宋体" w:hAnsi="宋体"/>
          <w:szCs w:val="21"/>
        </w:rPr>
      </w:pPr>
      <w:r>
        <w:rPr>
          <w:rFonts w:hint="eastAsia" w:ascii="宋体" w:hAnsi="宋体"/>
          <w:szCs w:val="21"/>
        </w:rPr>
        <w:t>深圳大学招投标管理中心综合办公室，地址：深圳市南山区南海大道3688号深圳大学粤海校区汇元楼246室，质疑咨询电话：0755-26057039。</w:t>
      </w:r>
    </w:p>
    <w:p>
      <w:pPr>
        <w:ind w:firstLine="420"/>
        <w:rPr>
          <w:rFonts w:ascii="宋体" w:hAnsi="宋体"/>
          <w:szCs w:val="21"/>
        </w:rPr>
      </w:pPr>
      <w:r>
        <w:rPr>
          <w:rFonts w:hint="eastAsia" w:ascii="宋体" w:hAnsi="宋体"/>
          <w:szCs w:val="21"/>
        </w:rPr>
        <w:t>51.6收文办理程序</w:t>
      </w:r>
    </w:p>
    <w:p>
      <w:pPr>
        <w:ind w:firstLine="420"/>
        <w:rPr>
          <w:rFonts w:ascii="宋体" w:hAnsi="宋体"/>
          <w:szCs w:val="21"/>
        </w:rPr>
      </w:pPr>
      <w:r>
        <w:rPr>
          <w:rFonts w:hint="eastAsia" w:ascii="宋体" w:hAnsi="宋体"/>
          <w:szCs w:val="21"/>
        </w:rPr>
        <w:t>51.6.1供应商提交的质疑材料符合质疑条件的办理收文，出具收文回执；</w:t>
      </w:r>
    </w:p>
    <w:p>
      <w:pPr>
        <w:ind w:firstLine="420"/>
        <w:rPr>
          <w:rFonts w:ascii="宋体" w:hAnsi="宋体"/>
          <w:szCs w:val="21"/>
        </w:rPr>
      </w:pPr>
      <w:r>
        <w:rPr>
          <w:rFonts w:hint="eastAsia" w:ascii="宋体" w:hAnsi="宋体"/>
          <w:szCs w:val="21"/>
        </w:rPr>
        <w:t>51.6.2供应商提交的质疑材料不符合质疑条件的，视情况处理：（1）质疑主体、时限不符合的，不予收文；（2）质疑函内容、提交人身份证明不符合的，开具补正告知书，供应商可在质疑期内补正后重新提交。</w:t>
      </w:r>
    </w:p>
    <w:p>
      <w:pPr>
        <w:ind w:firstLine="420"/>
        <w:rPr>
          <w:rFonts w:ascii="宋体" w:hAnsi="宋体"/>
          <w:szCs w:val="21"/>
        </w:rPr>
      </w:pPr>
      <w:r>
        <w:rPr>
          <w:rFonts w:hint="eastAsia" w:ascii="宋体" w:hAnsi="宋体"/>
          <w:szCs w:val="21"/>
        </w:rPr>
        <w:t>51.7质疑答复时限</w:t>
      </w:r>
    </w:p>
    <w:p>
      <w:pPr>
        <w:ind w:firstLine="420"/>
        <w:rPr>
          <w:rFonts w:ascii="宋体" w:hAnsi="宋体"/>
          <w:szCs w:val="21"/>
        </w:rPr>
      </w:pPr>
      <w:r>
        <w:rPr>
          <w:rFonts w:hint="eastAsia" w:ascii="宋体" w:hAnsi="宋体"/>
          <w:szCs w:val="21"/>
        </w:rPr>
        <w:t>自收文之日起七个工作日内。</w:t>
      </w:r>
    </w:p>
    <w:p>
      <w:pPr>
        <w:ind w:firstLine="420"/>
        <w:rPr>
          <w:rFonts w:ascii="宋体" w:hAnsi="宋体"/>
          <w:szCs w:val="21"/>
        </w:rPr>
      </w:pPr>
      <w:r>
        <w:rPr>
          <w:rFonts w:hint="eastAsia" w:ascii="宋体" w:hAnsi="宋体"/>
          <w:szCs w:val="21"/>
        </w:rPr>
        <w:t>51.8投诉</w:t>
      </w:r>
    </w:p>
    <w:p>
      <w:pPr>
        <w:ind w:firstLine="420"/>
        <w:rPr>
          <w:rFonts w:ascii="宋体" w:hAnsi="宋体"/>
          <w:szCs w:val="21"/>
        </w:rPr>
      </w:pPr>
      <w:r>
        <w:rPr>
          <w:rFonts w:hint="eastAsia" w:ascii="宋体" w:hAnsi="宋体"/>
          <w:szCs w:val="21"/>
        </w:rPr>
        <w:t>对质疑答复不满意或者未在规定时间内答复的，提出质疑的供应商可以在答复期满后15个工作日内向深圳大学纪检、监察部门投诉。</w:t>
      </w:r>
    </w:p>
    <w:p>
      <w:pPr>
        <w:spacing w:line="360" w:lineRule="auto"/>
        <w:rPr>
          <w:rFonts w:ascii="黑体" w:hAnsi="宋体" w:eastAsia="黑体"/>
          <w:sz w:val="24"/>
          <w:szCs w:val="24"/>
        </w:rPr>
      </w:pPr>
      <w:r>
        <w:rPr>
          <w:rFonts w:hint="eastAsia" w:ascii="黑体" w:hAnsi="宋体" w:eastAsia="黑体"/>
          <w:sz w:val="24"/>
        </w:rPr>
        <w:t>52.质疑后续处理</w:t>
      </w:r>
    </w:p>
    <w:p>
      <w:pPr>
        <w:ind w:firstLine="411" w:firstLineChars="196"/>
        <w:rPr>
          <w:rFonts w:ascii="宋体" w:hAnsi="宋体" w:eastAsia="宋体"/>
          <w:szCs w:val="21"/>
        </w:rPr>
      </w:pPr>
      <w:r>
        <w:rPr>
          <w:rFonts w:hint="eastAsia" w:ascii="宋体" w:hAnsi="宋体"/>
          <w:szCs w:val="21"/>
        </w:rPr>
        <w:t>52.1供应商质疑不成立，或者成立但未对中标、成交结果构成影响的，继续开展采购活动。</w:t>
      </w:r>
    </w:p>
    <w:p>
      <w:pPr>
        <w:ind w:firstLine="411" w:firstLineChars="196"/>
        <w:rPr>
          <w:rFonts w:ascii="宋体" w:hAnsi="宋体"/>
          <w:szCs w:val="21"/>
        </w:rPr>
      </w:pPr>
      <w:r>
        <w:rPr>
          <w:rFonts w:hint="eastAsia" w:ascii="宋体" w:hAnsi="宋体"/>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spacing w:line="240" w:lineRule="atLeast"/>
        <w:rPr>
          <w:rFonts w:ascii="宋体" w:hAnsi="宋体"/>
          <w:szCs w:val="21"/>
        </w:rPr>
      </w:pPr>
    </w:p>
    <w:p>
      <w:pPr>
        <w:keepNext/>
        <w:keepLines/>
        <w:adjustRightInd w:val="0"/>
        <w:spacing w:before="231" w:beforeLines="50" w:after="231" w:afterLines="50"/>
        <w:textAlignment w:val="baseline"/>
        <w:outlineLvl w:val="1"/>
      </w:pPr>
    </w:p>
    <w:p>
      <w:pPr>
        <w:pStyle w:val="2"/>
      </w:pPr>
    </w:p>
    <w:p/>
    <w:p>
      <w:pPr>
        <w:pStyle w:val="2"/>
      </w:pPr>
    </w:p>
    <w:p>
      <w:pPr>
        <w:pStyle w:val="2"/>
        <w:ind w:left="0" w:leftChars="0" w:firstLine="0" w:firstLineChars="0"/>
      </w:pPr>
    </w:p>
    <w:sectPr>
      <w:headerReference r:id="rId4" w:type="first"/>
      <w:headerReference r:id="rId3" w:type="default"/>
      <w:footerReference r:id="rId5" w:type="default"/>
      <w:footerReference r:id="rId6" w:type="even"/>
      <w:pgSz w:w="11907" w:h="16840"/>
      <w:pgMar w:top="1440" w:right="1797" w:bottom="1440" w:left="1797" w:header="851" w:footer="992" w:gutter="0"/>
      <w:cols w:space="425" w:num="1"/>
      <w:titlePg/>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长城仿宋">
    <w:altName w:val="微软雅黑"/>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t xml:space="preserve">- </w:t>
    </w:r>
    <w:r>
      <w:fldChar w:fldCharType="begin"/>
    </w:r>
    <w:r>
      <w:instrText xml:space="preserve"> PAGE </w:instrText>
    </w:r>
    <w:r>
      <w:fldChar w:fldCharType="separate"/>
    </w:r>
    <w:r>
      <w:t>13</w:t>
    </w:r>
    <w:r>
      <w:fldChar w:fldCharType="end"/>
    </w:r>
    <w:r>
      <w:t xml:space="preserve"> -</w:t>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rFonts w:hint="eastAsia"/>
      </w:rPr>
      <w:t>深圳大学招投标管理中心                                                    SZU</w:t>
    </w:r>
    <w:r>
      <w:t>CG20210199</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rFonts w:hint="eastAsia"/>
      </w:rPr>
      <w:t>深圳大学招投标管理中心                                                    SZU</w:t>
    </w:r>
    <w:r>
      <w:t>CG20210199</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79"/>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2">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2503483"/>
    <w:multiLevelType w:val="multilevel"/>
    <w:tmpl w:val="12503483"/>
    <w:lvl w:ilvl="0" w:tentative="0">
      <w:start w:val="1"/>
      <w:numFmt w:val="bullet"/>
      <w:pStyle w:val="128"/>
      <w:lvlText w:val=""/>
      <w:lvlJc w:val="left"/>
      <w:pPr>
        <w:tabs>
          <w:tab w:val="left" w:pos="420"/>
        </w:tabs>
        <w:ind w:left="420" w:hanging="420"/>
      </w:pPr>
      <w:rPr>
        <w:rFonts w:hint="default" w:ascii="Wingdings" w:hAnsi="Wingdings"/>
      </w:rPr>
    </w:lvl>
    <w:lvl w:ilvl="1" w:tentative="0">
      <w:start w:val="1"/>
      <w:numFmt w:val="bullet"/>
      <w:pStyle w:val="127"/>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60D20D0"/>
    <w:multiLevelType w:val="multilevel"/>
    <w:tmpl w:val="160D20D0"/>
    <w:lvl w:ilvl="0" w:tentative="0">
      <w:start w:val="1"/>
      <w:numFmt w:val="bullet"/>
      <w:pStyle w:val="95"/>
      <w:lvlText w:val=""/>
      <w:lvlJc w:val="left"/>
      <w:pPr>
        <w:tabs>
          <w:tab w:val="left" w:pos="840"/>
        </w:tabs>
        <w:ind w:left="840" w:hanging="420"/>
      </w:pPr>
      <w:rPr>
        <w:rFonts w:hint="default" w:ascii="Wingdings" w:hAnsi="Wingdings"/>
      </w:rPr>
    </w:lvl>
    <w:lvl w:ilvl="1" w:tentative="0">
      <w:start w:val="1"/>
      <w:numFmt w:val="bullet"/>
      <w:pStyle w:val="9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2F395B7B"/>
    <w:multiLevelType w:val="multilevel"/>
    <w:tmpl w:val="2F395B7B"/>
    <w:lvl w:ilvl="0" w:tentative="0">
      <w:start w:val="1"/>
      <w:numFmt w:val="bullet"/>
      <w:pStyle w:val="191"/>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6">
    <w:nsid w:val="3B65DC50"/>
    <w:multiLevelType w:val="singleLevel"/>
    <w:tmpl w:val="3B65DC50"/>
    <w:lvl w:ilvl="0" w:tentative="0">
      <w:start w:val="1"/>
      <w:numFmt w:val="decimal"/>
      <w:lvlText w:val="%1."/>
      <w:lvlJc w:val="left"/>
      <w:pPr>
        <w:tabs>
          <w:tab w:val="left" w:pos="312"/>
        </w:tabs>
      </w:pPr>
    </w:lvl>
  </w:abstractNum>
  <w:abstractNum w:abstractNumId="7">
    <w:nsid w:val="492A045B"/>
    <w:multiLevelType w:val="multilevel"/>
    <w:tmpl w:val="492A045B"/>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ascii="宋体" w:hAnsi="宋体" w:eastAsia="宋体" w:cs="宋体"/>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41E6C49"/>
    <w:multiLevelType w:val="singleLevel"/>
    <w:tmpl w:val="641E6C49"/>
    <w:lvl w:ilvl="0" w:tentative="0">
      <w:start w:val="7"/>
      <w:numFmt w:val="decimal"/>
      <w:lvlText w:val="%1."/>
      <w:lvlJc w:val="left"/>
      <w:pPr>
        <w:tabs>
          <w:tab w:val="left" w:pos="312"/>
        </w:tabs>
      </w:pPr>
    </w:lvl>
  </w:abstractNum>
  <w:abstractNum w:abstractNumId="9">
    <w:nsid w:val="7AEF7716"/>
    <w:multiLevelType w:val="multilevel"/>
    <w:tmpl w:val="7AEF7716"/>
    <w:lvl w:ilvl="0" w:tentative="0">
      <w:start w:val="1"/>
      <w:numFmt w:val="chineseCountingThousand"/>
      <w:pStyle w:val="141"/>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9"/>
  </w:num>
  <w:num w:numId="6">
    <w:abstractNumId w:val="5"/>
  </w:num>
  <w:num w:numId="7">
    <w:abstractNumId w:val="8"/>
  </w:num>
  <w:num w:numId="8">
    <w:abstractNumId w:val="6"/>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A9"/>
    <w:rsid w:val="00005B39"/>
    <w:rsid w:val="00013532"/>
    <w:rsid w:val="00024DF7"/>
    <w:rsid w:val="0003110B"/>
    <w:rsid w:val="00041B72"/>
    <w:rsid w:val="00042596"/>
    <w:rsid w:val="000473A7"/>
    <w:rsid w:val="000500C4"/>
    <w:rsid w:val="00052CCA"/>
    <w:rsid w:val="000569B2"/>
    <w:rsid w:val="0005721D"/>
    <w:rsid w:val="000606D8"/>
    <w:rsid w:val="00061F05"/>
    <w:rsid w:val="00062B0F"/>
    <w:rsid w:val="00063A3E"/>
    <w:rsid w:val="00067076"/>
    <w:rsid w:val="000673E7"/>
    <w:rsid w:val="000736F4"/>
    <w:rsid w:val="00076BF8"/>
    <w:rsid w:val="00081495"/>
    <w:rsid w:val="00086CF7"/>
    <w:rsid w:val="00094A5D"/>
    <w:rsid w:val="000A2A96"/>
    <w:rsid w:val="000A3417"/>
    <w:rsid w:val="000B036F"/>
    <w:rsid w:val="000B0672"/>
    <w:rsid w:val="000B13D1"/>
    <w:rsid w:val="000B1BFE"/>
    <w:rsid w:val="000B5F65"/>
    <w:rsid w:val="000C21C0"/>
    <w:rsid w:val="000C442D"/>
    <w:rsid w:val="000D7969"/>
    <w:rsid w:val="000F3768"/>
    <w:rsid w:val="000F6F75"/>
    <w:rsid w:val="001036B7"/>
    <w:rsid w:val="0010431D"/>
    <w:rsid w:val="00111F24"/>
    <w:rsid w:val="00115FDF"/>
    <w:rsid w:val="00124937"/>
    <w:rsid w:val="00125245"/>
    <w:rsid w:val="001443EB"/>
    <w:rsid w:val="00144CC3"/>
    <w:rsid w:val="00150B66"/>
    <w:rsid w:val="0015172F"/>
    <w:rsid w:val="00160CCD"/>
    <w:rsid w:val="00163005"/>
    <w:rsid w:val="00164F97"/>
    <w:rsid w:val="00170E6A"/>
    <w:rsid w:val="001869D7"/>
    <w:rsid w:val="00190D8A"/>
    <w:rsid w:val="00195A85"/>
    <w:rsid w:val="00196232"/>
    <w:rsid w:val="00196BFA"/>
    <w:rsid w:val="001A452D"/>
    <w:rsid w:val="001A7C5E"/>
    <w:rsid w:val="001A7EE6"/>
    <w:rsid w:val="001C09A2"/>
    <w:rsid w:val="001C622C"/>
    <w:rsid w:val="001C6412"/>
    <w:rsid w:val="001D29B6"/>
    <w:rsid w:val="001D3E20"/>
    <w:rsid w:val="001D7C12"/>
    <w:rsid w:val="001E61F8"/>
    <w:rsid w:val="001E7490"/>
    <w:rsid w:val="001F29F9"/>
    <w:rsid w:val="001F5733"/>
    <w:rsid w:val="001F5E0D"/>
    <w:rsid w:val="001F7C2B"/>
    <w:rsid w:val="002105F1"/>
    <w:rsid w:val="00217B37"/>
    <w:rsid w:val="00223FBE"/>
    <w:rsid w:val="00225446"/>
    <w:rsid w:val="00227DE4"/>
    <w:rsid w:val="00232D05"/>
    <w:rsid w:val="00237914"/>
    <w:rsid w:val="0024303A"/>
    <w:rsid w:val="0024305E"/>
    <w:rsid w:val="00245A69"/>
    <w:rsid w:val="0025082F"/>
    <w:rsid w:val="00252881"/>
    <w:rsid w:val="00262B19"/>
    <w:rsid w:val="00263EF2"/>
    <w:rsid w:val="00274246"/>
    <w:rsid w:val="002755B7"/>
    <w:rsid w:val="00277CB9"/>
    <w:rsid w:val="00281C6E"/>
    <w:rsid w:val="002820D3"/>
    <w:rsid w:val="00282A21"/>
    <w:rsid w:val="002876D0"/>
    <w:rsid w:val="00287DC1"/>
    <w:rsid w:val="002944C3"/>
    <w:rsid w:val="00294D65"/>
    <w:rsid w:val="0029680D"/>
    <w:rsid w:val="00296D75"/>
    <w:rsid w:val="002B1192"/>
    <w:rsid w:val="002B6DF4"/>
    <w:rsid w:val="002B7779"/>
    <w:rsid w:val="002B7B7B"/>
    <w:rsid w:val="002C21B1"/>
    <w:rsid w:val="002C6056"/>
    <w:rsid w:val="002C6D4A"/>
    <w:rsid w:val="002D000D"/>
    <w:rsid w:val="002D327A"/>
    <w:rsid w:val="002E656D"/>
    <w:rsid w:val="0030253F"/>
    <w:rsid w:val="00303DF9"/>
    <w:rsid w:val="00304B55"/>
    <w:rsid w:val="00307ED1"/>
    <w:rsid w:val="00310586"/>
    <w:rsid w:val="00313164"/>
    <w:rsid w:val="00333EA4"/>
    <w:rsid w:val="00335AF1"/>
    <w:rsid w:val="0034044F"/>
    <w:rsid w:val="00344490"/>
    <w:rsid w:val="0036186A"/>
    <w:rsid w:val="00361895"/>
    <w:rsid w:val="003737A7"/>
    <w:rsid w:val="003762CA"/>
    <w:rsid w:val="00381815"/>
    <w:rsid w:val="0038224E"/>
    <w:rsid w:val="00383F83"/>
    <w:rsid w:val="0038618D"/>
    <w:rsid w:val="00387678"/>
    <w:rsid w:val="0039545B"/>
    <w:rsid w:val="003A1CCE"/>
    <w:rsid w:val="003A2EB7"/>
    <w:rsid w:val="003B1A60"/>
    <w:rsid w:val="003B1BF6"/>
    <w:rsid w:val="003B4C37"/>
    <w:rsid w:val="003B563B"/>
    <w:rsid w:val="003D4D00"/>
    <w:rsid w:val="003D5E7F"/>
    <w:rsid w:val="003D7290"/>
    <w:rsid w:val="003D77D0"/>
    <w:rsid w:val="003E1436"/>
    <w:rsid w:val="003E446C"/>
    <w:rsid w:val="003E6D96"/>
    <w:rsid w:val="003E6DFD"/>
    <w:rsid w:val="003F664A"/>
    <w:rsid w:val="00401AF2"/>
    <w:rsid w:val="00406A6A"/>
    <w:rsid w:val="004135C2"/>
    <w:rsid w:val="004142C5"/>
    <w:rsid w:val="00414532"/>
    <w:rsid w:val="00415BE0"/>
    <w:rsid w:val="00415F2E"/>
    <w:rsid w:val="00426078"/>
    <w:rsid w:val="00436599"/>
    <w:rsid w:val="0044180F"/>
    <w:rsid w:val="00443AED"/>
    <w:rsid w:val="0044416C"/>
    <w:rsid w:val="0044650B"/>
    <w:rsid w:val="00455AA2"/>
    <w:rsid w:val="00461E42"/>
    <w:rsid w:val="00466EE7"/>
    <w:rsid w:val="004678EA"/>
    <w:rsid w:val="00470054"/>
    <w:rsid w:val="0047363F"/>
    <w:rsid w:val="00476C13"/>
    <w:rsid w:val="0048068F"/>
    <w:rsid w:val="00482C1E"/>
    <w:rsid w:val="00483671"/>
    <w:rsid w:val="00485A86"/>
    <w:rsid w:val="004A653A"/>
    <w:rsid w:val="004B1F90"/>
    <w:rsid w:val="004B3247"/>
    <w:rsid w:val="004B40D3"/>
    <w:rsid w:val="004B6CE8"/>
    <w:rsid w:val="004C044A"/>
    <w:rsid w:val="004C3A2E"/>
    <w:rsid w:val="004C5923"/>
    <w:rsid w:val="004D04DF"/>
    <w:rsid w:val="004D0A2D"/>
    <w:rsid w:val="004D3787"/>
    <w:rsid w:val="004E39F1"/>
    <w:rsid w:val="004E55A7"/>
    <w:rsid w:val="004F0C0E"/>
    <w:rsid w:val="00506ADC"/>
    <w:rsid w:val="00506D3A"/>
    <w:rsid w:val="00520902"/>
    <w:rsid w:val="0052123F"/>
    <w:rsid w:val="0052234F"/>
    <w:rsid w:val="0052667E"/>
    <w:rsid w:val="005268CF"/>
    <w:rsid w:val="00527DC4"/>
    <w:rsid w:val="00530BC4"/>
    <w:rsid w:val="0053237B"/>
    <w:rsid w:val="005343B4"/>
    <w:rsid w:val="005352CB"/>
    <w:rsid w:val="00540A40"/>
    <w:rsid w:val="0054247F"/>
    <w:rsid w:val="00544FFC"/>
    <w:rsid w:val="00546183"/>
    <w:rsid w:val="005536D8"/>
    <w:rsid w:val="00557908"/>
    <w:rsid w:val="005646A7"/>
    <w:rsid w:val="00566A83"/>
    <w:rsid w:val="00572D7E"/>
    <w:rsid w:val="005776F8"/>
    <w:rsid w:val="005828AB"/>
    <w:rsid w:val="00585483"/>
    <w:rsid w:val="005915DB"/>
    <w:rsid w:val="00591E3F"/>
    <w:rsid w:val="00592FD2"/>
    <w:rsid w:val="005965C4"/>
    <w:rsid w:val="00597101"/>
    <w:rsid w:val="005A3123"/>
    <w:rsid w:val="005B38A4"/>
    <w:rsid w:val="005B49F9"/>
    <w:rsid w:val="005C0FF0"/>
    <w:rsid w:val="005D5B65"/>
    <w:rsid w:val="005D7464"/>
    <w:rsid w:val="005E115F"/>
    <w:rsid w:val="005E30F2"/>
    <w:rsid w:val="005F6841"/>
    <w:rsid w:val="005F77CA"/>
    <w:rsid w:val="005F7D1F"/>
    <w:rsid w:val="0060609A"/>
    <w:rsid w:val="0061616C"/>
    <w:rsid w:val="00627803"/>
    <w:rsid w:val="0063220C"/>
    <w:rsid w:val="00644F9C"/>
    <w:rsid w:val="00670168"/>
    <w:rsid w:val="006807AC"/>
    <w:rsid w:val="00683F82"/>
    <w:rsid w:val="006A3114"/>
    <w:rsid w:val="006A695D"/>
    <w:rsid w:val="006A75FE"/>
    <w:rsid w:val="006B0750"/>
    <w:rsid w:val="006C127A"/>
    <w:rsid w:val="006C6B50"/>
    <w:rsid w:val="006D077C"/>
    <w:rsid w:val="006E0708"/>
    <w:rsid w:val="007067D7"/>
    <w:rsid w:val="00710A4E"/>
    <w:rsid w:val="007143C2"/>
    <w:rsid w:val="00715829"/>
    <w:rsid w:val="00720365"/>
    <w:rsid w:val="0072134E"/>
    <w:rsid w:val="00724003"/>
    <w:rsid w:val="0072750D"/>
    <w:rsid w:val="007376A3"/>
    <w:rsid w:val="00737D8D"/>
    <w:rsid w:val="00752DF1"/>
    <w:rsid w:val="00756279"/>
    <w:rsid w:val="00756AE5"/>
    <w:rsid w:val="00762707"/>
    <w:rsid w:val="007704C7"/>
    <w:rsid w:val="0077484C"/>
    <w:rsid w:val="0077588B"/>
    <w:rsid w:val="00776CF7"/>
    <w:rsid w:val="00782F39"/>
    <w:rsid w:val="00784D55"/>
    <w:rsid w:val="007854CD"/>
    <w:rsid w:val="007870B1"/>
    <w:rsid w:val="00790F73"/>
    <w:rsid w:val="00791CE9"/>
    <w:rsid w:val="00791D51"/>
    <w:rsid w:val="007A1334"/>
    <w:rsid w:val="007A5AF4"/>
    <w:rsid w:val="007A604D"/>
    <w:rsid w:val="007C0345"/>
    <w:rsid w:val="007C0ECB"/>
    <w:rsid w:val="007C4D5D"/>
    <w:rsid w:val="007C508A"/>
    <w:rsid w:val="007D2BD7"/>
    <w:rsid w:val="007D576B"/>
    <w:rsid w:val="007D5B61"/>
    <w:rsid w:val="007D5FED"/>
    <w:rsid w:val="007D64CB"/>
    <w:rsid w:val="007E4EFE"/>
    <w:rsid w:val="007F3141"/>
    <w:rsid w:val="007F74F3"/>
    <w:rsid w:val="00806E5A"/>
    <w:rsid w:val="00810AB0"/>
    <w:rsid w:val="00813FA7"/>
    <w:rsid w:val="008211E8"/>
    <w:rsid w:val="00823696"/>
    <w:rsid w:val="0082373D"/>
    <w:rsid w:val="00825D64"/>
    <w:rsid w:val="00825D94"/>
    <w:rsid w:val="00832E6E"/>
    <w:rsid w:val="00843BA2"/>
    <w:rsid w:val="00846DC0"/>
    <w:rsid w:val="00847463"/>
    <w:rsid w:val="008550E4"/>
    <w:rsid w:val="0085779F"/>
    <w:rsid w:val="008732C7"/>
    <w:rsid w:val="008744C1"/>
    <w:rsid w:val="00882A47"/>
    <w:rsid w:val="00883E51"/>
    <w:rsid w:val="008853C5"/>
    <w:rsid w:val="00885980"/>
    <w:rsid w:val="0089395C"/>
    <w:rsid w:val="008A5C3C"/>
    <w:rsid w:val="008B5B8C"/>
    <w:rsid w:val="008C03F3"/>
    <w:rsid w:val="008D18E8"/>
    <w:rsid w:val="008D41E3"/>
    <w:rsid w:val="008D691A"/>
    <w:rsid w:val="008E08A2"/>
    <w:rsid w:val="008F1BA9"/>
    <w:rsid w:val="008F5270"/>
    <w:rsid w:val="008F7997"/>
    <w:rsid w:val="00901A12"/>
    <w:rsid w:val="00903FB5"/>
    <w:rsid w:val="00904086"/>
    <w:rsid w:val="009226BE"/>
    <w:rsid w:val="00924A75"/>
    <w:rsid w:val="00956713"/>
    <w:rsid w:val="00973291"/>
    <w:rsid w:val="00974DE4"/>
    <w:rsid w:val="00980B6F"/>
    <w:rsid w:val="00984715"/>
    <w:rsid w:val="0098476F"/>
    <w:rsid w:val="0098702A"/>
    <w:rsid w:val="00995036"/>
    <w:rsid w:val="00997272"/>
    <w:rsid w:val="009A34C1"/>
    <w:rsid w:val="009A68DD"/>
    <w:rsid w:val="009A6F51"/>
    <w:rsid w:val="009C487E"/>
    <w:rsid w:val="009C492F"/>
    <w:rsid w:val="009C59F3"/>
    <w:rsid w:val="009C6A93"/>
    <w:rsid w:val="009D57F4"/>
    <w:rsid w:val="009E3843"/>
    <w:rsid w:val="009F70E1"/>
    <w:rsid w:val="00A03865"/>
    <w:rsid w:val="00A05106"/>
    <w:rsid w:val="00A12599"/>
    <w:rsid w:val="00A127CC"/>
    <w:rsid w:val="00A15239"/>
    <w:rsid w:val="00A2291B"/>
    <w:rsid w:val="00A32131"/>
    <w:rsid w:val="00A42909"/>
    <w:rsid w:val="00A558C7"/>
    <w:rsid w:val="00A55D13"/>
    <w:rsid w:val="00A570EF"/>
    <w:rsid w:val="00A61F65"/>
    <w:rsid w:val="00A75DDD"/>
    <w:rsid w:val="00A75F65"/>
    <w:rsid w:val="00A81D0C"/>
    <w:rsid w:val="00A826FC"/>
    <w:rsid w:val="00A8649C"/>
    <w:rsid w:val="00A9513A"/>
    <w:rsid w:val="00A95B01"/>
    <w:rsid w:val="00AA1967"/>
    <w:rsid w:val="00AA1AFD"/>
    <w:rsid w:val="00AA5081"/>
    <w:rsid w:val="00AA5C41"/>
    <w:rsid w:val="00AB031B"/>
    <w:rsid w:val="00AB03A9"/>
    <w:rsid w:val="00AB2191"/>
    <w:rsid w:val="00AC0476"/>
    <w:rsid w:val="00AE45A6"/>
    <w:rsid w:val="00AE6D86"/>
    <w:rsid w:val="00AF1515"/>
    <w:rsid w:val="00B05FA3"/>
    <w:rsid w:val="00B146FD"/>
    <w:rsid w:val="00B272E3"/>
    <w:rsid w:val="00B3175E"/>
    <w:rsid w:val="00B33AAF"/>
    <w:rsid w:val="00B33B1B"/>
    <w:rsid w:val="00B34BA6"/>
    <w:rsid w:val="00B4044B"/>
    <w:rsid w:val="00B46356"/>
    <w:rsid w:val="00B50601"/>
    <w:rsid w:val="00B5362F"/>
    <w:rsid w:val="00B53AE5"/>
    <w:rsid w:val="00B55B4A"/>
    <w:rsid w:val="00B773E5"/>
    <w:rsid w:val="00B80B1E"/>
    <w:rsid w:val="00B80B95"/>
    <w:rsid w:val="00B821CF"/>
    <w:rsid w:val="00B83028"/>
    <w:rsid w:val="00B85918"/>
    <w:rsid w:val="00B9315D"/>
    <w:rsid w:val="00B93F32"/>
    <w:rsid w:val="00B97A3C"/>
    <w:rsid w:val="00BA2D79"/>
    <w:rsid w:val="00BB094E"/>
    <w:rsid w:val="00BB6B13"/>
    <w:rsid w:val="00BB6FD7"/>
    <w:rsid w:val="00BC0E69"/>
    <w:rsid w:val="00BC3C70"/>
    <w:rsid w:val="00BC5883"/>
    <w:rsid w:val="00BC6170"/>
    <w:rsid w:val="00BC77B2"/>
    <w:rsid w:val="00BD3139"/>
    <w:rsid w:val="00BD3788"/>
    <w:rsid w:val="00BE567C"/>
    <w:rsid w:val="00BE7AB7"/>
    <w:rsid w:val="00BF2EB2"/>
    <w:rsid w:val="00BF3DA0"/>
    <w:rsid w:val="00C01783"/>
    <w:rsid w:val="00C06CFA"/>
    <w:rsid w:val="00C179C8"/>
    <w:rsid w:val="00C222FE"/>
    <w:rsid w:val="00C22634"/>
    <w:rsid w:val="00C22F95"/>
    <w:rsid w:val="00C56F12"/>
    <w:rsid w:val="00C64393"/>
    <w:rsid w:val="00C723AE"/>
    <w:rsid w:val="00C730D8"/>
    <w:rsid w:val="00C92BE8"/>
    <w:rsid w:val="00C95533"/>
    <w:rsid w:val="00C969A5"/>
    <w:rsid w:val="00C96FA6"/>
    <w:rsid w:val="00CB4DC6"/>
    <w:rsid w:val="00CC06C6"/>
    <w:rsid w:val="00CC0ADA"/>
    <w:rsid w:val="00CC54E4"/>
    <w:rsid w:val="00CC72FA"/>
    <w:rsid w:val="00CD7EAB"/>
    <w:rsid w:val="00CE21CC"/>
    <w:rsid w:val="00CF63A1"/>
    <w:rsid w:val="00D0607A"/>
    <w:rsid w:val="00D07D6F"/>
    <w:rsid w:val="00D10121"/>
    <w:rsid w:val="00D12E89"/>
    <w:rsid w:val="00D14AB7"/>
    <w:rsid w:val="00D21D0C"/>
    <w:rsid w:val="00D4384C"/>
    <w:rsid w:val="00D458EC"/>
    <w:rsid w:val="00D50508"/>
    <w:rsid w:val="00D51D0D"/>
    <w:rsid w:val="00D549F7"/>
    <w:rsid w:val="00D564FE"/>
    <w:rsid w:val="00D6071E"/>
    <w:rsid w:val="00D63EBD"/>
    <w:rsid w:val="00D6443F"/>
    <w:rsid w:val="00D64B34"/>
    <w:rsid w:val="00D64FB5"/>
    <w:rsid w:val="00D74094"/>
    <w:rsid w:val="00D848F8"/>
    <w:rsid w:val="00D91644"/>
    <w:rsid w:val="00D92847"/>
    <w:rsid w:val="00D9462E"/>
    <w:rsid w:val="00DA106A"/>
    <w:rsid w:val="00DB5693"/>
    <w:rsid w:val="00DB5F27"/>
    <w:rsid w:val="00DC2F8B"/>
    <w:rsid w:val="00DD467F"/>
    <w:rsid w:val="00DD6381"/>
    <w:rsid w:val="00DD770C"/>
    <w:rsid w:val="00DE0A2B"/>
    <w:rsid w:val="00DE72AE"/>
    <w:rsid w:val="00DF0612"/>
    <w:rsid w:val="00DF0C8F"/>
    <w:rsid w:val="00DF626B"/>
    <w:rsid w:val="00DF7F3C"/>
    <w:rsid w:val="00E00076"/>
    <w:rsid w:val="00E12E56"/>
    <w:rsid w:val="00E133A8"/>
    <w:rsid w:val="00E21586"/>
    <w:rsid w:val="00E2282A"/>
    <w:rsid w:val="00E3084A"/>
    <w:rsid w:val="00E37E08"/>
    <w:rsid w:val="00E52347"/>
    <w:rsid w:val="00E52A79"/>
    <w:rsid w:val="00E578FD"/>
    <w:rsid w:val="00E611F8"/>
    <w:rsid w:val="00E63453"/>
    <w:rsid w:val="00E6519E"/>
    <w:rsid w:val="00E65E0D"/>
    <w:rsid w:val="00E67EEE"/>
    <w:rsid w:val="00E70156"/>
    <w:rsid w:val="00E72D34"/>
    <w:rsid w:val="00E739DA"/>
    <w:rsid w:val="00E81873"/>
    <w:rsid w:val="00E8522F"/>
    <w:rsid w:val="00E9247B"/>
    <w:rsid w:val="00EA2B7C"/>
    <w:rsid w:val="00EA3AA8"/>
    <w:rsid w:val="00EB0EB1"/>
    <w:rsid w:val="00EB1D31"/>
    <w:rsid w:val="00EB35FC"/>
    <w:rsid w:val="00EB3F07"/>
    <w:rsid w:val="00EB4369"/>
    <w:rsid w:val="00EB5957"/>
    <w:rsid w:val="00EC036D"/>
    <w:rsid w:val="00EC1A78"/>
    <w:rsid w:val="00EC2193"/>
    <w:rsid w:val="00EC27EE"/>
    <w:rsid w:val="00EC37B9"/>
    <w:rsid w:val="00EC6C34"/>
    <w:rsid w:val="00ED3899"/>
    <w:rsid w:val="00EE0052"/>
    <w:rsid w:val="00EE6223"/>
    <w:rsid w:val="00EF2D99"/>
    <w:rsid w:val="00EF48BA"/>
    <w:rsid w:val="00F030A9"/>
    <w:rsid w:val="00F04ED2"/>
    <w:rsid w:val="00F13116"/>
    <w:rsid w:val="00F240E7"/>
    <w:rsid w:val="00F402FD"/>
    <w:rsid w:val="00F4225C"/>
    <w:rsid w:val="00F53906"/>
    <w:rsid w:val="00F54419"/>
    <w:rsid w:val="00F62035"/>
    <w:rsid w:val="00F67A2C"/>
    <w:rsid w:val="00F71F63"/>
    <w:rsid w:val="00F76D9A"/>
    <w:rsid w:val="00F77B03"/>
    <w:rsid w:val="00F8184F"/>
    <w:rsid w:val="00F918D3"/>
    <w:rsid w:val="00F921AB"/>
    <w:rsid w:val="00FA709B"/>
    <w:rsid w:val="00FA78CD"/>
    <w:rsid w:val="00FB13A0"/>
    <w:rsid w:val="00FC3BD5"/>
    <w:rsid w:val="00FC57AC"/>
    <w:rsid w:val="00FC6D3D"/>
    <w:rsid w:val="00FE0F33"/>
    <w:rsid w:val="018C60E5"/>
    <w:rsid w:val="02913C5A"/>
    <w:rsid w:val="02B0678C"/>
    <w:rsid w:val="059919D9"/>
    <w:rsid w:val="05A065CA"/>
    <w:rsid w:val="08DD2E13"/>
    <w:rsid w:val="09B37DA8"/>
    <w:rsid w:val="0C320701"/>
    <w:rsid w:val="0C83788A"/>
    <w:rsid w:val="0CEC351C"/>
    <w:rsid w:val="0D2F0CBE"/>
    <w:rsid w:val="0E142B3D"/>
    <w:rsid w:val="0F236627"/>
    <w:rsid w:val="108B3466"/>
    <w:rsid w:val="110B0044"/>
    <w:rsid w:val="11D312EB"/>
    <w:rsid w:val="13152072"/>
    <w:rsid w:val="13907A54"/>
    <w:rsid w:val="149B27C0"/>
    <w:rsid w:val="14AF6D00"/>
    <w:rsid w:val="15095A61"/>
    <w:rsid w:val="155D2259"/>
    <w:rsid w:val="17AC7570"/>
    <w:rsid w:val="17F04D20"/>
    <w:rsid w:val="18D757F2"/>
    <w:rsid w:val="19803DC4"/>
    <w:rsid w:val="19BC0C4B"/>
    <w:rsid w:val="1AED3086"/>
    <w:rsid w:val="1C724582"/>
    <w:rsid w:val="1D8F7157"/>
    <w:rsid w:val="1F4744F6"/>
    <w:rsid w:val="204C499B"/>
    <w:rsid w:val="210B1F40"/>
    <w:rsid w:val="2182290C"/>
    <w:rsid w:val="21A61D09"/>
    <w:rsid w:val="21D137A1"/>
    <w:rsid w:val="23814C2B"/>
    <w:rsid w:val="23CB49C0"/>
    <w:rsid w:val="24AD026B"/>
    <w:rsid w:val="250543FE"/>
    <w:rsid w:val="2624470C"/>
    <w:rsid w:val="26421D92"/>
    <w:rsid w:val="26CF3363"/>
    <w:rsid w:val="27126E1A"/>
    <w:rsid w:val="27493E39"/>
    <w:rsid w:val="2765301C"/>
    <w:rsid w:val="276B578D"/>
    <w:rsid w:val="28182AAA"/>
    <w:rsid w:val="28433488"/>
    <w:rsid w:val="2B546DBD"/>
    <w:rsid w:val="2B740174"/>
    <w:rsid w:val="2C643077"/>
    <w:rsid w:val="2C714E97"/>
    <w:rsid w:val="2CA446AF"/>
    <w:rsid w:val="2D1E5D38"/>
    <w:rsid w:val="2F24786A"/>
    <w:rsid w:val="2FA110B9"/>
    <w:rsid w:val="2FC372B6"/>
    <w:rsid w:val="30C15FE2"/>
    <w:rsid w:val="310F472D"/>
    <w:rsid w:val="31177A04"/>
    <w:rsid w:val="314A07C8"/>
    <w:rsid w:val="31CF3EE6"/>
    <w:rsid w:val="32C84224"/>
    <w:rsid w:val="32D41213"/>
    <w:rsid w:val="333C7567"/>
    <w:rsid w:val="34BE46F2"/>
    <w:rsid w:val="355A6508"/>
    <w:rsid w:val="35821047"/>
    <w:rsid w:val="35AB7841"/>
    <w:rsid w:val="35F83C2D"/>
    <w:rsid w:val="37326136"/>
    <w:rsid w:val="3B0458CB"/>
    <w:rsid w:val="3B201094"/>
    <w:rsid w:val="3B3A7F35"/>
    <w:rsid w:val="3C8C4D75"/>
    <w:rsid w:val="3C9D4B7D"/>
    <w:rsid w:val="3DD82E9B"/>
    <w:rsid w:val="3F666333"/>
    <w:rsid w:val="3F691229"/>
    <w:rsid w:val="3FA53CDE"/>
    <w:rsid w:val="40C14278"/>
    <w:rsid w:val="41646F93"/>
    <w:rsid w:val="42D33201"/>
    <w:rsid w:val="431E1300"/>
    <w:rsid w:val="438B7E58"/>
    <w:rsid w:val="43A86C97"/>
    <w:rsid w:val="44472DD6"/>
    <w:rsid w:val="44506E69"/>
    <w:rsid w:val="44944FAD"/>
    <w:rsid w:val="44CD0BCE"/>
    <w:rsid w:val="4505648C"/>
    <w:rsid w:val="454B22D4"/>
    <w:rsid w:val="466C276E"/>
    <w:rsid w:val="46760C01"/>
    <w:rsid w:val="46CD2598"/>
    <w:rsid w:val="4720342C"/>
    <w:rsid w:val="485D2DEC"/>
    <w:rsid w:val="48823BB6"/>
    <w:rsid w:val="48B30E65"/>
    <w:rsid w:val="496E2C9D"/>
    <w:rsid w:val="496F3257"/>
    <w:rsid w:val="499156AE"/>
    <w:rsid w:val="49C903BE"/>
    <w:rsid w:val="4B07279E"/>
    <w:rsid w:val="4BAC1FAF"/>
    <w:rsid w:val="4C841498"/>
    <w:rsid w:val="4E9179B2"/>
    <w:rsid w:val="501A454B"/>
    <w:rsid w:val="50D9141F"/>
    <w:rsid w:val="510A420A"/>
    <w:rsid w:val="51DA23AE"/>
    <w:rsid w:val="52517A13"/>
    <w:rsid w:val="53A26E4B"/>
    <w:rsid w:val="53AA08F7"/>
    <w:rsid w:val="54394B9C"/>
    <w:rsid w:val="54987051"/>
    <w:rsid w:val="54C93F28"/>
    <w:rsid w:val="55F37989"/>
    <w:rsid w:val="567B25B3"/>
    <w:rsid w:val="5779260A"/>
    <w:rsid w:val="57B86FB7"/>
    <w:rsid w:val="58A74A03"/>
    <w:rsid w:val="59CE5313"/>
    <w:rsid w:val="5B6A60D1"/>
    <w:rsid w:val="5CBB5AA0"/>
    <w:rsid w:val="5EB27784"/>
    <w:rsid w:val="612C255B"/>
    <w:rsid w:val="6311553C"/>
    <w:rsid w:val="63DB44D0"/>
    <w:rsid w:val="64EB33DC"/>
    <w:rsid w:val="6596743A"/>
    <w:rsid w:val="668E4176"/>
    <w:rsid w:val="673D0E29"/>
    <w:rsid w:val="67572781"/>
    <w:rsid w:val="687D638C"/>
    <w:rsid w:val="695303A5"/>
    <w:rsid w:val="69BA2D1A"/>
    <w:rsid w:val="6CB37B7E"/>
    <w:rsid w:val="6D214B83"/>
    <w:rsid w:val="6EBA55E7"/>
    <w:rsid w:val="6ED82E67"/>
    <w:rsid w:val="6FAC5909"/>
    <w:rsid w:val="6FE04A4D"/>
    <w:rsid w:val="706B5BDF"/>
    <w:rsid w:val="70876C34"/>
    <w:rsid w:val="716E3086"/>
    <w:rsid w:val="71E87B82"/>
    <w:rsid w:val="76543BBD"/>
    <w:rsid w:val="768439BF"/>
    <w:rsid w:val="787950E9"/>
    <w:rsid w:val="78DE6908"/>
    <w:rsid w:val="78F63A82"/>
    <w:rsid w:val="79924E18"/>
    <w:rsid w:val="7AB91300"/>
    <w:rsid w:val="7BD91532"/>
    <w:rsid w:val="7CCE468F"/>
    <w:rsid w:val="7DDD74E2"/>
    <w:rsid w:val="7E2B6A8C"/>
    <w:rsid w:val="7E4E5555"/>
    <w:rsid w:val="7E720551"/>
    <w:rsid w:val="7EE37270"/>
    <w:rsid w:val="7F9E70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5"/>
    <w:next w:val="1"/>
    <w:link w:val="61"/>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91"/>
    <w:qFormat/>
    <w:uiPriority w:val="0"/>
    <w:pPr>
      <w:adjustRightInd w:val="0"/>
      <w:jc w:val="center"/>
      <w:textAlignment w:val="baseline"/>
      <w:outlineLvl w:val="1"/>
    </w:pPr>
    <w:rPr>
      <w:kern w:val="0"/>
      <w:sz w:val="24"/>
      <w:szCs w:val="20"/>
    </w:rPr>
  </w:style>
  <w:style w:type="paragraph" w:styleId="5">
    <w:name w:val="heading 3"/>
    <w:basedOn w:val="6"/>
    <w:next w:val="1"/>
    <w:link w:val="60"/>
    <w:qFormat/>
    <w:uiPriority w:val="0"/>
    <w:pPr>
      <w:spacing w:before="260" w:after="260" w:line="240" w:lineRule="auto"/>
      <w:outlineLvl w:val="2"/>
    </w:pPr>
    <w:rPr>
      <w:rFonts w:ascii="宋体" w:hAnsi="宋体" w:eastAsia="宋体"/>
      <w:szCs w:val="32"/>
    </w:rPr>
  </w:style>
  <w:style w:type="paragraph" w:styleId="6">
    <w:name w:val="heading 4"/>
    <w:basedOn w:val="1"/>
    <w:next w:val="1"/>
    <w:link w:val="58"/>
    <w:qFormat/>
    <w:uiPriority w:val="0"/>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9"/>
    <w:link w:val="100"/>
    <w:qFormat/>
    <w:uiPriority w:val="0"/>
    <w:pPr>
      <w:keepNext/>
      <w:keepLines/>
      <w:spacing w:before="280" w:after="290" w:line="376" w:lineRule="auto"/>
      <w:outlineLvl w:val="4"/>
    </w:pPr>
    <w:rPr>
      <w:rFonts w:ascii="Times New Roman" w:hAnsi="Times New Roman" w:eastAsia="宋体" w:cs="Times New Roman"/>
      <w:b/>
      <w:sz w:val="28"/>
      <w:szCs w:val="20"/>
    </w:rPr>
  </w:style>
  <w:style w:type="paragraph" w:styleId="10">
    <w:name w:val="heading 6"/>
    <w:basedOn w:val="1"/>
    <w:next w:val="9"/>
    <w:link w:val="103"/>
    <w:qFormat/>
    <w:uiPriority w:val="0"/>
    <w:pPr>
      <w:keepNext/>
      <w:keepLines/>
      <w:spacing w:before="240" w:after="64" w:line="320" w:lineRule="auto"/>
      <w:outlineLvl w:val="5"/>
    </w:pPr>
    <w:rPr>
      <w:rFonts w:ascii="Arial" w:hAnsi="Arial" w:eastAsia="黑体" w:cs="Times New Roman"/>
      <w:b/>
      <w:sz w:val="24"/>
      <w:szCs w:val="20"/>
    </w:rPr>
  </w:style>
  <w:style w:type="paragraph" w:styleId="11">
    <w:name w:val="heading 7"/>
    <w:basedOn w:val="1"/>
    <w:next w:val="9"/>
    <w:link w:val="104"/>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2">
    <w:name w:val="heading 8"/>
    <w:basedOn w:val="1"/>
    <w:next w:val="9"/>
    <w:link w:val="105"/>
    <w:qFormat/>
    <w:uiPriority w:val="0"/>
    <w:pPr>
      <w:keepNext/>
      <w:keepLines/>
      <w:spacing w:before="240" w:after="64" w:line="320" w:lineRule="auto"/>
      <w:outlineLvl w:val="7"/>
    </w:pPr>
    <w:rPr>
      <w:rFonts w:ascii="Arial" w:hAnsi="Arial" w:eastAsia="黑体" w:cs="Times New Roman"/>
      <w:sz w:val="24"/>
      <w:szCs w:val="20"/>
    </w:rPr>
  </w:style>
  <w:style w:type="paragraph" w:styleId="13">
    <w:name w:val="heading 9"/>
    <w:basedOn w:val="1"/>
    <w:next w:val="9"/>
    <w:link w:val="106"/>
    <w:qFormat/>
    <w:uiPriority w:val="0"/>
    <w:pPr>
      <w:keepNext/>
      <w:keepLines/>
      <w:spacing w:before="240" w:after="64" w:line="320" w:lineRule="auto"/>
      <w:outlineLvl w:val="8"/>
    </w:pPr>
    <w:rPr>
      <w:rFonts w:ascii="Arial" w:hAnsi="Arial" w:eastAsia="黑体" w:cs="Times New Roman"/>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52"/>
    <w:qFormat/>
    <w:uiPriority w:val="0"/>
    <w:pPr>
      <w:spacing w:after="120" w:line="240" w:lineRule="auto"/>
      <w:ind w:firstLine="420" w:firstLineChars="100"/>
    </w:pPr>
    <w:rPr>
      <w:sz w:val="21"/>
    </w:rPr>
  </w:style>
  <w:style w:type="paragraph" w:styleId="3">
    <w:name w:val="Body Text"/>
    <w:basedOn w:val="1"/>
    <w:link w:val="112"/>
    <w:qFormat/>
    <w:uiPriority w:val="0"/>
    <w:pPr>
      <w:spacing w:line="360" w:lineRule="auto"/>
    </w:pPr>
    <w:rPr>
      <w:rFonts w:ascii="Times New Roman" w:hAnsi="Times New Roman" w:eastAsia="宋体" w:cs="Times New Roman"/>
      <w:b/>
      <w:bCs/>
      <w:sz w:val="24"/>
      <w:szCs w:val="24"/>
    </w:rPr>
  </w:style>
  <w:style w:type="paragraph" w:styleId="9">
    <w:name w:val="Normal Indent"/>
    <w:basedOn w:val="1"/>
    <w:link w:val="62"/>
    <w:qFormat/>
    <w:uiPriority w:val="0"/>
    <w:pPr>
      <w:ind w:firstLine="420"/>
    </w:pPr>
    <w:rPr>
      <w:rFonts w:ascii="Times New Roman" w:hAnsi="Times New Roman" w:eastAsia="宋体" w:cs="Times New Roman"/>
      <w:szCs w:val="20"/>
    </w:rPr>
  </w:style>
  <w:style w:type="paragraph" w:styleId="14">
    <w:name w:val="toc 7"/>
    <w:basedOn w:val="1"/>
    <w:next w:val="1"/>
    <w:semiHidden/>
    <w:qFormat/>
    <w:uiPriority w:val="0"/>
    <w:pPr>
      <w:ind w:left="1260"/>
      <w:jc w:val="left"/>
    </w:pPr>
    <w:rPr>
      <w:rFonts w:ascii="Times New Roman" w:hAnsi="Times New Roman" w:eastAsia="宋体" w:cs="Times New Roman"/>
      <w:szCs w:val="21"/>
    </w:rPr>
  </w:style>
  <w:style w:type="paragraph" w:styleId="15">
    <w:name w:val="caption"/>
    <w:basedOn w:val="1"/>
    <w:next w:val="1"/>
    <w:qFormat/>
    <w:uiPriority w:val="0"/>
    <w:pPr>
      <w:widowControl/>
      <w:spacing w:line="360" w:lineRule="auto"/>
      <w:ind w:firstLine="1940" w:firstLineChars="920"/>
      <w:jc w:val="left"/>
    </w:pPr>
    <w:rPr>
      <w:rFonts w:ascii="宋体" w:hAnsi="宋体" w:eastAsia="宋体" w:cs="Times New Roman"/>
      <w:b/>
      <w:bCs/>
      <w:kern w:val="0"/>
      <w:sz w:val="20"/>
      <w:szCs w:val="20"/>
    </w:rPr>
  </w:style>
  <w:style w:type="paragraph" w:styleId="16">
    <w:name w:val="List Bullet"/>
    <w:basedOn w:val="1"/>
    <w:qFormat/>
    <w:uiPriority w:val="0"/>
    <w:pPr>
      <w:numPr>
        <w:ilvl w:val="0"/>
        <w:numId w:val="1"/>
      </w:numPr>
    </w:pPr>
    <w:rPr>
      <w:rFonts w:ascii="Times New Roman" w:hAnsi="Times New Roman" w:eastAsia="宋体" w:cs="Times New Roman"/>
      <w:szCs w:val="20"/>
    </w:rPr>
  </w:style>
  <w:style w:type="paragraph" w:styleId="17">
    <w:name w:val="Document Map"/>
    <w:basedOn w:val="1"/>
    <w:link w:val="76"/>
    <w:semiHidden/>
    <w:qFormat/>
    <w:uiPriority w:val="0"/>
    <w:pPr>
      <w:shd w:val="clear" w:color="auto" w:fill="000080"/>
    </w:pPr>
    <w:rPr>
      <w:rFonts w:ascii="Times New Roman" w:hAnsi="Times New Roman" w:eastAsia="宋体" w:cs="Times New Roman"/>
      <w:szCs w:val="24"/>
    </w:rPr>
  </w:style>
  <w:style w:type="paragraph" w:styleId="18">
    <w:name w:val="annotation text"/>
    <w:basedOn w:val="1"/>
    <w:link w:val="210"/>
    <w:qFormat/>
    <w:uiPriority w:val="0"/>
    <w:pPr>
      <w:autoSpaceDE w:val="0"/>
      <w:autoSpaceDN w:val="0"/>
      <w:adjustRightInd w:val="0"/>
      <w:jc w:val="left"/>
      <w:textAlignment w:val="baseline"/>
    </w:pPr>
    <w:rPr>
      <w:rFonts w:ascii="宋体" w:hAnsi="Times New Roman" w:eastAsia="宋体" w:cs="Times New Roman"/>
      <w:kern w:val="0"/>
      <w:sz w:val="34"/>
      <w:szCs w:val="20"/>
    </w:rPr>
  </w:style>
  <w:style w:type="paragraph" w:styleId="19">
    <w:name w:val="Body Text 3"/>
    <w:basedOn w:val="1"/>
    <w:link w:val="118"/>
    <w:qFormat/>
    <w:uiPriority w:val="0"/>
    <w:pPr>
      <w:spacing w:after="120"/>
    </w:pPr>
    <w:rPr>
      <w:rFonts w:ascii="Times New Roman" w:hAnsi="Times New Roman" w:eastAsia="宋体" w:cs="Times New Roman"/>
      <w:sz w:val="16"/>
      <w:szCs w:val="16"/>
    </w:rPr>
  </w:style>
  <w:style w:type="paragraph" w:styleId="20">
    <w:name w:val="Body Text Indent"/>
    <w:basedOn w:val="1"/>
    <w:link w:val="99"/>
    <w:qFormat/>
    <w:uiPriority w:val="0"/>
    <w:pPr>
      <w:spacing w:line="360" w:lineRule="auto"/>
      <w:ind w:firstLine="420" w:firstLineChars="200"/>
    </w:pPr>
    <w:rPr>
      <w:rFonts w:ascii="Times New Roman" w:hAnsi="Times New Roman" w:eastAsia="宋体" w:cs="Times New Roman"/>
      <w:szCs w:val="24"/>
    </w:rPr>
  </w:style>
  <w:style w:type="paragraph" w:styleId="21">
    <w:name w:val="toc 5"/>
    <w:basedOn w:val="1"/>
    <w:next w:val="1"/>
    <w:semiHidden/>
    <w:qFormat/>
    <w:uiPriority w:val="0"/>
    <w:pPr>
      <w:ind w:left="840"/>
      <w:jc w:val="left"/>
    </w:pPr>
    <w:rPr>
      <w:rFonts w:ascii="Times New Roman" w:hAnsi="Times New Roman" w:eastAsia="宋体" w:cs="Times New Roman"/>
      <w:szCs w:val="21"/>
    </w:rPr>
  </w:style>
  <w:style w:type="paragraph" w:styleId="22">
    <w:name w:val="toc 3"/>
    <w:basedOn w:val="1"/>
    <w:next w:val="1"/>
    <w:semiHidden/>
    <w:qFormat/>
    <w:uiPriority w:val="0"/>
    <w:pPr>
      <w:ind w:left="420"/>
      <w:jc w:val="left"/>
    </w:pPr>
    <w:rPr>
      <w:rFonts w:ascii="Times New Roman" w:hAnsi="Times New Roman" w:eastAsia="宋体" w:cs="Times New Roman"/>
      <w:i/>
      <w:iCs/>
      <w:szCs w:val="24"/>
    </w:rPr>
  </w:style>
  <w:style w:type="paragraph" w:styleId="23">
    <w:name w:val="Plain Text"/>
    <w:basedOn w:val="1"/>
    <w:link w:val="110"/>
    <w:qFormat/>
    <w:uiPriority w:val="0"/>
    <w:rPr>
      <w:rFonts w:ascii="宋体" w:hAnsi="Courier New" w:eastAsia="宋体" w:cs="Times New Roman"/>
      <w:szCs w:val="20"/>
    </w:rPr>
  </w:style>
  <w:style w:type="paragraph" w:styleId="24">
    <w:name w:val="toc 8"/>
    <w:basedOn w:val="1"/>
    <w:next w:val="1"/>
    <w:semiHidden/>
    <w:qFormat/>
    <w:uiPriority w:val="0"/>
    <w:pPr>
      <w:ind w:left="1470"/>
      <w:jc w:val="left"/>
    </w:pPr>
    <w:rPr>
      <w:rFonts w:ascii="Times New Roman" w:hAnsi="Times New Roman" w:eastAsia="宋体" w:cs="Times New Roman"/>
      <w:szCs w:val="21"/>
    </w:rPr>
  </w:style>
  <w:style w:type="paragraph" w:styleId="25">
    <w:name w:val="Date"/>
    <w:basedOn w:val="1"/>
    <w:next w:val="1"/>
    <w:link w:val="108"/>
    <w:qFormat/>
    <w:uiPriority w:val="0"/>
    <w:rPr>
      <w:rFonts w:ascii="宋体" w:hAnsi="Courier New" w:eastAsia="宋体" w:cs="Times New Roman"/>
      <w:sz w:val="32"/>
      <w:szCs w:val="20"/>
    </w:rPr>
  </w:style>
  <w:style w:type="paragraph" w:styleId="26">
    <w:name w:val="Body Text Indent 2"/>
    <w:basedOn w:val="1"/>
    <w:link w:val="113"/>
    <w:qFormat/>
    <w:uiPriority w:val="0"/>
    <w:pPr>
      <w:spacing w:beforeLines="50" w:afterLines="50" w:line="120" w:lineRule="auto"/>
      <w:ind w:firstLine="840" w:firstLineChars="400"/>
      <w:jc w:val="left"/>
    </w:pPr>
    <w:rPr>
      <w:rFonts w:ascii="宋体" w:hAnsi="宋体" w:eastAsia="宋体" w:cs="Times New Roman"/>
      <w:szCs w:val="24"/>
    </w:rPr>
  </w:style>
  <w:style w:type="paragraph" w:styleId="27">
    <w:name w:val="Balloon Text"/>
    <w:basedOn w:val="1"/>
    <w:link w:val="120"/>
    <w:semiHidden/>
    <w:qFormat/>
    <w:uiPriority w:val="0"/>
    <w:rPr>
      <w:rFonts w:ascii="Times New Roman" w:hAnsi="Times New Roman" w:eastAsia="宋体" w:cs="Times New Roman"/>
      <w:sz w:val="18"/>
      <w:szCs w:val="18"/>
    </w:rPr>
  </w:style>
  <w:style w:type="paragraph" w:styleId="28">
    <w:name w:val="footer"/>
    <w:basedOn w:val="1"/>
    <w:link w:val="117"/>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29">
    <w:name w:val="header"/>
    <w:basedOn w:val="1"/>
    <w:link w:val="11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30">
    <w:name w:val="toc 1"/>
    <w:basedOn w:val="1"/>
    <w:next w:val="1"/>
    <w:semiHidden/>
    <w:qFormat/>
    <w:uiPriority w:val="0"/>
    <w:pPr>
      <w:spacing w:before="120" w:after="120"/>
      <w:jc w:val="left"/>
    </w:pPr>
    <w:rPr>
      <w:rFonts w:ascii="Times New Roman" w:hAnsi="Times New Roman" w:eastAsia="宋体" w:cs="Times New Roman"/>
      <w:b/>
      <w:bCs/>
      <w:caps/>
      <w:szCs w:val="24"/>
    </w:rPr>
  </w:style>
  <w:style w:type="paragraph" w:styleId="31">
    <w:name w:val="toc 4"/>
    <w:basedOn w:val="1"/>
    <w:next w:val="1"/>
    <w:semiHidden/>
    <w:qFormat/>
    <w:uiPriority w:val="0"/>
    <w:pPr>
      <w:ind w:left="630"/>
      <w:jc w:val="left"/>
    </w:pPr>
    <w:rPr>
      <w:rFonts w:ascii="Times New Roman" w:hAnsi="Times New Roman" w:eastAsia="宋体" w:cs="Times New Roman"/>
      <w:szCs w:val="21"/>
    </w:rPr>
  </w:style>
  <w:style w:type="paragraph" w:styleId="32">
    <w:name w:val="toc 6"/>
    <w:basedOn w:val="1"/>
    <w:next w:val="1"/>
    <w:semiHidden/>
    <w:uiPriority w:val="0"/>
    <w:pPr>
      <w:ind w:left="1050"/>
      <w:jc w:val="left"/>
    </w:pPr>
    <w:rPr>
      <w:rFonts w:ascii="Times New Roman" w:hAnsi="Times New Roman" w:eastAsia="宋体" w:cs="Times New Roman"/>
      <w:szCs w:val="21"/>
    </w:rPr>
  </w:style>
  <w:style w:type="paragraph" w:styleId="33">
    <w:name w:val="Body Text Indent 3"/>
    <w:basedOn w:val="1"/>
    <w:link w:val="115"/>
    <w:qFormat/>
    <w:uiPriority w:val="0"/>
    <w:pPr>
      <w:spacing w:line="360" w:lineRule="auto"/>
      <w:ind w:firstLine="482" w:firstLineChars="200"/>
    </w:pPr>
    <w:rPr>
      <w:rFonts w:ascii="宋体" w:hAnsi="Times New Roman" w:eastAsia="宋体" w:cs="Times New Roman"/>
      <w:b/>
      <w:bCs/>
      <w:sz w:val="24"/>
      <w:szCs w:val="24"/>
    </w:rPr>
  </w:style>
  <w:style w:type="paragraph" w:styleId="34">
    <w:name w:val="toc 2"/>
    <w:basedOn w:val="1"/>
    <w:next w:val="1"/>
    <w:semiHidden/>
    <w:qFormat/>
    <w:uiPriority w:val="0"/>
    <w:pPr>
      <w:tabs>
        <w:tab w:val="right" w:leader="dot" w:pos="8296"/>
      </w:tabs>
      <w:ind w:left="210"/>
      <w:jc w:val="left"/>
    </w:pPr>
    <w:rPr>
      <w:rFonts w:ascii="Times New Roman" w:hAnsi="Times New Roman" w:eastAsia="宋体" w:cs="Times New Roman"/>
      <w:smallCaps/>
      <w:szCs w:val="24"/>
    </w:rPr>
  </w:style>
  <w:style w:type="paragraph" w:styleId="35">
    <w:name w:val="toc 9"/>
    <w:basedOn w:val="1"/>
    <w:next w:val="1"/>
    <w:semiHidden/>
    <w:qFormat/>
    <w:uiPriority w:val="0"/>
    <w:pPr>
      <w:ind w:left="1680"/>
      <w:jc w:val="left"/>
    </w:pPr>
    <w:rPr>
      <w:rFonts w:ascii="Times New Roman" w:hAnsi="Times New Roman" w:eastAsia="宋体" w:cs="Times New Roman"/>
      <w:szCs w:val="21"/>
    </w:rPr>
  </w:style>
  <w:style w:type="paragraph" w:styleId="36">
    <w:name w:val="Body Text 2"/>
    <w:basedOn w:val="1"/>
    <w:link w:val="116"/>
    <w:qFormat/>
    <w:uiPriority w:val="0"/>
    <w:pPr>
      <w:spacing w:line="360" w:lineRule="auto"/>
    </w:pPr>
    <w:rPr>
      <w:rFonts w:ascii="Times New Roman" w:hAnsi="Times New Roman" w:eastAsia="宋体" w:cs="Times New Roman"/>
      <w:sz w:val="24"/>
      <w:szCs w:val="24"/>
    </w:rPr>
  </w:style>
  <w:style w:type="paragraph" w:styleId="37">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color w:val="000000"/>
      <w:kern w:val="0"/>
      <w:sz w:val="20"/>
      <w:szCs w:val="20"/>
    </w:rPr>
  </w:style>
  <w:style w:type="paragraph" w:styleId="38">
    <w:name w:val="Normal (Web)"/>
    <w:basedOn w:val="1"/>
    <w:qFormat/>
    <w:uiPriority w:val="0"/>
    <w:rPr>
      <w:rFonts w:ascii="Times New Roman" w:hAnsi="Times New Roman" w:eastAsia="宋体" w:cs="Times New Roman"/>
      <w:sz w:val="24"/>
      <w:szCs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eastAsia="宋体" w:cs="Times New Roman"/>
      <w:sz w:val="24"/>
      <w:szCs w:val="24"/>
    </w:rPr>
  </w:style>
  <w:style w:type="paragraph" w:styleId="40">
    <w:name w:val="Title"/>
    <w:basedOn w:val="1"/>
    <w:link w:val="107"/>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8"/>
    <w:next w:val="18"/>
    <w:link w:val="211"/>
    <w:qFormat/>
    <w:uiPriority w:val="0"/>
    <w:pPr>
      <w:autoSpaceDE/>
      <w:autoSpaceDN/>
      <w:adjustRightInd/>
      <w:textAlignment w:val="auto"/>
    </w:pPr>
    <w:rPr>
      <w:b/>
      <w:bCs/>
      <w:kern w:val="2"/>
      <w:sz w:val="21"/>
      <w:szCs w:val="24"/>
    </w:rPr>
  </w:style>
  <w:style w:type="table" w:styleId="43">
    <w:name w:val="Table Grid"/>
    <w:basedOn w:val="42"/>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uiPriority w:val="0"/>
  </w:style>
  <w:style w:type="character" w:styleId="47">
    <w:name w:val="Hyperlink"/>
    <w:qFormat/>
    <w:uiPriority w:val="0"/>
    <w:rPr>
      <w:color w:val="0000FF"/>
      <w:u w:val="single"/>
    </w:rPr>
  </w:style>
  <w:style w:type="character" w:styleId="48">
    <w:name w:val="annotation reference"/>
    <w:qFormat/>
    <w:uiPriority w:val="0"/>
    <w:rPr>
      <w:sz w:val="21"/>
      <w:szCs w:val="21"/>
    </w:rPr>
  </w:style>
  <w:style w:type="character" w:customStyle="1" w:styleId="49">
    <w:name w:val="标题 1 字符"/>
    <w:basedOn w:val="44"/>
    <w:qFormat/>
    <w:uiPriority w:val="9"/>
    <w:rPr>
      <w:b/>
      <w:bCs/>
      <w:kern w:val="44"/>
      <w:sz w:val="44"/>
      <w:szCs w:val="44"/>
    </w:rPr>
  </w:style>
  <w:style w:type="character" w:customStyle="1" w:styleId="50">
    <w:name w:val="标题 2 字符"/>
    <w:basedOn w:val="44"/>
    <w:semiHidden/>
    <w:qFormat/>
    <w:uiPriority w:val="9"/>
    <w:rPr>
      <w:rFonts w:asciiTheme="majorHAnsi" w:hAnsiTheme="majorHAnsi" w:eastAsiaTheme="majorEastAsia" w:cstheme="majorBidi"/>
      <w:b/>
      <w:bCs/>
      <w:sz w:val="32"/>
      <w:szCs w:val="32"/>
    </w:rPr>
  </w:style>
  <w:style w:type="character" w:customStyle="1" w:styleId="51">
    <w:name w:val="标题 3 字符"/>
    <w:basedOn w:val="44"/>
    <w:semiHidden/>
    <w:uiPriority w:val="9"/>
    <w:rPr>
      <w:b/>
      <w:bCs/>
      <w:sz w:val="32"/>
      <w:szCs w:val="32"/>
    </w:rPr>
  </w:style>
  <w:style w:type="character" w:customStyle="1" w:styleId="52">
    <w:name w:val="标题 4 字符"/>
    <w:basedOn w:val="44"/>
    <w:semiHidden/>
    <w:qFormat/>
    <w:uiPriority w:val="9"/>
    <w:rPr>
      <w:rFonts w:asciiTheme="majorHAnsi" w:hAnsiTheme="majorHAnsi" w:eastAsiaTheme="majorEastAsia" w:cstheme="majorBidi"/>
      <w:b/>
      <w:bCs/>
      <w:sz w:val="28"/>
      <w:szCs w:val="28"/>
    </w:rPr>
  </w:style>
  <w:style w:type="character" w:customStyle="1" w:styleId="53">
    <w:name w:val="标题 5 字符"/>
    <w:basedOn w:val="44"/>
    <w:semiHidden/>
    <w:qFormat/>
    <w:uiPriority w:val="9"/>
    <w:rPr>
      <w:b/>
      <w:bCs/>
      <w:sz w:val="28"/>
      <w:szCs w:val="28"/>
    </w:rPr>
  </w:style>
  <w:style w:type="character" w:customStyle="1" w:styleId="54">
    <w:name w:val="标题 6 字符"/>
    <w:basedOn w:val="44"/>
    <w:semiHidden/>
    <w:qFormat/>
    <w:uiPriority w:val="9"/>
    <w:rPr>
      <w:rFonts w:asciiTheme="majorHAnsi" w:hAnsiTheme="majorHAnsi" w:eastAsiaTheme="majorEastAsia" w:cstheme="majorBidi"/>
      <w:b/>
      <w:bCs/>
      <w:sz w:val="24"/>
      <w:szCs w:val="24"/>
    </w:rPr>
  </w:style>
  <w:style w:type="character" w:customStyle="1" w:styleId="55">
    <w:name w:val="标题 7 字符"/>
    <w:basedOn w:val="44"/>
    <w:semiHidden/>
    <w:uiPriority w:val="9"/>
    <w:rPr>
      <w:b/>
      <w:bCs/>
      <w:sz w:val="24"/>
      <w:szCs w:val="24"/>
    </w:rPr>
  </w:style>
  <w:style w:type="character" w:customStyle="1" w:styleId="56">
    <w:name w:val="标题 8 字符"/>
    <w:basedOn w:val="44"/>
    <w:semiHidden/>
    <w:qFormat/>
    <w:uiPriority w:val="9"/>
    <w:rPr>
      <w:rFonts w:asciiTheme="majorHAnsi" w:hAnsiTheme="majorHAnsi" w:eastAsiaTheme="majorEastAsia" w:cstheme="majorBidi"/>
      <w:sz w:val="24"/>
      <w:szCs w:val="24"/>
    </w:rPr>
  </w:style>
  <w:style w:type="character" w:customStyle="1" w:styleId="57">
    <w:name w:val="标题 9 字符"/>
    <w:basedOn w:val="44"/>
    <w:semiHidden/>
    <w:qFormat/>
    <w:uiPriority w:val="9"/>
    <w:rPr>
      <w:rFonts w:asciiTheme="majorHAnsi" w:hAnsiTheme="majorHAnsi" w:eastAsiaTheme="majorEastAsia" w:cstheme="majorBidi"/>
      <w:szCs w:val="21"/>
    </w:rPr>
  </w:style>
  <w:style w:type="character" w:customStyle="1" w:styleId="58">
    <w:name w:val="标题 4 字符1"/>
    <w:link w:val="6"/>
    <w:qFormat/>
    <w:uiPriority w:val="0"/>
    <w:rPr>
      <w:rFonts w:ascii="Arial" w:hAnsi="Arial" w:eastAsia="黑体" w:cs="Times New Roman"/>
      <w:b/>
      <w:bCs/>
      <w:sz w:val="28"/>
      <w:szCs w:val="28"/>
    </w:rPr>
  </w:style>
  <w:style w:type="paragraph" w:customStyle="1" w:styleId="59">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60">
    <w:name w:val="标题 3 字符1"/>
    <w:link w:val="5"/>
    <w:qFormat/>
    <w:uiPriority w:val="0"/>
    <w:rPr>
      <w:rFonts w:ascii="宋体" w:hAnsi="宋体" w:eastAsia="宋体" w:cs="Times New Roman"/>
      <w:b/>
      <w:bCs/>
      <w:sz w:val="28"/>
      <w:szCs w:val="32"/>
    </w:rPr>
  </w:style>
  <w:style w:type="character" w:customStyle="1" w:styleId="61">
    <w:name w:val="标题 1 字符1"/>
    <w:link w:val="4"/>
    <w:qFormat/>
    <w:uiPriority w:val="0"/>
    <w:rPr>
      <w:rFonts w:ascii="宋体" w:hAnsi="宋体" w:eastAsia="黑体" w:cs="Times New Roman"/>
      <w:b/>
      <w:bCs/>
      <w:kern w:val="44"/>
      <w:sz w:val="28"/>
      <w:szCs w:val="44"/>
    </w:rPr>
  </w:style>
  <w:style w:type="character" w:customStyle="1" w:styleId="62">
    <w:name w:val="正文缩进 字符"/>
    <w:link w:val="9"/>
    <w:qFormat/>
    <w:uiPriority w:val="0"/>
    <w:rPr>
      <w:rFonts w:ascii="Times New Roman" w:hAnsi="Times New Roman" w:eastAsia="宋体" w:cs="Times New Roman"/>
      <w:szCs w:val="20"/>
    </w:rPr>
  </w:style>
  <w:style w:type="character" w:customStyle="1" w:styleId="63">
    <w:name w:val="标题 字符"/>
    <w:basedOn w:val="44"/>
    <w:uiPriority w:val="10"/>
    <w:rPr>
      <w:rFonts w:asciiTheme="majorHAnsi" w:hAnsiTheme="majorHAnsi" w:eastAsiaTheme="majorEastAsia" w:cstheme="majorBidi"/>
      <w:b/>
      <w:bCs/>
      <w:sz w:val="32"/>
      <w:szCs w:val="32"/>
    </w:rPr>
  </w:style>
  <w:style w:type="character" w:customStyle="1" w:styleId="64">
    <w:name w:val="日期 字符"/>
    <w:basedOn w:val="44"/>
    <w:semiHidden/>
    <w:uiPriority w:val="99"/>
  </w:style>
  <w:style w:type="character" w:customStyle="1" w:styleId="65">
    <w:name w:val="HTML 预设格式 字符"/>
    <w:basedOn w:val="44"/>
    <w:semiHidden/>
    <w:qFormat/>
    <w:uiPriority w:val="99"/>
    <w:rPr>
      <w:rFonts w:ascii="Courier New" w:hAnsi="Courier New" w:cs="Courier New"/>
      <w:sz w:val="20"/>
      <w:szCs w:val="20"/>
    </w:rPr>
  </w:style>
  <w:style w:type="character" w:customStyle="1" w:styleId="66">
    <w:name w:val="纯文本 字符"/>
    <w:basedOn w:val="44"/>
    <w:semiHidden/>
    <w:uiPriority w:val="99"/>
    <w:rPr>
      <w:rFonts w:hAnsi="Courier New" w:cs="Courier New" w:asciiTheme="minorEastAsia"/>
    </w:rPr>
  </w:style>
  <w:style w:type="character" w:customStyle="1" w:styleId="67">
    <w:name w:val="正文文本缩进 字符"/>
    <w:basedOn w:val="44"/>
    <w:semiHidden/>
    <w:uiPriority w:val="99"/>
  </w:style>
  <w:style w:type="character" w:customStyle="1" w:styleId="68">
    <w:name w:val="正文文本 字符"/>
    <w:basedOn w:val="44"/>
    <w:semiHidden/>
    <w:uiPriority w:val="99"/>
  </w:style>
  <w:style w:type="character" w:customStyle="1" w:styleId="69">
    <w:name w:val="正文文本缩进 2 字符"/>
    <w:basedOn w:val="44"/>
    <w:semiHidden/>
    <w:uiPriority w:val="99"/>
  </w:style>
  <w:style w:type="character" w:customStyle="1" w:styleId="70">
    <w:name w:val="页眉 字符"/>
    <w:basedOn w:val="44"/>
    <w:semiHidden/>
    <w:qFormat/>
    <w:uiPriority w:val="99"/>
    <w:rPr>
      <w:sz w:val="18"/>
      <w:szCs w:val="18"/>
    </w:rPr>
  </w:style>
  <w:style w:type="character" w:customStyle="1" w:styleId="71">
    <w:name w:val="批注文字 字符"/>
    <w:basedOn w:val="44"/>
    <w:semiHidden/>
    <w:uiPriority w:val="99"/>
  </w:style>
  <w:style w:type="character" w:customStyle="1" w:styleId="72">
    <w:name w:val="正文文本缩进 3 字符"/>
    <w:basedOn w:val="44"/>
    <w:semiHidden/>
    <w:qFormat/>
    <w:uiPriority w:val="99"/>
    <w:rPr>
      <w:sz w:val="16"/>
      <w:szCs w:val="16"/>
    </w:rPr>
  </w:style>
  <w:style w:type="character" w:customStyle="1" w:styleId="73">
    <w:name w:val="正文文本 2 字符"/>
    <w:basedOn w:val="44"/>
    <w:semiHidden/>
    <w:uiPriority w:val="99"/>
  </w:style>
  <w:style w:type="character" w:customStyle="1" w:styleId="74">
    <w:name w:val="页脚 字符"/>
    <w:basedOn w:val="44"/>
    <w:semiHidden/>
    <w:qFormat/>
    <w:uiPriority w:val="99"/>
    <w:rPr>
      <w:sz w:val="18"/>
      <w:szCs w:val="18"/>
    </w:rPr>
  </w:style>
  <w:style w:type="character" w:customStyle="1" w:styleId="75">
    <w:name w:val="已访问的超链接1"/>
    <w:uiPriority w:val="0"/>
    <w:rPr>
      <w:color w:val="800080"/>
      <w:u w:val="single"/>
    </w:rPr>
  </w:style>
  <w:style w:type="character" w:customStyle="1" w:styleId="76">
    <w:name w:val="文档结构图 字符"/>
    <w:basedOn w:val="44"/>
    <w:link w:val="17"/>
    <w:semiHidden/>
    <w:uiPriority w:val="0"/>
    <w:rPr>
      <w:rFonts w:ascii="Times New Roman" w:hAnsi="Times New Roman" w:eastAsia="宋体" w:cs="Times New Roman"/>
      <w:szCs w:val="24"/>
      <w:shd w:val="clear" w:color="auto" w:fill="000080"/>
    </w:rPr>
  </w:style>
  <w:style w:type="character" w:customStyle="1" w:styleId="77">
    <w:name w:val="标题 3 Char"/>
    <w:uiPriority w:val="0"/>
    <w:rPr>
      <w:rFonts w:ascii="黑体" w:eastAsia="黑体"/>
      <w:bCs/>
      <w:sz w:val="30"/>
    </w:rPr>
  </w:style>
  <w:style w:type="character" w:customStyle="1" w:styleId="78">
    <w:name w:val="正文文本 3 字符"/>
    <w:basedOn w:val="44"/>
    <w:semiHidden/>
    <w:uiPriority w:val="99"/>
    <w:rPr>
      <w:sz w:val="16"/>
      <w:szCs w:val="16"/>
    </w:rPr>
  </w:style>
  <w:style w:type="paragraph" w:customStyle="1" w:styleId="79">
    <w:name w:val="样式41"/>
    <w:basedOn w:val="1"/>
    <w:uiPriority w:val="0"/>
    <w:pPr>
      <w:numPr>
        <w:ilvl w:val="0"/>
        <w:numId w:val="2"/>
      </w:numPr>
      <w:tabs>
        <w:tab w:val="left" w:pos="945"/>
      </w:tabs>
      <w:spacing w:line="360" w:lineRule="auto"/>
    </w:pPr>
    <w:rPr>
      <w:rFonts w:ascii="Times New Roman" w:hAnsi="Times New Roman" w:eastAsia="宋体" w:cs="Times New Roman"/>
      <w:b/>
      <w:color w:val="000000"/>
      <w:sz w:val="24"/>
      <w:szCs w:val="20"/>
    </w:rPr>
  </w:style>
  <w:style w:type="paragraph" w:customStyle="1" w:styleId="80">
    <w:name w:val="图"/>
    <w:basedOn w:val="1"/>
    <w:uiPriority w:val="0"/>
    <w:pPr>
      <w:keepNext/>
      <w:adjustRightInd w:val="0"/>
      <w:snapToGrid w:val="0"/>
      <w:spacing w:before="60" w:after="60" w:line="300" w:lineRule="auto"/>
      <w:jc w:val="center"/>
    </w:pPr>
    <w:rPr>
      <w:rFonts w:ascii="Times New Roman" w:hAnsi="Times New Roman" w:eastAsia="宋体" w:cs="Times New Roman"/>
      <w:spacing w:val="20"/>
      <w:kern w:val="0"/>
      <w:sz w:val="24"/>
      <w:szCs w:val="20"/>
    </w:rPr>
  </w:style>
  <w:style w:type="paragraph" w:customStyle="1" w:styleId="81">
    <w:name w:val="文档正文"/>
    <w:basedOn w:val="1"/>
    <w:uiPriority w:val="0"/>
    <w:pPr>
      <w:adjustRightInd w:val="0"/>
      <w:spacing w:line="480" w:lineRule="atLeast"/>
      <w:ind w:firstLine="567" w:firstLineChars="200"/>
      <w:textAlignment w:val="baseline"/>
    </w:pPr>
    <w:rPr>
      <w:rFonts w:ascii="长城仿宋" w:hAnsi="Times New Roman" w:eastAsia="宋体" w:cs="Times New Roman"/>
      <w:kern w:val="0"/>
      <w:szCs w:val="20"/>
    </w:rPr>
  </w:style>
  <w:style w:type="paragraph" w:customStyle="1" w:styleId="82">
    <w:name w:val="Char Char Char Char"/>
    <w:basedOn w:val="1"/>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3">
    <w:name w:val="Char3"/>
    <w:basedOn w:val="1"/>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4">
    <w:name w:val="Char Char Char Char1"/>
    <w:basedOn w:val="1"/>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5">
    <w:name w:val="Table Contents"/>
    <w:basedOn w:val="1"/>
    <w:qFormat/>
    <w:uiPriority w:val="0"/>
    <w:pPr>
      <w:suppressAutoHyphens/>
      <w:autoSpaceDE w:val="0"/>
      <w:spacing w:after="120"/>
      <w:jc w:val="left"/>
    </w:pPr>
    <w:rPr>
      <w:rFonts w:ascii="Helvetica" w:hAnsi="Helvetica" w:eastAsia="宋体" w:cs="Times New Roman"/>
      <w:kern w:val="1"/>
      <w:sz w:val="20"/>
      <w:szCs w:val="20"/>
    </w:rPr>
  </w:style>
  <w:style w:type="paragraph" w:customStyle="1" w:styleId="86">
    <w:name w:val="自定义正文"/>
    <w:basedOn w:val="1"/>
    <w:uiPriority w:val="0"/>
    <w:pPr>
      <w:spacing w:afterLines="50"/>
      <w:ind w:left="600" w:leftChars="600"/>
    </w:pPr>
    <w:rPr>
      <w:rFonts w:ascii="Times New Roman" w:hAnsi="Times New Roman" w:eastAsia="宋体" w:cs="Times New Roman"/>
      <w:szCs w:val="24"/>
    </w:rPr>
  </w:style>
  <w:style w:type="paragraph" w:customStyle="1" w:styleId="87">
    <w:name w:val="Char Char Char Char Char"/>
    <w:basedOn w:val="1"/>
    <w:uiPriority w:val="0"/>
    <w:rPr>
      <w:rFonts w:ascii="Tahoma" w:hAnsi="Tahoma" w:eastAsia="宋体" w:cs="Times New Roman"/>
      <w:sz w:val="24"/>
      <w:szCs w:val="20"/>
    </w:rPr>
  </w:style>
  <w:style w:type="paragraph" w:customStyle="1" w:styleId="88">
    <w:name w:val="小标题 1"/>
    <w:basedOn w:val="1"/>
    <w:qFormat/>
    <w:uiPriority w:val="0"/>
    <w:pPr>
      <w:autoSpaceDE w:val="0"/>
      <w:autoSpaceDN w:val="0"/>
      <w:adjustRightInd w:val="0"/>
      <w:spacing w:line="360" w:lineRule="atLeast"/>
    </w:pPr>
    <w:rPr>
      <w:rFonts w:ascii="文鼎粗黑" w:hAnsi="Times New Roman" w:eastAsia="文鼎粗黑" w:cs="Times New Roman"/>
      <w:kern w:val="0"/>
      <w:sz w:val="22"/>
      <w:szCs w:val="20"/>
    </w:rPr>
  </w:style>
  <w:style w:type="paragraph" w:customStyle="1" w:styleId="89">
    <w:name w:val="Char Char"/>
    <w:basedOn w:val="1"/>
    <w:qFormat/>
    <w:uiPriority w:val="0"/>
    <w:rPr>
      <w:rFonts w:ascii="Tahoma" w:hAnsi="Tahoma" w:eastAsia="宋体" w:cs="Times New Roman"/>
      <w:sz w:val="24"/>
      <w:szCs w:val="20"/>
    </w:rPr>
  </w:style>
  <w:style w:type="paragraph" w:customStyle="1" w:styleId="90">
    <w:name w:val="È±Ê¡ÎÄ±¾"/>
    <w:basedOn w:val="1"/>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character" w:customStyle="1" w:styleId="91">
    <w:name w:val="标题 2 字符1"/>
    <w:link w:val="7"/>
    <w:qFormat/>
    <w:uiPriority w:val="0"/>
    <w:rPr>
      <w:rFonts w:ascii="宋体" w:hAnsi="宋体" w:eastAsia="宋体" w:cs="Times New Roman"/>
      <w:b/>
      <w:bCs/>
      <w:kern w:val="0"/>
      <w:sz w:val="24"/>
      <w:szCs w:val="20"/>
    </w:rPr>
  </w:style>
  <w:style w:type="paragraph" w:customStyle="1" w:styleId="92">
    <w:name w:val="Char Char Char Char Char Char1 Char"/>
    <w:basedOn w:val="1"/>
    <w:uiPriority w:val="0"/>
    <w:pPr>
      <w:widowControl/>
      <w:spacing w:after="160" w:line="240" w:lineRule="exact"/>
      <w:jc w:val="left"/>
    </w:pPr>
    <w:rPr>
      <w:rFonts w:ascii="Verdana" w:hAnsi="Verdana" w:eastAsia="宋体" w:cs="Times New Roman"/>
      <w:kern w:val="0"/>
      <w:szCs w:val="20"/>
      <w:lang w:eastAsia="en-US"/>
    </w:rPr>
  </w:style>
  <w:style w:type="paragraph" w:customStyle="1" w:styleId="93">
    <w:name w:val="列出段落1"/>
    <w:basedOn w:val="1"/>
    <w:qFormat/>
    <w:uiPriority w:val="34"/>
    <w:pPr>
      <w:ind w:firstLine="420" w:firstLineChars="200"/>
    </w:pPr>
    <w:rPr>
      <w:rFonts w:ascii="Calibri" w:hAnsi="Calibri" w:eastAsia="宋体" w:cs="Times New Roman"/>
    </w:rPr>
  </w:style>
  <w:style w:type="paragraph" w:customStyle="1" w:styleId="94">
    <w:name w:val="USE 1"/>
    <w:basedOn w:val="1"/>
    <w:uiPriority w:val="0"/>
    <w:pPr>
      <w:spacing w:line="200" w:lineRule="atLeast"/>
      <w:jc w:val="left"/>
    </w:pPr>
    <w:rPr>
      <w:rFonts w:ascii="宋体" w:hAnsi="宋体" w:eastAsia="宋体" w:cs="Times New Roman"/>
      <w:b/>
      <w:sz w:val="24"/>
      <w:szCs w:val="28"/>
    </w:rPr>
  </w:style>
  <w:style w:type="paragraph" w:customStyle="1" w:styleId="95">
    <w:name w:val="RFI text from 3rd Level"/>
    <w:basedOn w:val="1"/>
    <w:uiPriority w:val="0"/>
    <w:pPr>
      <w:widowControl/>
      <w:numPr>
        <w:ilvl w:val="0"/>
        <w:numId w:val="3"/>
      </w:numPr>
      <w:tabs>
        <w:tab w:val="left" w:pos="1080"/>
        <w:tab w:val="clear" w:pos="840"/>
      </w:tabs>
      <w:spacing w:beforeLines="50" w:line="360" w:lineRule="auto"/>
      <w:ind w:left="0" w:firstLine="0"/>
    </w:pPr>
    <w:rPr>
      <w:rFonts w:ascii="Arial (W1)" w:hAnsi="Arial (W1)" w:eastAsia="宋体" w:cs="Times New Roman"/>
      <w:bCs/>
      <w:kern w:val="0"/>
      <w:sz w:val="24"/>
      <w:szCs w:val="24"/>
      <w:lang w:val="en-GB"/>
    </w:rPr>
  </w:style>
  <w:style w:type="paragraph" w:customStyle="1" w:styleId="96">
    <w:name w:val="正文文字缩进项目"/>
    <w:basedOn w:val="20"/>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97">
    <w:name w:val="样式 标题 2 + 段前: 13 磅 段后: 13 磅 行距: 单倍行距"/>
    <w:basedOn w:val="7"/>
    <w:uiPriority w:val="0"/>
    <w:pPr>
      <w:adjustRightInd/>
      <w:spacing w:before="0" w:after="0"/>
      <w:jc w:val="both"/>
      <w:textAlignment w:val="auto"/>
    </w:pPr>
    <w:rPr>
      <w:rFonts w:ascii="Cambria" w:hAnsi="Cambria" w:cs="宋体"/>
      <w:kern w:val="2"/>
      <w:sz w:val="32"/>
    </w:rPr>
  </w:style>
  <w:style w:type="character" w:customStyle="1" w:styleId="98">
    <w:name w:val="H4 Char2"/>
    <w:uiPriority w:val="0"/>
    <w:rPr>
      <w:rFonts w:ascii="Arial" w:hAnsi="Arial" w:eastAsia="黑体"/>
      <w:b/>
      <w:bCs/>
      <w:kern w:val="2"/>
      <w:sz w:val="28"/>
      <w:szCs w:val="28"/>
      <w:lang w:val="en-US" w:eastAsia="zh-CN" w:bidi="ar-SA"/>
    </w:rPr>
  </w:style>
  <w:style w:type="character" w:customStyle="1" w:styleId="99">
    <w:name w:val="正文文本缩进 字符1"/>
    <w:link w:val="20"/>
    <w:qFormat/>
    <w:uiPriority w:val="0"/>
    <w:rPr>
      <w:rFonts w:ascii="Times New Roman" w:hAnsi="Times New Roman" w:eastAsia="宋体" w:cs="Times New Roman"/>
      <w:szCs w:val="24"/>
    </w:rPr>
  </w:style>
  <w:style w:type="character" w:customStyle="1" w:styleId="100">
    <w:name w:val="标题 5 字符1"/>
    <w:link w:val="8"/>
    <w:uiPriority w:val="0"/>
    <w:rPr>
      <w:rFonts w:ascii="Times New Roman" w:hAnsi="Times New Roman" w:eastAsia="宋体" w:cs="Times New Roman"/>
      <w:b/>
      <w:sz w:val="28"/>
      <w:szCs w:val="20"/>
    </w:rPr>
  </w:style>
  <w:style w:type="character" w:customStyle="1" w:styleId="101">
    <w:name w:val="第*章 Char"/>
    <w:qFormat/>
    <w:uiPriority w:val="0"/>
    <w:rPr>
      <w:rFonts w:ascii="Arial" w:hAnsi="Arial" w:eastAsia="黑体"/>
      <w:b/>
      <w:bCs/>
      <w:kern w:val="2"/>
      <w:sz w:val="32"/>
      <w:szCs w:val="32"/>
    </w:rPr>
  </w:style>
  <w:style w:type="character" w:customStyle="1" w:styleId="102">
    <w:name w:val="章标题1 Char"/>
    <w:uiPriority w:val="0"/>
    <w:rPr>
      <w:rFonts w:eastAsia="宋体"/>
      <w:b/>
      <w:bCs/>
      <w:kern w:val="2"/>
      <w:sz w:val="32"/>
      <w:szCs w:val="32"/>
      <w:lang w:val="en-US" w:eastAsia="zh-CN" w:bidi="ar-SA"/>
    </w:rPr>
  </w:style>
  <w:style w:type="character" w:customStyle="1" w:styleId="103">
    <w:name w:val="标题 6 字符1"/>
    <w:link w:val="10"/>
    <w:qFormat/>
    <w:uiPriority w:val="0"/>
    <w:rPr>
      <w:rFonts w:ascii="Arial" w:hAnsi="Arial" w:eastAsia="黑体" w:cs="Times New Roman"/>
      <w:b/>
      <w:sz w:val="24"/>
      <w:szCs w:val="20"/>
    </w:rPr>
  </w:style>
  <w:style w:type="character" w:customStyle="1" w:styleId="104">
    <w:name w:val="标题 7 字符1"/>
    <w:link w:val="11"/>
    <w:uiPriority w:val="0"/>
    <w:rPr>
      <w:rFonts w:ascii="Times New Roman" w:hAnsi="Times New Roman" w:eastAsia="宋体" w:cs="Times New Roman"/>
      <w:b/>
      <w:sz w:val="24"/>
      <w:szCs w:val="20"/>
    </w:rPr>
  </w:style>
  <w:style w:type="character" w:customStyle="1" w:styleId="105">
    <w:name w:val="标题 8 字符1"/>
    <w:link w:val="12"/>
    <w:uiPriority w:val="0"/>
    <w:rPr>
      <w:rFonts w:ascii="Arial" w:hAnsi="Arial" w:eastAsia="黑体" w:cs="Times New Roman"/>
      <w:sz w:val="24"/>
      <w:szCs w:val="20"/>
    </w:rPr>
  </w:style>
  <w:style w:type="character" w:customStyle="1" w:styleId="106">
    <w:name w:val="标题 9 字符1"/>
    <w:link w:val="13"/>
    <w:uiPriority w:val="0"/>
    <w:rPr>
      <w:rFonts w:ascii="Arial" w:hAnsi="Arial" w:eastAsia="黑体" w:cs="Times New Roman"/>
      <w:szCs w:val="20"/>
    </w:rPr>
  </w:style>
  <w:style w:type="character" w:customStyle="1" w:styleId="107">
    <w:name w:val="标题 字符1"/>
    <w:link w:val="40"/>
    <w:uiPriority w:val="0"/>
    <w:rPr>
      <w:rFonts w:ascii="Arial" w:hAnsi="Arial" w:eastAsia="隶书" w:cs="Arial"/>
      <w:b/>
      <w:bCs/>
      <w:sz w:val="32"/>
      <w:szCs w:val="32"/>
    </w:rPr>
  </w:style>
  <w:style w:type="character" w:customStyle="1" w:styleId="108">
    <w:name w:val="日期 字符1"/>
    <w:link w:val="25"/>
    <w:qFormat/>
    <w:uiPriority w:val="0"/>
    <w:rPr>
      <w:rFonts w:ascii="宋体" w:hAnsi="Courier New" w:eastAsia="宋体" w:cs="Times New Roman"/>
      <w:sz w:val="32"/>
      <w:szCs w:val="20"/>
    </w:rPr>
  </w:style>
  <w:style w:type="character" w:customStyle="1" w:styleId="109">
    <w:name w:val="HTML 预设格式 字符1"/>
    <w:link w:val="37"/>
    <w:uiPriority w:val="0"/>
    <w:rPr>
      <w:rFonts w:ascii="Arial Unicode MS" w:hAnsi="Arial Unicode MS" w:eastAsia="Arial Unicode MS" w:cs="Times New Roman"/>
      <w:color w:val="000000"/>
      <w:kern w:val="0"/>
      <w:sz w:val="20"/>
      <w:szCs w:val="20"/>
    </w:rPr>
  </w:style>
  <w:style w:type="character" w:customStyle="1" w:styleId="110">
    <w:name w:val="纯文本 字符1"/>
    <w:link w:val="23"/>
    <w:uiPriority w:val="0"/>
    <w:rPr>
      <w:rFonts w:ascii="宋体" w:hAnsi="Courier New" w:eastAsia="宋体" w:cs="Times New Roman"/>
      <w:szCs w:val="20"/>
    </w:rPr>
  </w:style>
  <w:style w:type="character" w:customStyle="1" w:styleId="111">
    <w:name w:val="正文文字首行缩进 Char"/>
    <w:uiPriority w:val="0"/>
    <w:rPr>
      <w:kern w:val="2"/>
      <w:sz w:val="21"/>
      <w:szCs w:val="24"/>
    </w:rPr>
  </w:style>
  <w:style w:type="character" w:customStyle="1" w:styleId="112">
    <w:name w:val="正文文本 字符1"/>
    <w:link w:val="3"/>
    <w:uiPriority w:val="0"/>
    <w:rPr>
      <w:rFonts w:ascii="Times New Roman" w:hAnsi="Times New Roman" w:eastAsia="宋体" w:cs="Times New Roman"/>
      <w:b/>
      <w:bCs/>
      <w:sz w:val="24"/>
      <w:szCs w:val="24"/>
    </w:rPr>
  </w:style>
  <w:style w:type="character" w:customStyle="1" w:styleId="113">
    <w:name w:val="正文文本缩进 2 字符1"/>
    <w:link w:val="26"/>
    <w:uiPriority w:val="0"/>
    <w:rPr>
      <w:rFonts w:ascii="宋体" w:hAnsi="宋体" w:eastAsia="宋体" w:cs="Times New Roman"/>
      <w:szCs w:val="24"/>
    </w:rPr>
  </w:style>
  <w:style w:type="character" w:customStyle="1" w:styleId="114">
    <w:name w:val="页眉 字符1"/>
    <w:link w:val="29"/>
    <w:uiPriority w:val="0"/>
    <w:rPr>
      <w:rFonts w:ascii="Times New Roman" w:hAnsi="Times New Roman" w:eastAsia="宋体" w:cs="Times New Roman"/>
      <w:sz w:val="18"/>
      <w:szCs w:val="18"/>
    </w:rPr>
  </w:style>
  <w:style w:type="character" w:customStyle="1" w:styleId="115">
    <w:name w:val="正文文本缩进 3 字符1"/>
    <w:link w:val="33"/>
    <w:uiPriority w:val="0"/>
    <w:rPr>
      <w:rFonts w:ascii="宋体" w:hAnsi="Times New Roman" w:eastAsia="宋体" w:cs="Times New Roman"/>
      <w:b/>
      <w:bCs/>
      <w:sz w:val="24"/>
      <w:szCs w:val="24"/>
    </w:rPr>
  </w:style>
  <w:style w:type="character" w:customStyle="1" w:styleId="116">
    <w:name w:val="正文文本 2 字符1"/>
    <w:link w:val="36"/>
    <w:uiPriority w:val="0"/>
    <w:rPr>
      <w:rFonts w:ascii="Times New Roman" w:hAnsi="Times New Roman" w:eastAsia="宋体" w:cs="Times New Roman"/>
      <w:sz w:val="24"/>
      <w:szCs w:val="24"/>
    </w:rPr>
  </w:style>
  <w:style w:type="character" w:customStyle="1" w:styleId="117">
    <w:name w:val="页脚 字符1"/>
    <w:link w:val="28"/>
    <w:uiPriority w:val="0"/>
    <w:rPr>
      <w:rFonts w:ascii="Times New Roman" w:hAnsi="Times New Roman" w:eastAsia="宋体" w:cs="Times New Roman"/>
      <w:sz w:val="18"/>
      <w:szCs w:val="18"/>
    </w:rPr>
  </w:style>
  <w:style w:type="character" w:customStyle="1" w:styleId="118">
    <w:name w:val="正文文本 3 字符1"/>
    <w:link w:val="19"/>
    <w:uiPriority w:val="0"/>
    <w:rPr>
      <w:rFonts w:ascii="Times New Roman" w:hAnsi="Times New Roman" w:eastAsia="宋体" w:cs="Times New Roman"/>
      <w:sz w:val="16"/>
      <w:szCs w:val="16"/>
    </w:rPr>
  </w:style>
  <w:style w:type="character" w:customStyle="1" w:styleId="119">
    <w:name w:val="批注框文本 字符"/>
    <w:basedOn w:val="44"/>
    <w:semiHidden/>
    <w:uiPriority w:val="99"/>
    <w:rPr>
      <w:sz w:val="18"/>
      <w:szCs w:val="18"/>
    </w:rPr>
  </w:style>
  <w:style w:type="character" w:customStyle="1" w:styleId="120">
    <w:name w:val="批注框文本 字符1"/>
    <w:link w:val="27"/>
    <w:semiHidden/>
    <w:uiPriority w:val="0"/>
    <w:rPr>
      <w:rFonts w:ascii="Times New Roman" w:hAnsi="Times New Roman" w:eastAsia="宋体" w:cs="Times New Roman"/>
      <w:sz w:val="18"/>
      <w:szCs w:val="18"/>
    </w:rPr>
  </w:style>
  <w:style w:type="paragraph" w:customStyle="1" w:styleId="121">
    <w:name w:val="样式1"/>
    <w:basedOn w:val="40"/>
    <w:uiPriority w:val="0"/>
    <w:pPr>
      <w:spacing w:before="120" w:after="120"/>
    </w:pPr>
    <w:rPr>
      <w:rFonts w:eastAsia="黑体"/>
      <w:b w:val="0"/>
      <w:sz w:val="30"/>
      <w:szCs w:val="21"/>
    </w:rPr>
  </w:style>
  <w:style w:type="paragraph" w:customStyle="1" w:styleId="122">
    <w:name w:val="样式2"/>
    <w:basedOn w:val="40"/>
    <w:next w:val="121"/>
    <w:uiPriority w:val="0"/>
    <w:pPr>
      <w:spacing w:before="120" w:after="120"/>
    </w:pPr>
    <w:rPr>
      <w:rFonts w:eastAsia="黑体"/>
      <w:b w:val="0"/>
      <w:sz w:val="30"/>
      <w:szCs w:val="30"/>
    </w:rPr>
  </w:style>
  <w:style w:type="character" w:customStyle="1" w:styleId="123">
    <w:name w:val="标题 3 Char Char"/>
    <w:uiPriority w:val="0"/>
    <w:rPr>
      <w:rFonts w:eastAsia="宋体"/>
      <w:b/>
      <w:bCs/>
      <w:kern w:val="2"/>
      <w:sz w:val="32"/>
      <w:szCs w:val="32"/>
      <w:lang w:val="en-US" w:eastAsia="zh-CN" w:bidi="ar-SA"/>
    </w:rPr>
  </w:style>
  <w:style w:type="paragraph" w:customStyle="1" w:styleId="124">
    <w:name w:val="Char Char Char Char Char Char1 Char Char Char Char Char Char Char Char Char Char Char Char Char"/>
    <w:basedOn w:val="1"/>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25">
    <w:name w:val="cont"/>
    <w:basedOn w:val="1"/>
    <w:uiPriority w:val="0"/>
    <w:pPr>
      <w:adjustRightInd w:val="0"/>
      <w:spacing w:before="100" w:after="100" w:line="360" w:lineRule="auto"/>
      <w:ind w:firstLine="200" w:firstLineChars="200"/>
      <w:jc w:val="left"/>
      <w:textAlignment w:val="baseline"/>
    </w:pPr>
    <w:rPr>
      <w:rFonts w:ascii="Arial" w:hAnsi="Arial" w:eastAsia="宋体" w:cs="Times New Roman"/>
      <w:kern w:val="0"/>
      <w:sz w:val="24"/>
      <w:szCs w:val="20"/>
    </w:rPr>
  </w:style>
  <w:style w:type="paragraph" w:customStyle="1" w:styleId="126">
    <w:name w:val="--规划正文"/>
    <w:basedOn w:val="1"/>
    <w:uiPriority w:val="0"/>
    <w:pPr>
      <w:spacing w:line="360" w:lineRule="auto"/>
      <w:ind w:firstLine="200" w:firstLineChars="200"/>
    </w:pPr>
    <w:rPr>
      <w:rFonts w:ascii="Times New Roman" w:hAnsi="Times New Roman" w:eastAsia="宋体" w:cs="Times New Roman"/>
      <w:szCs w:val="20"/>
    </w:rPr>
  </w:style>
  <w:style w:type="paragraph" w:customStyle="1" w:styleId="127">
    <w:name w:val="设计依据"/>
    <w:basedOn w:val="3"/>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28">
    <w:name w:val="方案要点"/>
    <w:basedOn w:val="1"/>
    <w:uiPriority w:val="0"/>
    <w:pPr>
      <w:numPr>
        <w:ilvl w:val="0"/>
        <w:numId w:val="4"/>
      </w:numPr>
      <w:spacing w:line="360" w:lineRule="auto"/>
    </w:pPr>
    <w:rPr>
      <w:rFonts w:ascii="仿宋_GB2312" w:hAnsi="宋体" w:eastAsia="仿宋_GB2312" w:cs="Times New Roman"/>
      <w:color w:val="000000"/>
      <w:sz w:val="28"/>
      <w:szCs w:val="28"/>
    </w:rPr>
  </w:style>
  <w:style w:type="paragraph" w:customStyle="1" w:styleId="129">
    <w:name w:val="样式4"/>
    <w:basedOn w:val="1"/>
    <w:uiPriority w:val="0"/>
    <w:pPr>
      <w:tabs>
        <w:tab w:val="left" w:pos="842"/>
      </w:tabs>
      <w:spacing w:line="360" w:lineRule="auto"/>
      <w:ind w:left="842" w:hanging="420"/>
    </w:pPr>
    <w:rPr>
      <w:rFonts w:ascii="Times New Roman" w:hAnsi="Times New Roman" w:eastAsia="宋体" w:cs="Times New Roman"/>
      <w:sz w:val="24"/>
      <w:szCs w:val="24"/>
    </w:rPr>
  </w:style>
  <w:style w:type="paragraph" w:customStyle="1" w:styleId="130">
    <w:name w:val="文字"/>
    <w:basedOn w:val="1"/>
    <w:uiPriority w:val="0"/>
    <w:pPr>
      <w:tabs>
        <w:tab w:val="left" w:pos="8520"/>
      </w:tabs>
      <w:spacing w:line="312" w:lineRule="auto"/>
      <w:ind w:right="-210" w:firstLine="556"/>
    </w:pPr>
    <w:rPr>
      <w:rFonts w:ascii="宋体" w:hAnsi="Times New Roman" w:eastAsia="宋体" w:cs="Times New Roman"/>
      <w:sz w:val="28"/>
      <w:szCs w:val="20"/>
    </w:rPr>
  </w:style>
  <w:style w:type="paragraph" w:customStyle="1" w:styleId="131">
    <w:name w:val="--规划-表格-居左"/>
    <w:basedOn w:val="126"/>
    <w:uiPriority w:val="0"/>
    <w:pPr>
      <w:spacing w:line="240" w:lineRule="auto"/>
      <w:ind w:firstLine="0" w:firstLineChars="0"/>
    </w:pPr>
    <w:rPr>
      <w:sz w:val="20"/>
    </w:rPr>
  </w:style>
  <w:style w:type="paragraph" w:customStyle="1" w:styleId="132">
    <w:name w:val="--规划-表格-居中"/>
    <w:basedOn w:val="126"/>
    <w:uiPriority w:val="0"/>
    <w:pPr>
      <w:spacing w:line="240" w:lineRule="auto"/>
      <w:ind w:firstLine="0" w:firstLineChars="0"/>
      <w:jc w:val="center"/>
    </w:pPr>
    <w:rPr>
      <w:sz w:val="20"/>
    </w:rPr>
  </w:style>
  <w:style w:type="paragraph" w:customStyle="1" w:styleId="133">
    <w:name w:val="--编号内缩进"/>
    <w:basedOn w:val="1"/>
    <w:uiPriority w:val="0"/>
    <w:pPr>
      <w:spacing w:line="360" w:lineRule="auto"/>
      <w:ind w:left="420" w:firstLine="200" w:firstLineChars="200"/>
    </w:pPr>
    <w:rPr>
      <w:rFonts w:ascii="Times New Roman" w:hAnsi="Times New Roman" w:eastAsia="宋体" w:cs="Times New Roman"/>
      <w:szCs w:val="21"/>
    </w:rPr>
  </w:style>
  <w:style w:type="paragraph" w:customStyle="1" w:styleId="134">
    <w:name w:val="--规划-题注"/>
    <w:basedOn w:val="1"/>
    <w:next w:val="126"/>
    <w:uiPriority w:val="0"/>
    <w:pPr>
      <w:spacing w:line="360" w:lineRule="auto"/>
      <w:jc w:val="center"/>
    </w:pPr>
    <w:rPr>
      <w:rFonts w:ascii="Times New Roman" w:hAnsi="Times New Roman" w:eastAsia="黑体" w:cs="Times New Roman"/>
      <w:szCs w:val="24"/>
    </w:rPr>
  </w:style>
  <w:style w:type="paragraph" w:customStyle="1" w:styleId="135">
    <w:name w:val="--规划-图和表"/>
    <w:next w:val="126"/>
    <w:uiPriority w:val="0"/>
    <w:pPr>
      <w:jc w:val="center"/>
    </w:pPr>
    <w:rPr>
      <w:rFonts w:ascii="Times New Roman" w:hAnsi="Times New Roman" w:eastAsia="宋体" w:cs="Times New Roman"/>
      <w:kern w:val="2"/>
      <w:sz w:val="21"/>
      <w:lang w:val="en-US" w:eastAsia="zh-CN" w:bidi="ar-SA"/>
    </w:rPr>
  </w:style>
  <w:style w:type="paragraph" w:customStyle="1" w:styleId="136">
    <w:name w:val="--规划-小标题"/>
    <w:basedOn w:val="1"/>
    <w:next w:val="126"/>
    <w:uiPriority w:val="0"/>
    <w:pPr>
      <w:keepNext/>
      <w:keepLines/>
      <w:spacing w:line="360" w:lineRule="auto"/>
      <w:outlineLvl w:val="4"/>
    </w:pPr>
    <w:rPr>
      <w:rFonts w:ascii="Times New Roman" w:hAnsi="Times New Roman" w:eastAsia="黑体" w:cs="Times New Roman"/>
      <w:szCs w:val="24"/>
    </w:rPr>
  </w:style>
  <w:style w:type="paragraph" w:customStyle="1" w:styleId="137">
    <w:name w:val="--规划正文 Char"/>
    <w:basedOn w:val="1"/>
    <w:uiPriority w:val="0"/>
    <w:pPr>
      <w:spacing w:line="360" w:lineRule="auto"/>
      <w:ind w:firstLine="200" w:firstLineChars="200"/>
    </w:pPr>
    <w:rPr>
      <w:rFonts w:ascii="Times New Roman" w:hAnsi="Times New Roman" w:eastAsia="宋体" w:cs="Times New Roman"/>
      <w:sz w:val="24"/>
      <w:szCs w:val="24"/>
    </w:rPr>
  </w:style>
  <w:style w:type="paragraph" w:customStyle="1" w:styleId="138">
    <w:name w:val="缺省文本"/>
    <w:basedOn w:val="1"/>
    <w:uiPriority w:val="0"/>
    <w:pPr>
      <w:autoSpaceDE w:val="0"/>
      <w:autoSpaceDN w:val="0"/>
      <w:adjustRightInd w:val="0"/>
      <w:jc w:val="left"/>
    </w:pPr>
    <w:rPr>
      <w:rFonts w:ascii="Times New Roman" w:hAnsi="Times New Roman" w:eastAsia="宋体" w:cs="Times New Roman"/>
      <w:kern w:val="0"/>
      <w:szCs w:val="24"/>
    </w:rPr>
  </w:style>
  <w:style w:type="paragraph" w:customStyle="1" w:styleId="139">
    <w:name w:val="封面文档标题"/>
    <w:basedOn w:val="1"/>
    <w:uiPriority w:val="0"/>
    <w:pPr>
      <w:autoSpaceDE w:val="0"/>
      <w:autoSpaceDN w:val="0"/>
      <w:adjustRightInd w:val="0"/>
      <w:spacing w:line="360" w:lineRule="auto"/>
      <w:jc w:val="center"/>
    </w:pPr>
    <w:rPr>
      <w:rFonts w:ascii="Arial" w:hAnsi="Arial" w:eastAsia="宋体" w:cs="Times New Roman"/>
      <w:b/>
      <w:kern w:val="0"/>
      <w:sz w:val="56"/>
      <w:szCs w:val="24"/>
    </w:rPr>
  </w:style>
  <w:style w:type="character" w:customStyle="1" w:styleId="140">
    <w:name w:val="--规划正文 Char Char"/>
    <w:uiPriority w:val="0"/>
    <w:rPr>
      <w:rFonts w:eastAsia="宋体"/>
      <w:kern w:val="2"/>
      <w:sz w:val="24"/>
      <w:szCs w:val="24"/>
      <w:lang w:val="en-US" w:eastAsia="zh-CN" w:bidi="ar-SA"/>
    </w:rPr>
  </w:style>
  <w:style w:type="paragraph" w:customStyle="1" w:styleId="141">
    <w:name w:val="样式3"/>
    <w:basedOn w:val="4"/>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42">
    <w:name w:val="--规划正文 Char1"/>
    <w:uiPriority w:val="0"/>
    <w:rPr>
      <w:rFonts w:eastAsia="宋体"/>
      <w:kern w:val="2"/>
      <w:sz w:val="21"/>
      <w:lang w:val="en-US" w:eastAsia="zh-CN" w:bidi="ar-SA"/>
    </w:rPr>
  </w:style>
  <w:style w:type="paragraph" w:customStyle="1" w:styleId="143">
    <w:name w:val="word"/>
    <w:basedOn w:val="1"/>
    <w:uiPriority w:val="0"/>
    <w:pPr>
      <w:widowControl/>
      <w:spacing w:before="100" w:beforeAutospacing="1" w:after="100" w:afterAutospacing="1" w:line="301" w:lineRule="atLeast"/>
      <w:jc w:val="left"/>
    </w:pPr>
    <w:rPr>
      <w:rFonts w:ascii="ˎ̥" w:hAnsi="ˎ̥" w:eastAsia="宋体" w:cs="Times New Roman"/>
      <w:color w:val="000000"/>
      <w:kern w:val="0"/>
      <w:sz w:val="20"/>
      <w:szCs w:val="20"/>
    </w:rPr>
  </w:style>
  <w:style w:type="paragraph" w:customStyle="1" w:styleId="144">
    <w:name w:val="列表项目"/>
    <w:basedOn w:val="1"/>
    <w:uiPriority w:val="0"/>
    <w:pPr>
      <w:tabs>
        <w:tab w:val="left" w:pos="420"/>
        <w:tab w:val="left" w:pos="1080"/>
      </w:tabs>
      <w:spacing w:line="288" w:lineRule="auto"/>
      <w:ind w:left="1080" w:hanging="360"/>
    </w:pPr>
    <w:rPr>
      <w:rFonts w:ascii="Times New Roman" w:hAnsi="Times New Roman" w:eastAsia="宋体" w:cs="Times New Roman"/>
      <w:sz w:val="24"/>
      <w:szCs w:val="20"/>
    </w:rPr>
  </w:style>
  <w:style w:type="character" w:customStyle="1" w:styleId="145">
    <w:name w:val="content1"/>
    <w:qFormat/>
    <w:uiPriority w:val="0"/>
    <w:rPr>
      <w:rFonts w:hint="default" w:ascii="??" w:hAnsi="??"/>
      <w:sz w:val="16"/>
      <w:szCs w:val="16"/>
      <w:u w:val="none"/>
    </w:rPr>
  </w:style>
  <w:style w:type="character" w:customStyle="1" w:styleId="146">
    <w:name w:val="unnamed4"/>
    <w:basedOn w:val="44"/>
    <w:uiPriority w:val="0"/>
  </w:style>
  <w:style w:type="character" w:customStyle="1" w:styleId="147">
    <w:name w:val="font2"/>
    <w:basedOn w:val="44"/>
    <w:uiPriority w:val="0"/>
  </w:style>
  <w:style w:type="character" w:customStyle="1" w:styleId="148">
    <w:name w:val="font41"/>
    <w:uiPriority w:val="0"/>
    <w:rPr>
      <w:color w:val="000000"/>
      <w:sz w:val="18"/>
      <w:szCs w:val="18"/>
      <w:u w:val="none"/>
    </w:rPr>
  </w:style>
  <w:style w:type="paragraph" w:customStyle="1" w:styleId="14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50">
    <w:name w:val="xl72"/>
    <w:basedOn w:val="1"/>
    <w:qFormat/>
    <w:uiPriority w:val="0"/>
    <w:pPr>
      <w:widowControl/>
      <w:spacing w:before="100" w:beforeAutospacing="1" w:after="100" w:afterAutospacing="1"/>
      <w:jc w:val="left"/>
    </w:pPr>
    <w:rPr>
      <w:rFonts w:ascii="宋体" w:hAnsi="宋体" w:eastAsia="宋体" w:cs="Times New Roman"/>
      <w:b/>
      <w:bCs/>
      <w:kern w:val="0"/>
      <w:sz w:val="28"/>
      <w:szCs w:val="28"/>
    </w:rPr>
  </w:style>
  <w:style w:type="character" w:customStyle="1" w:styleId="151">
    <w:name w:val="正文首行缩进 字符"/>
    <w:basedOn w:val="68"/>
    <w:semiHidden/>
    <w:qFormat/>
    <w:uiPriority w:val="99"/>
  </w:style>
  <w:style w:type="character" w:customStyle="1" w:styleId="152">
    <w:name w:val="正文文本首行缩进 字符"/>
    <w:link w:val="2"/>
    <w:qFormat/>
    <w:uiPriority w:val="0"/>
    <w:rPr>
      <w:rFonts w:ascii="Times New Roman" w:hAnsi="Times New Roman" w:eastAsia="宋体" w:cs="Times New Roman"/>
      <w:b/>
      <w:bCs/>
      <w:szCs w:val="24"/>
    </w:rPr>
  </w:style>
  <w:style w:type="paragraph" w:customStyle="1" w:styleId="153">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54">
    <w:name w:val="汉议细等线简8"/>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55">
    <w:name w:val="汉仪细等线简9BOLD"/>
    <w:basedOn w:val="1"/>
    <w:uiPriority w:val="0"/>
    <w:pPr>
      <w:autoSpaceDE w:val="0"/>
      <w:autoSpaceDN w:val="0"/>
      <w:adjustRightInd w:val="0"/>
      <w:spacing w:line="240" w:lineRule="atLeast"/>
    </w:pPr>
    <w:rPr>
      <w:rFonts w:ascii="汉仪细等线简" w:hAnsi="Times New Roman" w:eastAsia="汉仪细等线简" w:cs="Times New Roman"/>
      <w:b/>
      <w:bCs/>
      <w:kern w:val="0"/>
      <w:sz w:val="18"/>
      <w:szCs w:val="18"/>
    </w:rPr>
  </w:style>
  <w:style w:type="character" w:customStyle="1" w:styleId="156">
    <w:name w:val="mode"/>
    <w:basedOn w:val="44"/>
    <w:uiPriority w:val="0"/>
  </w:style>
  <w:style w:type="paragraph" w:customStyle="1" w:styleId="157">
    <w:name w:val="9"/>
    <w:basedOn w:val="1"/>
    <w:next w:val="9"/>
    <w:uiPriority w:val="0"/>
    <w:pPr>
      <w:autoSpaceDE w:val="0"/>
      <w:autoSpaceDN w:val="0"/>
      <w:adjustRightInd w:val="0"/>
      <w:ind w:firstLine="420"/>
      <w:jc w:val="left"/>
      <w:textAlignment w:val="baseline"/>
    </w:pPr>
    <w:rPr>
      <w:rFonts w:ascii="宋体" w:hAnsi="Times New Roman" w:eastAsia="宋体" w:cs="Times New Roman"/>
      <w:kern w:val="0"/>
      <w:sz w:val="34"/>
      <w:szCs w:val="20"/>
    </w:rPr>
  </w:style>
  <w:style w:type="character" w:customStyle="1" w:styleId="158">
    <w:name w:val="unnamed3"/>
    <w:basedOn w:val="44"/>
    <w:uiPriority w:val="0"/>
  </w:style>
  <w:style w:type="paragraph" w:customStyle="1" w:styleId="159">
    <w:name w:val="8"/>
    <w:basedOn w:val="1"/>
    <w:next w:val="20"/>
    <w:uiPriority w:val="0"/>
    <w:pPr>
      <w:spacing w:after="120"/>
      <w:ind w:left="420" w:leftChars="200"/>
    </w:pPr>
    <w:rPr>
      <w:rFonts w:ascii="Times New Roman" w:hAnsi="Times New Roman" w:eastAsia="宋体" w:cs="Times New Roman"/>
      <w:szCs w:val="24"/>
    </w:rPr>
  </w:style>
  <w:style w:type="paragraph" w:customStyle="1" w:styleId="160">
    <w:name w:val="7"/>
    <w:basedOn w:val="1"/>
    <w:uiPriority w:val="0"/>
    <w:pPr>
      <w:autoSpaceDE w:val="0"/>
      <w:autoSpaceDN w:val="0"/>
      <w:adjustRightInd w:val="0"/>
      <w:spacing w:line="270" w:lineRule="atLeast"/>
      <w:jc w:val="left"/>
    </w:pPr>
    <w:rPr>
      <w:rFonts w:ascii="宋体" w:hAnsi="Times New Roman" w:eastAsia="宋体" w:cs="Times New Roman"/>
      <w:kern w:val="0"/>
      <w:sz w:val="18"/>
      <w:szCs w:val="18"/>
    </w:rPr>
  </w:style>
  <w:style w:type="paragraph" w:customStyle="1" w:styleId="161">
    <w:name w:val="00"/>
    <w:basedOn w:val="1"/>
    <w:uiPriority w:val="0"/>
    <w:pPr>
      <w:autoSpaceDE w:val="0"/>
      <w:autoSpaceDN w:val="0"/>
      <w:adjustRightInd w:val="0"/>
      <w:jc w:val="left"/>
    </w:pPr>
    <w:rPr>
      <w:rFonts w:ascii="黑体" w:hAnsi="Times New Roman" w:eastAsia="黑体" w:cs="Times New Roman"/>
      <w:b/>
      <w:bCs/>
      <w:kern w:val="0"/>
      <w:sz w:val="20"/>
      <w:szCs w:val="20"/>
    </w:rPr>
  </w:style>
  <w:style w:type="paragraph" w:customStyle="1" w:styleId="162">
    <w:name w:val="5"/>
    <w:basedOn w:val="1"/>
    <w:uiPriority w:val="0"/>
    <w:pPr>
      <w:autoSpaceDE w:val="0"/>
      <w:autoSpaceDN w:val="0"/>
      <w:adjustRightInd w:val="0"/>
      <w:jc w:val="left"/>
    </w:pPr>
    <w:rPr>
      <w:rFonts w:ascii="宋体" w:hAnsi="Times New Roman" w:eastAsia="宋体" w:cs="Times New Roman"/>
      <w:b/>
      <w:bCs/>
      <w:kern w:val="0"/>
      <w:sz w:val="18"/>
      <w:szCs w:val="18"/>
    </w:rPr>
  </w:style>
  <w:style w:type="paragraph" w:customStyle="1" w:styleId="163">
    <w:name w:val="6"/>
    <w:basedOn w:val="162"/>
    <w:uiPriority w:val="0"/>
    <w:pPr>
      <w:spacing w:line="270" w:lineRule="atLeast"/>
      <w:jc w:val="both"/>
    </w:pPr>
    <w:rPr>
      <w:b w:val="0"/>
      <w:bCs w:val="0"/>
    </w:rPr>
  </w:style>
  <w:style w:type="paragraph" w:customStyle="1" w:styleId="164">
    <w:name w:val="产品描述"/>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65">
    <w:name w:val="姜文清定义的正文"/>
    <w:basedOn w:val="1"/>
    <w:uiPriority w:val="0"/>
    <w:pPr>
      <w:spacing w:line="240" w:lineRule="atLeast"/>
      <w:ind w:firstLine="567"/>
    </w:pPr>
    <w:rPr>
      <w:rFonts w:ascii="Times New Roman" w:hAnsi="Times New Roman" w:eastAsia="宋体" w:cs="Times New Roman"/>
      <w:szCs w:val="20"/>
    </w:rPr>
  </w:style>
  <w:style w:type="paragraph" w:customStyle="1" w:styleId="166">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67">
    <w:name w:val="CM2"/>
    <w:basedOn w:val="166"/>
    <w:next w:val="166"/>
    <w:uiPriority w:val="0"/>
    <w:pPr>
      <w:spacing w:line="200" w:lineRule="atLeast"/>
    </w:pPr>
    <w:rPr>
      <w:rFonts w:ascii="Arial" w:hAnsi="Arial" w:eastAsia="宋体" w:cs="Times New Roman"/>
      <w:color w:val="auto"/>
    </w:rPr>
  </w:style>
  <w:style w:type="paragraph" w:customStyle="1" w:styleId="168">
    <w:name w:val="Normal Paragraph"/>
    <w:basedOn w:val="1"/>
    <w:uiPriority w:val="0"/>
    <w:pPr>
      <w:widowControl/>
      <w:spacing w:before="120" w:line="360" w:lineRule="auto"/>
      <w:ind w:firstLine="425"/>
    </w:pPr>
    <w:rPr>
      <w:rFonts w:ascii="Times New Roman" w:hAnsi="Times New Roman" w:eastAsia="宋体" w:cs="Times New Roman"/>
      <w:kern w:val="0"/>
      <w:sz w:val="24"/>
      <w:szCs w:val="24"/>
    </w:rPr>
  </w:style>
  <w:style w:type="character" w:customStyle="1" w:styleId="169">
    <w:name w:val="blue"/>
    <w:basedOn w:val="44"/>
    <w:uiPriority w:val="0"/>
  </w:style>
  <w:style w:type="paragraph" w:customStyle="1" w:styleId="170">
    <w:name w:val="blue1"/>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1">
    <w:name w:val="font"/>
    <w:basedOn w:val="44"/>
    <w:uiPriority w:val="0"/>
  </w:style>
  <w:style w:type="character" w:customStyle="1" w:styleId="172">
    <w:name w:val="font11"/>
    <w:uiPriority w:val="0"/>
    <w:rPr>
      <w:rFonts w:hint="default" w:ascii="ˎ̥" w:hAnsi="ˎ̥"/>
    </w:rPr>
  </w:style>
  <w:style w:type="paragraph" w:customStyle="1" w:styleId="173">
    <w:name w:val="a14"/>
    <w:basedOn w:val="1"/>
    <w:uiPriority w:val="0"/>
    <w:pPr>
      <w:widowControl/>
      <w:spacing w:before="100" w:beforeAutospacing="1" w:after="100" w:afterAutospacing="1" w:line="300" w:lineRule="atLeast"/>
      <w:ind w:firstLine="375"/>
      <w:jc w:val="left"/>
    </w:pPr>
    <w:rPr>
      <w:rFonts w:ascii="宋体" w:hAnsi="宋体" w:eastAsia="宋体" w:cs="宋体"/>
      <w:kern w:val="0"/>
      <w:szCs w:val="21"/>
    </w:rPr>
  </w:style>
  <w:style w:type="character" w:customStyle="1" w:styleId="174">
    <w:name w:val="proddescription"/>
    <w:basedOn w:val="44"/>
    <w:uiPriority w:val="0"/>
  </w:style>
  <w:style w:type="character" w:customStyle="1" w:styleId="175">
    <w:name w:val="prodheadlines"/>
    <w:basedOn w:val="44"/>
    <w:uiPriority w:val="0"/>
  </w:style>
  <w:style w:type="character" w:customStyle="1" w:styleId="176">
    <w:name w:val="text"/>
    <w:basedOn w:val="44"/>
    <w:uiPriority w:val="0"/>
  </w:style>
  <w:style w:type="paragraph" w:customStyle="1" w:styleId="177">
    <w:name w:val="tex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z-窗体顶端1"/>
    <w:basedOn w:val="1"/>
    <w:next w:val="1"/>
    <w:link w:val="179"/>
    <w:uiPriority w:val="0"/>
    <w:pPr>
      <w:widowControl/>
      <w:pBdr>
        <w:bottom w:val="single" w:color="auto" w:sz="6" w:space="1"/>
      </w:pBdr>
      <w:jc w:val="center"/>
    </w:pPr>
    <w:rPr>
      <w:rFonts w:ascii="Arial" w:hAnsi="Arial" w:eastAsia="宋体" w:cs="Arial"/>
      <w:vanish/>
      <w:kern w:val="0"/>
      <w:sz w:val="16"/>
      <w:szCs w:val="16"/>
    </w:rPr>
  </w:style>
  <w:style w:type="character" w:customStyle="1" w:styleId="179">
    <w:name w:val="z-窗体顶端 Char"/>
    <w:basedOn w:val="44"/>
    <w:link w:val="178"/>
    <w:uiPriority w:val="0"/>
    <w:rPr>
      <w:rFonts w:ascii="Arial" w:hAnsi="Arial" w:eastAsia="宋体" w:cs="Arial"/>
      <w:vanish/>
      <w:kern w:val="0"/>
      <w:sz w:val="16"/>
      <w:szCs w:val="16"/>
    </w:rPr>
  </w:style>
  <w:style w:type="paragraph" w:customStyle="1" w:styleId="180">
    <w:name w:val="z-窗体底端1"/>
    <w:basedOn w:val="1"/>
    <w:next w:val="1"/>
    <w:link w:val="181"/>
    <w:uiPriority w:val="0"/>
    <w:pPr>
      <w:widowControl/>
      <w:pBdr>
        <w:top w:val="single" w:color="auto" w:sz="6" w:space="1"/>
      </w:pBdr>
      <w:jc w:val="center"/>
    </w:pPr>
    <w:rPr>
      <w:rFonts w:ascii="Arial" w:hAnsi="Arial" w:eastAsia="宋体" w:cs="Arial"/>
      <w:vanish/>
      <w:kern w:val="0"/>
      <w:sz w:val="16"/>
      <w:szCs w:val="16"/>
    </w:rPr>
  </w:style>
  <w:style w:type="character" w:customStyle="1" w:styleId="181">
    <w:name w:val="z-窗体底端 Char"/>
    <w:basedOn w:val="44"/>
    <w:link w:val="180"/>
    <w:uiPriority w:val="0"/>
    <w:rPr>
      <w:rFonts w:ascii="Arial" w:hAnsi="Arial" w:eastAsia="宋体" w:cs="Arial"/>
      <w:vanish/>
      <w:kern w:val="0"/>
      <w:sz w:val="16"/>
      <w:szCs w:val="16"/>
    </w:rPr>
  </w:style>
  <w:style w:type="paragraph" w:customStyle="1" w:styleId="182">
    <w:name w:val="正文样式"/>
    <w:basedOn w:val="1"/>
    <w:uiPriority w:val="0"/>
    <w:pPr>
      <w:adjustRightInd w:val="0"/>
      <w:spacing w:line="400" w:lineRule="atLeast"/>
      <w:ind w:firstLine="570" w:firstLineChars="203"/>
      <w:textAlignment w:val="baseline"/>
    </w:pPr>
    <w:rPr>
      <w:rFonts w:ascii="Times New Roman" w:hAnsi="Times New Roman" w:eastAsia="仿宋_GB2312" w:cs="Times New Roman"/>
      <w:kern w:val="0"/>
      <w:sz w:val="28"/>
      <w:szCs w:val="20"/>
    </w:rPr>
  </w:style>
  <w:style w:type="paragraph" w:customStyle="1" w:styleId="183">
    <w:name w:val="xl34"/>
    <w:basedOn w:val="1"/>
    <w:uiPriority w:val="0"/>
    <w:pPr>
      <w:widowControl/>
      <w:pBdr>
        <w:lef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184">
    <w:name w:val="段落正文"/>
    <w:basedOn w:val="23"/>
    <w:uiPriority w:val="0"/>
    <w:pPr>
      <w:ind w:firstLine="560" w:firstLineChars="200"/>
    </w:pPr>
    <w:rPr>
      <w:sz w:val="28"/>
    </w:rPr>
  </w:style>
  <w:style w:type="character" w:customStyle="1" w:styleId="185">
    <w:name w:val="gray6"/>
    <w:basedOn w:val="44"/>
    <w:uiPriority w:val="0"/>
  </w:style>
  <w:style w:type="character" w:customStyle="1" w:styleId="186">
    <w:name w:val="style9"/>
    <w:basedOn w:val="44"/>
    <w:uiPriority w:val="0"/>
  </w:style>
  <w:style w:type="paragraph" w:customStyle="1" w:styleId="187">
    <w:name w:val="2册标题4"/>
    <w:basedOn w:val="1"/>
    <w:next w:val="1"/>
    <w:uiPriority w:val="0"/>
    <w:pPr>
      <w:spacing w:beforeLines="50" w:afterLines="50" w:line="300" w:lineRule="auto"/>
      <w:ind w:left="420" w:leftChars="200"/>
      <w:outlineLvl w:val="3"/>
    </w:pPr>
    <w:rPr>
      <w:rFonts w:ascii="Arial" w:hAnsi="Arial" w:eastAsia="幼圆" w:cs="Arial"/>
      <w:b/>
      <w:sz w:val="24"/>
      <w:szCs w:val="24"/>
    </w:rPr>
  </w:style>
  <w:style w:type="character" w:customStyle="1" w:styleId="188">
    <w:name w:val="grame"/>
    <w:basedOn w:val="44"/>
    <w:uiPriority w:val="0"/>
  </w:style>
  <w:style w:type="paragraph" w:customStyle="1" w:styleId="189">
    <w:name w:val="style2"/>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0">
    <w:name w:val="Char1"/>
    <w:basedOn w:val="1"/>
    <w:uiPriority w:val="0"/>
    <w:pPr>
      <w:jc w:val="left"/>
    </w:pPr>
    <w:rPr>
      <w:rFonts w:ascii="Tahoma" w:hAnsi="Tahoma" w:eastAsia="宋体" w:cs="Times New Roman"/>
      <w:sz w:val="24"/>
      <w:szCs w:val="20"/>
    </w:rPr>
  </w:style>
  <w:style w:type="paragraph" w:customStyle="1" w:styleId="191">
    <w:name w:val="编号1"/>
    <w:basedOn w:val="1"/>
    <w:uiPriority w:val="0"/>
    <w:pPr>
      <w:numPr>
        <w:ilvl w:val="0"/>
        <w:numId w:val="6"/>
      </w:numPr>
      <w:adjustRightInd w:val="0"/>
      <w:spacing w:line="300" w:lineRule="auto"/>
      <w:ind w:right="210"/>
      <w:textAlignment w:val="center"/>
    </w:pPr>
    <w:rPr>
      <w:rFonts w:ascii="宋体" w:hAnsi="宋体" w:eastAsia="宋体" w:cs="Times New Roman"/>
      <w:snapToGrid w:val="0"/>
      <w:spacing w:val="10"/>
      <w:kern w:val="24"/>
      <w:szCs w:val="24"/>
    </w:rPr>
  </w:style>
  <w:style w:type="paragraph" w:customStyle="1" w:styleId="192">
    <w:name w:val="Char Char Char Char Char Char Char Char Char Char Char Char Char Char Char Char Char Char Char Char Char Char"/>
    <w:basedOn w:val="1"/>
    <w:uiPriority w:val="0"/>
    <w:pPr>
      <w:widowControl/>
      <w:spacing w:line="400" w:lineRule="exact"/>
      <w:jc w:val="center"/>
    </w:pPr>
    <w:rPr>
      <w:rFonts w:ascii="Verdana" w:hAnsi="Verdana" w:eastAsia="宋体" w:cs="Times New Roman"/>
      <w:kern w:val="0"/>
      <w:szCs w:val="20"/>
      <w:lang w:eastAsia="en-US"/>
    </w:rPr>
  </w:style>
  <w:style w:type="paragraph" w:customStyle="1" w:styleId="193">
    <w:name w:val="font0"/>
    <w:basedOn w:val="1"/>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194">
    <w:name w:val="font5"/>
    <w:basedOn w:val="1"/>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95">
    <w:name w:val="font6"/>
    <w:basedOn w:val="1"/>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196">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97">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98">
    <w:name w:val="表格字"/>
    <w:basedOn w:val="1"/>
    <w:qFormat/>
    <w:uiPriority w:val="0"/>
    <w:pPr>
      <w:adjustRightInd w:val="0"/>
      <w:jc w:val="center"/>
    </w:pPr>
    <w:rPr>
      <w:rFonts w:ascii="宋体" w:hAnsi="Times New Roman" w:eastAsia="宋体" w:cs="Times New Roman"/>
      <w:sz w:val="24"/>
      <w:szCs w:val="20"/>
    </w:rPr>
  </w:style>
  <w:style w:type="character" w:customStyle="1" w:styleId="199">
    <w:name w:val="样式 小三 加粗"/>
    <w:uiPriority w:val="0"/>
    <w:rPr>
      <w:rFonts w:eastAsia="宋体"/>
      <w:b/>
      <w:bCs/>
      <w:sz w:val="32"/>
    </w:rPr>
  </w:style>
  <w:style w:type="paragraph" w:customStyle="1" w:styleId="200">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1">
    <w:name w:val="qw"/>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2">
    <w:name w:val="Char Char Char"/>
    <w:basedOn w:val="1"/>
    <w:uiPriority w:val="0"/>
    <w:rPr>
      <w:rFonts w:ascii="Tahoma" w:hAnsi="Tahoma" w:eastAsia="宋体" w:cs="Times New Roman"/>
      <w:sz w:val="24"/>
      <w:szCs w:val="20"/>
    </w:rPr>
  </w:style>
  <w:style w:type="paragraph" w:customStyle="1" w:styleId="203">
    <w:name w:val="Char2"/>
    <w:basedOn w:val="1"/>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204">
    <w:name w:val="info4"/>
    <w:basedOn w:val="44"/>
    <w:uiPriority w:val="0"/>
  </w:style>
  <w:style w:type="paragraph" w:customStyle="1" w:styleId="205">
    <w:name w:val="缩进正文"/>
    <w:basedOn w:val="1"/>
    <w:link w:val="206"/>
    <w:uiPriority w:val="0"/>
    <w:pPr>
      <w:ind w:firstLine="560" w:firstLineChars="200"/>
    </w:pPr>
    <w:rPr>
      <w:rFonts w:ascii="Times New Roman" w:hAnsi="Times New Roman" w:eastAsia="仿宋_GB2312" w:cs="宋体"/>
      <w:sz w:val="28"/>
      <w:szCs w:val="20"/>
    </w:rPr>
  </w:style>
  <w:style w:type="character" w:customStyle="1" w:styleId="206">
    <w:name w:val="缩进正文 Char"/>
    <w:link w:val="205"/>
    <w:uiPriority w:val="0"/>
    <w:rPr>
      <w:rFonts w:ascii="Times New Roman" w:hAnsi="Times New Roman" w:eastAsia="仿宋_GB2312" w:cs="宋体"/>
      <w:sz w:val="28"/>
      <w:szCs w:val="20"/>
    </w:rPr>
  </w:style>
  <w:style w:type="paragraph" w:customStyle="1" w:styleId="207">
    <w:name w:val="列出段落11"/>
    <w:basedOn w:val="1"/>
    <w:qFormat/>
    <w:uiPriority w:val="0"/>
    <w:pPr>
      <w:ind w:firstLine="420" w:firstLineChars="200"/>
    </w:pPr>
    <w:rPr>
      <w:rFonts w:ascii="Calibri" w:hAnsi="Calibri" w:eastAsia="宋体" w:cs="Calibri"/>
      <w:szCs w:val="21"/>
    </w:rPr>
  </w:style>
  <w:style w:type="paragraph" w:customStyle="1" w:styleId="208">
    <w:name w:val="SS正文首行缩进 +"/>
    <w:basedOn w:val="2"/>
    <w:uiPriority w:val="99"/>
    <w:pPr>
      <w:spacing w:beforeLines="50" w:afterLines="50" w:line="360" w:lineRule="auto"/>
      <w:ind w:firstLine="480" w:firstLineChars="200"/>
    </w:pPr>
    <w:rPr>
      <w:rFonts w:cs="宋体"/>
      <w:sz w:val="24"/>
      <w:szCs w:val="20"/>
    </w:rPr>
  </w:style>
  <w:style w:type="character" w:customStyle="1" w:styleId="209">
    <w:name w:val="批注主题 字符"/>
    <w:basedOn w:val="71"/>
    <w:semiHidden/>
    <w:uiPriority w:val="99"/>
    <w:rPr>
      <w:b/>
      <w:bCs/>
    </w:rPr>
  </w:style>
  <w:style w:type="character" w:customStyle="1" w:styleId="210">
    <w:name w:val="批注文字 字符1"/>
    <w:link w:val="18"/>
    <w:uiPriority w:val="0"/>
    <w:rPr>
      <w:rFonts w:ascii="宋体" w:hAnsi="Times New Roman" w:eastAsia="宋体" w:cs="Times New Roman"/>
      <w:kern w:val="0"/>
      <w:sz w:val="34"/>
      <w:szCs w:val="20"/>
    </w:rPr>
  </w:style>
  <w:style w:type="character" w:customStyle="1" w:styleId="211">
    <w:name w:val="批注主题 字符1"/>
    <w:link w:val="41"/>
    <w:uiPriority w:val="0"/>
    <w:rPr>
      <w:rFonts w:ascii="宋体" w:hAnsi="Times New Roman" w:eastAsia="宋体" w:cs="Times New Roman"/>
      <w:b/>
      <w:bCs/>
      <w:szCs w:val="24"/>
    </w:rPr>
  </w:style>
  <w:style w:type="paragraph" w:customStyle="1" w:styleId="212">
    <w:name w:val="Char4"/>
    <w:basedOn w:val="1"/>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213">
    <w:name w:val="std"/>
    <w:basedOn w:val="44"/>
    <w:qFormat/>
    <w:uiPriority w:val="0"/>
  </w:style>
  <w:style w:type="paragraph" w:styleId="214">
    <w:name w:val="List Paragraph"/>
    <w:basedOn w:val="1"/>
    <w:link w:val="215"/>
    <w:qFormat/>
    <w:uiPriority w:val="34"/>
    <w:pPr>
      <w:ind w:firstLine="420" w:firstLineChars="200"/>
    </w:pPr>
  </w:style>
  <w:style w:type="character" w:customStyle="1" w:styleId="215">
    <w:name w:val="列表段落 字符"/>
    <w:link w:val="214"/>
    <w:qFormat/>
    <w:locked/>
    <w:uiPriority w:val="34"/>
    <w:rPr>
      <w:kern w:val="2"/>
      <w:sz w:val="21"/>
      <w:szCs w:val="22"/>
    </w:rPr>
  </w:style>
  <w:style w:type="character" w:customStyle="1" w:styleId="216">
    <w:name w:val="font01"/>
    <w:qFormat/>
    <w:uiPriority w:val="0"/>
    <w:rPr>
      <w:rFonts w:hint="eastAsia" w:ascii="微软雅黑" w:hAnsi="微软雅黑" w:eastAsia="微软雅黑" w:cs="微软雅黑"/>
      <w:b/>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821081-5AF0-41A2-87EB-8C050D59D52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60</Pages>
  <Words>5101</Words>
  <Characters>29082</Characters>
  <Lines>242</Lines>
  <Paragraphs>68</Paragraphs>
  <TotalTime>1</TotalTime>
  <ScaleCrop>false</ScaleCrop>
  <LinksUpToDate>false</LinksUpToDate>
  <CharactersWithSpaces>34115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2021-04-08T09:31:00Z</dcterms:created>
  <dc:creator>刘玉兰</dc:creator>
  <cp:lastModifiedBy>41747</cp:lastModifiedBy>
  <cp:lastPrinted>2021-04-28T06:09:00Z</cp:lastPrinted>
  <dcterms:modified xsi:type="dcterms:W3CDTF">2021-05-06T14:28:04Z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9127C7E8A40849EEB88F374BF020CFB8</vt:lpwstr>
  </property>
</Properties>
</file>